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outlineLvl w:val="0"/>
        <w:rPr>
          <w:rFonts w:hint="eastAsia" w:ascii="华文仿宋" w:hAnsi="华文仿宋" w:eastAsia="华文仿宋" w:cs="华文仿宋"/>
          <w:b/>
          <w:bCs/>
          <w:color w:val="auto"/>
          <w:kern w:val="44"/>
          <w:sz w:val="44"/>
          <w:szCs w:val="44"/>
          <w:lang w:val="en-US" w:eastAsia="zh-CN"/>
        </w:rPr>
      </w:pPr>
      <w:r>
        <w:rPr>
          <w:rFonts w:hint="eastAsia" w:ascii="华文仿宋" w:hAnsi="华文仿宋" w:eastAsia="华文仿宋" w:cs="华文仿宋"/>
          <w:b/>
          <w:bCs/>
          <w:color w:val="auto"/>
          <w:kern w:val="44"/>
          <w:sz w:val="44"/>
          <w:szCs w:val="44"/>
          <w:lang w:val="en-US" w:eastAsia="zh-CN"/>
        </w:rPr>
        <w:t>（公示本）</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rPr>
          <w:rFonts w:hint="default" w:ascii="仿宋_GB2312" w:eastAsia="仿宋_GB2312"/>
          <w:color w:val="auto"/>
          <w:sz w:val="36"/>
          <w:szCs w:val="36"/>
          <w:u w:val="single"/>
          <w:lang w:val="en-US"/>
        </w:rPr>
      </w:pPr>
      <w:r>
        <w:rPr>
          <w:rFonts w:hint="eastAsia" w:ascii="仿宋_GB2312" w:eastAsia="仿宋_GB2312"/>
          <w:color w:val="auto"/>
          <w:sz w:val="36"/>
          <w:szCs w:val="36"/>
        </w:rPr>
        <w:t>项目名称</w:t>
      </w:r>
      <w:r>
        <w:rPr>
          <w:rFonts w:hint="eastAsia" w:ascii="仿宋_GB2312" w:eastAsia="仿宋_GB2312"/>
          <w:color w:val="auto"/>
          <w:sz w:val="36"/>
          <w:szCs w:val="36"/>
          <w:lang w:eastAsia="zh-CN"/>
        </w:rPr>
        <w:t>：</w:t>
      </w:r>
      <w:r>
        <w:rPr>
          <w:rFonts w:hint="eastAsia" w:ascii="仿宋_GB2312" w:hAnsi="Times New Roman" w:eastAsia="仿宋_GB2312" w:cs="Times New Roman"/>
          <w:color w:val="auto"/>
          <w:sz w:val="36"/>
          <w:szCs w:val="36"/>
          <w:u w:val="single"/>
          <w:lang w:val="en-US" w:eastAsia="zh-CN"/>
        </w:rPr>
        <w:t xml:space="preserve">   </w:t>
      </w:r>
      <w:r>
        <w:rPr>
          <w:rFonts w:hint="default" w:ascii="仿宋_GB2312" w:hAnsi="Times New Roman" w:eastAsia="仿宋_GB2312" w:cs="Times New Roman"/>
          <w:color w:val="auto"/>
          <w:sz w:val="36"/>
          <w:szCs w:val="36"/>
          <w:u w:val="single"/>
          <w:lang w:val="en-US" w:eastAsia="zh-CN"/>
        </w:rPr>
        <w:t>达州市中石油7101油库迁建项目</w:t>
      </w:r>
      <w:r>
        <w:rPr>
          <w:rFonts w:hint="eastAsia" w:ascii="仿宋_GB2312" w:hAnsi="Times New Roman" w:eastAsia="仿宋_GB2312" w:cs="Times New Roman"/>
          <w:color w:val="auto"/>
          <w:sz w:val="36"/>
          <w:szCs w:val="36"/>
          <w:u w:val="single"/>
          <w:lang w:val="en-US" w:eastAsia="zh-CN"/>
        </w:rPr>
        <w:t xml:space="preserve">  </w:t>
      </w:r>
    </w:p>
    <w:p>
      <w:pPr>
        <w:adjustRightInd w:val="0"/>
        <w:snapToGrid w:val="0"/>
        <w:spacing w:line="288" w:lineRule="auto"/>
        <w:ind w:firstLine="1040"/>
        <w:rPr>
          <w:rFonts w:hint="default" w:ascii="仿宋_GB2312" w:eastAsia="仿宋_GB2312"/>
          <w:color w:val="auto"/>
          <w:spacing w:val="-20"/>
          <w:sz w:val="36"/>
          <w:szCs w:val="36"/>
          <w:u w:val="single"/>
          <w:lang w:val="en-US"/>
        </w:rPr>
      </w:pPr>
      <w:r>
        <w:rPr>
          <w:rFonts w:hint="eastAsia" w:ascii="仿宋_GB2312" w:eastAsia="仿宋_GB2312"/>
          <w:color w:val="auto"/>
          <w:sz w:val="36"/>
          <w:szCs w:val="36"/>
        </w:rPr>
        <w:t>建设单位</w:t>
      </w:r>
      <w:r>
        <w:rPr>
          <w:rFonts w:hint="eastAsia" w:ascii="仿宋_GB2312" w:eastAsia="仿宋_GB2312"/>
          <w:color w:val="auto"/>
          <w:spacing w:val="-23"/>
          <w:sz w:val="36"/>
          <w:szCs w:val="36"/>
        </w:rPr>
        <w:t>（盖章）</w:t>
      </w:r>
      <w:r>
        <w:rPr>
          <w:rFonts w:hint="eastAsia" w:ascii="仿宋_GB2312" w:eastAsia="仿宋_GB2312"/>
          <w:color w:val="auto"/>
          <w:sz w:val="36"/>
          <w:szCs w:val="36"/>
        </w:rPr>
        <w:t>：</w:t>
      </w:r>
      <w:r>
        <w:rPr>
          <w:rFonts w:hint="default" w:ascii="仿宋_GB2312" w:hAnsi="Times New Roman" w:eastAsia="仿宋_GB2312" w:cs="Times New Roman"/>
          <w:color w:val="auto"/>
          <w:spacing w:val="-20"/>
          <w:sz w:val="36"/>
          <w:szCs w:val="36"/>
          <w:u w:val="single"/>
          <w:lang w:val="en-US" w:eastAsia="zh-CN"/>
        </w:rPr>
        <w:t>达州发展（控股）有限责任公司</w:t>
      </w:r>
      <w:r>
        <w:rPr>
          <w:rFonts w:hint="eastAsia" w:ascii="仿宋_GB2312" w:eastAsia="仿宋_GB2312"/>
          <w:color w:val="auto"/>
          <w:spacing w:val="-20"/>
          <w:sz w:val="36"/>
          <w:szCs w:val="36"/>
          <w:u w:val="single"/>
          <w:lang w:val="en-US" w:eastAsia="zh-CN"/>
        </w:rPr>
        <w:t xml:space="preserve"> </w:t>
      </w:r>
    </w:p>
    <w:p>
      <w:pPr>
        <w:adjustRightInd w:val="0"/>
        <w:snapToGrid w:val="0"/>
        <w:spacing w:line="288" w:lineRule="auto"/>
        <w:ind w:firstLine="104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lang w:eastAsia="zh-CN"/>
        </w:rPr>
        <w:t>二〇二</w:t>
      </w:r>
      <w:r>
        <w:rPr>
          <w:rFonts w:hint="eastAsia" w:ascii="仿宋_GB2312" w:eastAsia="仿宋_GB2312"/>
          <w:color w:val="auto"/>
          <w:sz w:val="36"/>
          <w:szCs w:val="36"/>
          <w:u w:val="single"/>
          <w:lang w:val="en-US" w:eastAsia="zh-CN"/>
        </w:rPr>
        <w:t>三</w:t>
      </w:r>
      <w:r>
        <w:rPr>
          <w:rFonts w:hint="eastAsia" w:ascii="仿宋_GB2312" w:eastAsia="仿宋_GB2312"/>
          <w:color w:val="auto"/>
          <w:sz w:val="36"/>
          <w:szCs w:val="36"/>
          <w:u w:val="single"/>
          <w:lang w:eastAsia="zh-CN"/>
        </w:rPr>
        <w:t>年</w:t>
      </w:r>
      <w:r>
        <w:rPr>
          <w:rFonts w:hint="eastAsia" w:ascii="仿宋_GB2312" w:eastAsia="仿宋_GB2312"/>
          <w:color w:val="auto"/>
          <w:sz w:val="36"/>
          <w:szCs w:val="36"/>
          <w:u w:val="single"/>
          <w:lang w:val="en-US" w:eastAsia="zh-CN"/>
        </w:rPr>
        <w:t>一</w:t>
      </w:r>
      <w:r>
        <w:rPr>
          <w:rFonts w:hint="eastAsia" w:ascii="仿宋_GB2312" w:eastAsia="仿宋_GB2312"/>
          <w:color w:val="auto"/>
          <w:sz w:val="36"/>
          <w:szCs w:val="36"/>
          <w:u w:val="single"/>
          <w:lang w:eastAsia="zh-CN"/>
        </w:rPr>
        <w:t>月</w:t>
      </w:r>
      <w:r>
        <w:rPr>
          <w:rFonts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br w:type="page"/>
      </w:r>
    </w:p>
    <w:p>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17"/>
        <w:jc w:val="center"/>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一、建设项目基本情况</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0"/>
        <w:gridCol w:w="2546"/>
        <w:gridCol w:w="1991"/>
        <w:gridCol w:w="32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建设项目名称</w:t>
            </w:r>
          </w:p>
        </w:tc>
        <w:tc>
          <w:tcPr>
            <w:tcW w:w="7770" w:type="dxa"/>
            <w:gridSpan w:val="3"/>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达州市中石油7101油库迁建项目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项目代码</w:t>
            </w:r>
          </w:p>
        </w:tc>
        <w:tc>
          <w:tcPr>
            <w:tcW w:w="7770" w:type="dxa"/>
            <w:gridSpan w:val="3"/>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2020-511700-</w:t>
            </w:r>
            <w:r>
              <w:rPr>
                <w:rFonts w:hint="eastAsia" w:cs="Times New Roman"/>
                <w:color w:val="auto"/>
                <w:sz w:val="24"/>
                <w:szCs w:val="24"/>
                <w:lang w:val="en-US" w:eastAsia="zh-CN"/>
              </w:rPr>
              <w:t>47</w:t>
            </w:r>
            <w:r>
              <w:rPr>
                <w:rFonts w:hint="default" w:ascii="Times New Roman" w:hAnsi="Times New Roman" w:cs="Times New Roman"/>
                <w:color w:val="auto"/>
                <w:sz w:val="24"/>
                <w:szCs w:val="24"/>
                <w:lang w:val="en-US" w:eastAsia="zh-CN"/>
              </w:rPr>
              <w:t>-01-</w:t>
            </w:r>
            <w:r>
              <w:rPr>
                <w:rFonts w:hint="eastAsia" w:cs="Times New Roman"/>
                <w:color w:val="auto"/>
                <w:sz w:val="24"/>
                <w:szCs w:val="24"/>
                <w:lang w:val="en-US" w:eastAsia="zh-CN"/>
              </w:rPr>
              <w:t>465813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建设单位联系人</w:t>
            </w:r>
          </w:p>
        </w:tc>
        <w:tc>
          <w:tcPr>
            <w:tcW w:w="2546"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张磊</w:t>
            </w:r>
          </w:p>
        </w:tc>
        <w:tc>
          <w:tcPr>
            <w:tcW w:w="1991"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联系方式</w:t>
            </w:r>
          </w:p>
        </w:tc>
        <w:tc>
          <w:tcPr>
            <w:tcW w:w="3233"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18381927999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建设地点</w:t>
            </w:r>
          </w:p>
        </w:tc>
        <w:tc>
          <w:tcPr>
            <w:tcW w:w="7770" w:type="dxa"/>
            <w:gridSpan w:val="3"/>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eastAsia="zh-CN"/>
              </w:rPr>
              <w:t>四川</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省</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eastAsia="zh-CN"/>
              </w:rPr>
              <w:t>达州</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市</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eastAsia="zh-CN"/>
              </w:rPr>
              <w:t>通川</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区</w:t>
            </w:r>
            <w:r>
              <w:rPr>
                <w:rFonts w:hint="eastAsia" w:cs="Times New Roman"/>
                <w:color w:val="auto"/>
                <w:sz w:val="24"/>
                <w:szCs w:val="24"/>
                <w:u w:val="single"/>
                <w:lang w:val="en-US" w:eastAsia="zh-CN"/>
              </w:rPr>
              <w:t xml:space="preserve"> 双龙铁路物流园</w:t>
            </w:r>
            <w:r>
              <w:rPr>
                <w:rFonts w:hint="default" w:ascii="Times New Roman" w:hAnsi="Times New Roman" w:eastAsia="宋体" w:cs="Times New Roman"/>
                <w:color w:val="auto"/>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地理坐标</w:t>
            </w:r>
          </w:p>
        </w:tc>
        <w:tc>
          <w:tcPr>
            <w:tcW w:w="7770" w:type="dxa"/>
            <w:gridSpan w:val="3"/>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107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26</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35.760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31</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17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49.340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国民经济</w:t>
            </w:r>
          </w:p>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行业类别</w:t>
            </w:r>
          </w:p>
        </w:tc>
        <w:tc>
          <w:tcPr>
            <w:tcW w:w="2546" w:type="dxa"/>
            <w:noWrap w:val="0"/>
            <w:vAlign w:val="center"/>
          </w:tcPr>
          <w:p>
            <w:pPr>
              <w:widowControl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G5941</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rPr>
              <w:t>油气仓储</w:t>
            </w:r>
          </w:p>
        </w:tc>
        <w:tc>
          <w:tcPr>
            <w:tcW w:w="1991"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bookmarkStart w:id="1" w:name="_Hlk49843745"/>
            <w:r>
              <w:rPr>
                <w:rFonts w:hint="default" w:ascii="Times New Roman" w:hAnsi="Times New Roman" w:cs="Times New Roman"/>
                <w:b/>
                <w:bCs/>
                <w:color w:val="auto"/>
                <w:sz w:val="24"/>
                <w:szCs w:val="24"/>
              </w:rPr>
              <w:t>建设项目</w:t>
            </w:r>
          </w:p>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行业类别</w:t>
            </w:r>
            <w:bookmarkEnd w:id="1"/>
          </w:p>
        </w:tc>
        <w:tc>
          <w:tcPr>
            <w:tcW w:w="3233" w:type="dxa"/>
            <w:noWrap w:val="0"/>
            <w:vAlign w:val="center"/>
          </w:tcPr>
          <w:p>
            <w:pPr>
              <w:keepNext w:val="0"/>
              <w:keepLines w:val="0"/>
              <w:pageBreakBefore w:val="0"/>
              <w:widowControl/>
              <w:suppressLineNumbers w:val="0"/>
              <w:kinsoku/>
              <w:wordWrap/>
              <w:overflowPunct/>
              <w:topLinePunct w:val="0"/>
              <w:bidi w:val="0"/>
              <w:spacing w:line="360" w:lineRule="exact"/>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危险品仓储594（不含加油站的油库；不含加气站的气库）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建设性质</w:t>
            </w:r>
          </w:p>
        </w:tc>
        <w:tc>
          <w:tcPr>
            <w:tcW w:w="2546" w:type="dxa"/>
            <w:noWrap w:val="0"/>
            <w:vAlign w:val="center"/>
          </w:tcPr>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新建（迁建）</w:t>
            </w:r>
          </w:p>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改建</w:t>
            </w:r>
          </w:p>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扩建</w:t>
            </w:r>
          </w:p>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技术改造</w:t>
            </w:r>
          </w:p>
        </w:tc>
        <w:tc>
          <w:tcPr>
            <w:tcW w:w="1991"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w:t>
            </w:r>
          </w:p>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申报情形</w:t>
            </w:r>
          </w:p>
        </w:tc>
        <w:tc>
          <w:tcPr>
            <w:tcW w:w="3233" w:type="dxa"/>
            <w:noWrap w:val="0"/>
            <w:vAlign w:val="center"/>
          </w:tcPr>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不予批准后再次申报项目</w:t>
            </w:r>
          </w:p>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 xml:space="preserve">超五年重新审核项目     </w:t>
            </w:r>
          </w:p>
          <w:p>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项目审批部门</w:t>
            </w:r>
          </w:p>
        </w:tc>
        <w:tc>
          <w:tcPr>
            <w:tcW w:w="2546"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达州市发展和改革委员会</w:t>
            </w:r>
          </w:p>
        </w:tc>
        <w:tc>
          <w:tcPr>
            <w:tcW w:w="1991"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项目审批（核准/</w:t>
            </w:r>
          </w:p>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备案）文号（选填）</w:t>
            </w:r>
          </w:p>
        </w:tc>
        <w:tc>
          <w:tcPr>
            <w:tcW w:w="3233"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达市发改审[2020]53号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总投资（万元）</w:t>
            </w:r>
          </w:p>
        </w:tc>
        <w:tc>
          <w:tcPr>
            <w:tcW w:w="2546"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29000</w:t>
            </w:r>
          </w:p>
        </w:tc>
        <w:tc>
          <w:tcPr>
            <w:tcW w:w="1991"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环保投资（万元）</w:t>
            </w:r>
          </w:p>
        </w:tc>
        <w:tc>
          <w:tcPr>
            <w:tcW w:w="3233"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环保投资占比（%）</w:t>
            </w:r>
          </w:p>
        </w:tc>
        <w:tc>
          <w:tcPr>
            <w:tcW w:w="2546"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1.48</w:t>
            </w:r>
            <w:r>
              <w:rPr>
                <w:rFonts w:hint="eastAsia" w:cs="Times New Roman"/>
                <w:color w:val="auto"/>
                <w:sz w:val="24"/>
                <w:szCs w:val="24"/>
                <w:highlight w:val="none"/>
                <w:lang w:eastAsia="zh-CN"/>
              </w:rPr>
              <w:t>%</w:t>
            </w:r>
          </w:p>
        </w:tc>
        <w:tc>
          <w:tcPr>
            <w:tcW w:w="1991"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施工工期</w:t>
            </w:r>
          </w:p>
        </w:tc>
        <w:tc>
          <w:tcPr>
            <w:tcW w:w="3233"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eastAsia" w:cs="Times New Roman"/>
                <w:color w:val="auto"/>
                <w:kern w:val="0"/>
                <w:sz w:val="24"/>
                <w:szCs w:val="24"/>
                <w:highlight w:val="none"/>
                <w:lang w:val="en-US" w:eastAsia="zh-CN" w:bidi="ar"/>
              </w:rPr>
              <w:t>24</w:t>
            </w:r>
            <w:r>
              <w:rPr>
                <w:rFonts w:hint="default" w:ascii="Times New Roman" w:hAnsi="Times New Roman" w:cs="Times New Roman"/>
                <w:color w:val="auto"/>
                <w:kern w:val="0"/>
                <w:sz w:val="24"/>
                <w:szCs w:val="24"/>
                <w:highlight w:val="none"/>
                <w:lang w:bidi="ar"/>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是否开工建设</w:t>
            </w:r>
          </w:p>
        </w:tc>
        <w:tc>
          <w:tcPr>
            <w:tcW w:w="2546" w:type="dxa"/>
            <w:noWrap w:val="0"/>
            <w:vAlign w:val="center"/>
          </w:tcPr>
          <w:p>
            <w:pPr>
              <w:keepNext w:val="0"/>
              <w:keepLines w:val="0"/>
              <w:pageBreakBefore w:val="0"/>
              <w:kinsoku/>
              <w:wordWrap/>
              <w:overflowPunct/>
              <w:topLinePunct w:val="0"/>
              <w:bidi w:val="0"/>
              <w:adjustRightInd w:val="0"/>
              <w:snapToGrid w:val="0"/>
              <w:spacing w:line="360" w:lineRule="exac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否</w:t>
            </w:r>
          </w:p>
          <w:p>
            <w:pPr>
              <w:keepNext w:val="0"/>
              <w:keepLines w:val="0"/>
              <w:pageBreakBefore w:val="0"/>
              <w:kinsoku/>
              <w:wordWrap/>
              <w:overflowPunct/>
              <w:topLinePunct w:val="0"/>
              <w:bidi w:val="0"/>
              <w:adjustRightInd w:val="0"/>
              <w:snapToGrid w:val="0"/>
              <w:spacing w:line="360" w:lineRule="exac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991"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pacing w:val="-6"/>
                <w:sz w:val="24"/>
                <w:szCs w:val="24"/>
              </w:rPr>
              <w:t>用地面积（m</w:t>
            </w:r>
            <w:r>
              <w:rPr>
                <w:rFonts w:hint="default" w:ascii="Times New Roman" w:hAnsi="Times New Roman" w:cs="Times New Roman"/>
                <w:b/>
                <w:bCs/>
                <w:color w:val="auto"/>
                <w:spacing w:val="-6"/>
                <w:sz w:val="24"/>
                <w:szCs w:val="24"/>
                <w:vertAlign w:val="superscript"/>
              </w:rPr>
              <w:t>2</w:t>
            </w:r>
            <w:r>
              <w:rPr>
                <w:rFonts w:hint="default" w:ascii="Times New Roman" w:hAnsi="Times New Roman" w:cs="Times New Roman"/>
                <w:b/>
                <w:bCs/>
                <w:color w:val="auto"/>
                <w:spacing w:val="-6"/>
                <w:sz w:val="24"/>
                <w:szCs w:val="24"/>
              </w:rPr>
              <w:t>）</w:t>
            </w:r>
          </w:p>
        </w:tc>
        <w:tc>
          <w:tcPr>
            <w:tcW w:w="3233"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239.12</w:t>
            </w:r>
            <w:r>
              <w:rPr>
                <w:rFonts w:hint="default" w:ascii="Times New Roman" w:hAnsi="Times New Roman" w:eastAsia="宋体" w:cs="Times New Roman"/>
                <w:color w:val="auto"/>
                <w:sz w:val="24"/>
                <w:lang w:val="en-US" w:eastAsia="zh-CN"/>
              </w:rPr>
              <w:t>亩（铁路部分</w:t>
            </w:r>
            <w:r>
              <w:rPr>
                <w:rFonts w:hint="eastAsia" w:cs="Times New Roman"/>
                <w:color w:val="auto"/>
                <w:sz w:val="24"/>
                <w:lang w:val="en-US" w:eastAsia="zh-CN"/>
              </w:rPr>
              <w:t>57.43</w:t>
            </w:r>
            <w:r>
              <w:rPr>
                <w:rFonts w:hint="default" w:ascii="Times New Roman" w:hAnsi="Times New Roman" w:eastAsia="宋体" w:cs="Times New Roman"/>
                <w:color w:val="auto"/>
                <w:sz w:val="24"/>
                <w:lang w:val="en-US" w:eastAsia="zh-CN"/>
              </w:rPr>
              <w:t>亩，库区</w:t>
            </w:r>
            <w:r>
              <w:rPr>
                <w:rFonts w:hint="eastAsia" w:cs="Times New Roman"/>
                <w:color w:val="auto"/>
                <w:sz w:val="24"/>
                <w:lang w:val="en-US" w:eastAsia="zh-CN"/>
              </w:rPr>
              <w:t>82.01</w:t>
            </w:r>
            <w:r>
              <w:rPr>
                <w:rFonts w:hint="default" w:ascii="Times New Roman" w:hAnsi="Times New Roman" w:eastAsia="宋体" w:cs="Times New Roman"/>
                <w:color w:val="auto"/>
                <w:sz w:val="24"/>
                <w:lang w:val="en-US" w:eastAsia="zh-CN"/>
              </w:rPr>
              <w:t>亩</w:t>
            </w:r>
            <w:r>
              <w:rPr>
                <w:rFonts w:hint="eastAsia" w:cs="Times New Roman"/>
                <w:color w:val="auto"/>
                <w:sz w:val="24"/>
                <w:lang w:val="en-US" w:eastAsia="zh-CN"/>
              </w:rPr>
              <w:t>，边坡99.68亩</w:t>
            </w:r>
            <w:r>
              <w:rPr>
                <w:rFonts w:hint="default" w:ascii="Times New Roman" w:hAnsi="Times New Roman" w:eastAsia="宋体" w:cs="Times New Roman"/>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专项评价设置情况</w:t>
            </w:r>
          </w:p>
        </w:tc>
        <w:tc>
          <w:tcPr>
            <w:tcW w:w="7770" w:type="dxa"/>
            <w:gridSpan w:val="3"/>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设置理由：有毒有害和易燃易爆危险物质存储量超过临界量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规划情况</w:t>
            </w:r>
          </w:p>
        </w:tc>
        <w:tc>
          <w:tcPr>
            <w:tcW w:w="7770" w:type="dxa"/>
            <w:gridSpan w:val="3"/>
            <w:noWrap w:val="0"/>
            <w:vAlign w:val="center"/>
          </w:tcPr>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b w:val="0"/>
                <w:bCs w:val="0"/>
                <w:color w:val="auto"/>
                <w:sz w:val="24"/>
                <w:szCs w:val="24"/>
                <w:highlight w:val="none"/>
                <w:lang w:eastAsia="zh-CN"/>
              </w:rPr>
            </w:pPr>
            <w:r>
              <w:rPr>
                <w:rFonts w:hint="eastAsia" w:cs="Times New Roman"/>
                <w:b w:val="0"/>
                <w:bCs w:val="0"/>
                <w:color w:val="auto"/>
                <w:sz w:val="24"/>
                <w:szCs w:val="24"/>
                <w:highlight w:val="none"/>
                <w:lang w:val="en-US" w:eastAsia="zh-CN"/>
              </w:rPr>
              <w:t>四川省人民政府</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val="en-US" w:eastAsia="zh-CN"/>
              </w:rPr>
              <w:t>关于</w:t>
            </w:r>
            <w:r>
              <w:rPr>
                <w:rFonts w:hint="default" w:ascii="Times New Roman" w:hAnsi="Times New Roman" w:cs="Times New Roman"/>
                <w:b w:val="0"/>
                <w:bCs w:val="0"/>
                <w:color w:val="auto"/>
                <w:sz w:val="24"/>
                <w:szCs w:val="24"/>
                <w:highlight w:val="none"/>
              </w:rPr>
              <w:t>达州市城市总体规划（2011-2030）</w:t>
            </w:r>
            <w:r>
              <w:rPr>
                <w:rFonts w:hint="eastAsia" w:cs="Times New Roman"/>
                <w:b w:val="0"/>
                <w:bCs w:val="0"/>
                <w:color w:val="auto"/>
                <w:sz w:val="24"/>
                <w:szCs w:val="24"/>
                <w:highlight w:val="none"/>
                <w:lang w:val="en-US" w:eastAsia="zh-CN"/>
              </w:rPr>
              <w:t>的批复</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川府函[2012]233号，2012年10月</w:t>
            </w:r>
            <w:r>
              <w:rPr>
                <w:rFonts w:hint="default" w:ascii="Times New Roman" w:hAnsi="Times New Roman" w:cs="Times New Roman"/>
                <w:b w:val="0"/>
                <w:bCs w:val="0"/>
                <w:color w:val="auto"/>
                <w:sz w:val="24"/>
                <w:szCs w:val="24"/>
                <w:highlight w:val="none"/>
                <w:lang w:eastAsia="zh-CN"/>
              </w:rPr>
              <w:t>；</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四川省住房和城乡建设厅</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关于</w:t>
            </w:r>
            <w:r>
              <w:rPr>
                <w:rFonts w:hint="default" w:ascii="Times New Roman" w:hAnsi="Times New Roman" w:cs="Times New Roman"/>
                <w:color w:val="auto"/>
                <w:sz w:val="24"/>
                <w:szCs w:val="24"/>
                <w:highlight w:val="none"/>
              </w:rPr>
              <w:t>达州市城市总体规划（2011-2030）</w:t>
            </w:r>
            <w:r>
              <w:rPr>
                <w:rFonts w:hint="eastAsia" w:cs="Times New Roman"/>
                <w:color w:val="auto"/>
                <w:sz w:val="24"/>
                <w:szCs w:val="24"/>
                <w:highlight w:val="none"/>
                <w:lang w:val="en-US" w:eastAsia="zh-CN"/>
              </w:rPr>
              <w:t>的批复</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2015版</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川建规函[2015]519号，2015年7月</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达州市人民政府《关于通川区土地利用总体规划（2006-2020）的批复》达市府函[2014]244号，2014年12月；</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《四川双龙铁路物流园规划》；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100" w:type="dxa"/>
            <w:noWrap w:val="0"/>
            <w:vAlign w:val="center"/>
          </w:tcPr>
          <w:p>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规划环境影响评价情况</w:t>
            </w:r>
          </w:p>
        </w:tc>
        <w:tc>
          <w:tcPr>
            <w:tcW w:w="7770" w:type="dxa"/>
            <w:gridSpan w:val="3"/>
            <w:noWrap w:val="0"/>
            <w:vAlign w:val="center"/>
          </w:tcPr>
          <w:p>
            <w:pPr>
              <w:pStyle w:val="72"/>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jc w:val="both"/>
              <w:textAlignment w:val="auto"/>
              <w:rPr>
                <w:b w:val="0"/>
                <w:bCs w:val="0"/>
                <w:color w:val="auto"/>
                <w:sz w:val="24"/>
                <w:szCs w:val="24"/>
              </w:rPr>
            </w:pPr>
            <w:r>
              <w:rPr>
                <w:rFonts w:hint="eastAsia" w:cs="Times New Roman"/>
                <w:b w:val="0"/>
                <w:bCs w:val="0"/>
                <w:color w:val="auto"/>
                <w:kern w:val="2"/>
                <w:sz w:val="24"/>
                <w:szCs w:val="24"/>
                <w:highlight w:val="none"/>
                <w:lang w:val="en-US" w:eastAsia="zh-CN" w:bidi="ar-SA"/>
              </w:rPr>
              <w:t>达州市通川区环境保护局《关于四川双龙铁路物流园规划环境影响报告书审查意见的函》，通区环函[2016]20号；</w:t>
            </w:r>
          </w:p>
          <w:p>
            <w:pPr>
              <w:pStyle w:val="72"/>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四川双龙物流园A区规划环境影响报告书</w:t>
            </w:r>
            <w:r>
              <w:rPr>
                <w:rFonts w:hint="eastAsia" w:ascii="Times New Roman" w:hAnsi="Times New Roman" w:eastAsia="宋体" w:cs="Times New Roman"/>
                <w:color w:val="auto"/>
                <w:kern w:val="2"/>
                <w:sz w:val="24"/>
                <w:szCs w:val="24"/>
                <w:highlight w:val="none"/>
                <w:lang w:val="en-US" w:eastAsia="zh-CN" w:bidi="ar-SA"/>
              </w:rPr>
              <w:t>》正在编制中；</w:t>
            </w:r>
          </w:p>
          <w:p>
            <w:pPr>
              <w:pStyle w:val="72"/>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《达州市通川区人民政府关于达州发展（控股）有限责任公司7101油库迁建项目申请环评手续容缺办理的函》。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0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规划及规划环境影响评价符合性分析</w:t>
            </w:r>
          </w:p>
        </w:tc>
        <w:tc>
          <w:tcPr>
            <w:tcW w:w="7770" w:type="dxa"/>
            <w:gridSpan w:val="3"/>
            <w:noWrap w:val="0"/>
            <w:vAlign w:val="center"/>
          </w:tcPr>
          <w:p>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与《达州市城市总体规划（2011-2030）》的符合性分析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bidi="ar"/>
              </w:rPr>
              <w:t>201</w:t>
            </w:r>
            <w:r>
              <w:rPr>
                <w:rFonts w:hint="eastAsia"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bidi="ar"/>
              </w:rPr>
              <w:t>年</w:t>
            </w:r>
            <w:r>
              <w:rPr>
                <w:rFonts w:hint="eastAsia" w:cs="Times New Roman"/>
                <w:color w:val="auto"/>
                <w:kern w:val="0"/>
                <w:sz w:val="24"/>
                <w:szCs w:val="24"/>
                <w:highlight w:val="none"/>
                <w:lang w:val="en-US" w:eastAsia="zh-CN" w:bidi="ar"/>
              </w:rPr>
              <w:t>7</w:t>
            </w:r>
            <w:r>
              <w:rPr>
                <w:rFonts w:hint="default" w:ascii="Times New Roman" w:hAnsi="Times New Roman" w:cs="Times New Roman"/>
                <w:color w:val="auto"/>
                <w:kern w:val="0"/>
                <w:sz w:val="24"/>
                <w:szCs w:val="24"/>
                <w:highlight w:val="none"/>
                <w:lang w:bidi="ar"/>
              </w:rPr>
              <w:t>月，四川省</w:t>
            </w:r>
            <w:r>
              <w:rPr>
                <w:rFonts w:hint="eastAsia" w:cs="Times New Roman"/>
                <w:color w:val="auto"/>
                <w:kern w:val="0"/>
                <w:sz w:val="24"/>
                <w:szCs w:val="24"/>
                <w:highlight w:val="none"/>
                <w:lang w:val="en-US" w:eastAsia="zh-CN" w:bidi="ar"/>
              </w:rPr>
              <w:t>住房和城乡建设厅受四川省人民政府委托批准通过了</w:t>
            </w:r>
            <w:r>
              <w:rPr>
                <w:rFonts w:hint="default" w:ascii="Times New Roman" w:hAnsi="Times New Roman" w:cs="Times New Roman"/>
                <w:color w:val="auto"/>
                <w:kern w:val="0"/>
                <w:sz w:val="24"/>
                <w:szCs w:val="24"/>
                <w:highlight w:val="none"/>
                <w:lang w:bidi="ar"/>
              </w:rPr>
              <w:t>《达州市城市总体规划（2011-2030）》，</w:t>
            </w:r>
            <w:r>
              <w:rPr>
                <w:rFonts w:hint="default" w:ascii="Times New Roman" w:hAnsi="Times New Roman" w:cs="Times New Roman"/>
                <w:color w:val="auto"/>
                <w:kern w:val="0"/>
                <w:sz w:val="24"/>
                <w:szCs w:val="24"/>
                <w:highlight w:val="none"/>
                <w:lang w:bidi="ar"/>
              </w:rPr>
              <w:t>确定了达州市未来城市发展方向</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形成一核一圈两翼三轴的城镇体系空间结构。</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eastAsia" w:cs="Times New Roman"/>
                <w:b w:val="0"/>
                <w:bCs w:val="0"/>
                <w:color w:val="auto"/>
                <w:kern w:val="0"/>
                <w:sz w:val="24"/>
                <w:szCs w:val="24"/>
                <w:highlight w:val="none"/>
                <w:lang w:val="en-US" w:eastAsia="zh-CN" w:bidi="ar"/>
              </w:rPr>
              <w:t>本项目位于达州市通川区双龙铁路物流园，项目用地</w:t>
            </w:r>
            <w:r>
              <w:rPr>
                <w:rFonts w:hint="eastAsia" w:ascii="Times New Roman" w:hAnsi="Times New Roman" w:eastAsia="宋体" w:cs="Times New Roman"/>
                <w:b w:val="0"/>
                <w:bCs w:val="0"/>
                <w:color w:val="auto"/>
                <w:kern w:val="0"/>
                <w:sz w:val="24"/>
                <w:szCs w:val="24"/>
                <w:highlight w:val="none"/>
                <w:lang w:val="en-US" w:eastAsia="zh-CN" w:bidi="ar"/>
              </w:rPr>
              <w:t>在达州市城市总体规划的远期规划控制范围线内，但部分用地（约</w:t>
            </w:r>
            <w:r>
              <w:rPr>
                <w:rFonts w:hint="eastAsia" w:cs="Times New Roman"/>
                <w:b w:val="0"/>
                <w:bCs w:val="0"/>
                <w:color w:val="auto"/>
                <w:kern w:val="0"/>
                <w:sz w:val="24"/>
                <w:szCs w:val="24"/>
                <w:highlight w:val="none"/>
                <w:lang w:val="en-US" w:eastAsia="zh-CN" w:bidi="ar"/>
              </w:rPr>
              <w:t>222.89</w:t>
            </w:r>
            <w:r>
              <w:rPr>
                <w:rFonts w:hint="eastAsia" w:ascii="Times New Roman" w:hAnsi="Times New Roman" w:eastAsia="宋体" w:cs="Times New Roman"/>
                <w:b w:val="0"/>
                <w:bCs w:val="0"/>
                <w:color w:val="auto"/>
                <w:kern w:val="0"/>
                <w:sz w:val="24"/>
                <w:szCs w:val="24"/>
                <w:highlight w:val="none"/>
                <w:lang w:val="en-US" w:eastAsia="zh-CN" w:bidi="ar"/>
              </w:rPr>
              <w:t>亩）</w:t>
            </w:r>
            <w:r>
              <w:rPr>
                <w:rFonts w:hint="eastAsia" w:ascii="Times New Roman" w:hAnsi="Times New Roman" w:eastAsia="宋体" w:cs="Times New Roman"/>
                <w:b w:val="0"/>
                <w:bCs w:val="0"/>
                <w:color w:val="auto"/>
                <w:kern w:val="0"/>
                <w:sz w:val="24"/>
                <w:szCs w:val="24"/>
                <w:highlight w:val="none"/>
                <w:lang w:val="en-US" w:eastAsia="zh-CN" w:bidi="ar"/>
              </w:rPr>
              <w:t>不属于城市建设用地，仅有16.23亩为城市建设用地中的仓储用地。</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eastAsia="zh-CN" w:bidi="ar"/>
              </w:rPr>
              <w:t>根据本项目选址论证报告中</w:t>
            </w:r>
            <w:r>
              <w:rPr>
                <w:rFonts w:hint="eastAsia" w:cs="Times New Roman"/>
                <w:b w:val="0"/>
                <w:bCs w:val="0"/>
                <w:color w:val="auto"/>
                <w:kern w:val="0"/>
                <w:sz w:val="24"/>
                <w:szCs w:val="24"/>
                <w:highlight w:val="none"/>
                <w:lang w:val="en-US" w:eastAsia="zh-CN" w:bidi="ar"/>
              </w:rPr>
              <w:t>结论</w:t>
            </w:r>
            <w:r>
              <w:rPr>
                <w:rFonts w:hint="eastAsia" w:ascii="Times New Roman" w:hAnsi="Times New Roman" w:eastAsia="宋体" w:cs="Times New Roman"/>
                <w:b w:val="0"/>
                <w:bCs w:val="0"/>
                <w:color w:val="auto"/>
                <w:kern w:val="0"/>
                <w:sz w:val="24"/>
                <w:szCs w:val="24"/>
                <w:highlight w:val="none"/>
                <w:lang w:eastAsia="zh-CN" w:bidi="ar"/>
              </w:rPr>
              <w:t>：</w:t>
            </w:r>
            <w:r>
              <w:rPr>
                <w:rFonts w:hint="eastAsia" w:cs="Times New Roman"/>
                <w:b/>
                <w:bCs/>
                <w:color w:val="auto"/>
                <w:kern w:val="0"/>
                <w:sz w:val="24"/>
                <w:szCs w:val="24"/>
                <w:highlight w:val="none"/>
                <w:lang w:val="en-US" w:eastAsia="zh-CN" w:bidi="ar"/>
              </w:rPr>
              <w:t>建议</w:t>
            </w:r>
            <w:r>
              <w:rPr>
                <w:rFonts w:hint="eastAsia" w:ascii="Times New Roman" w:hAnsi="Times New Roman" w:eastAsia="宋体" w:cs="Times New Roman"/>
                <w:b/>
                <w:bCs/>
                <w:color w:val="auto"/>
                <w:kern w:val="0"/>
                <w:sz w:val="24"/>
                <w:szCs w:val="24"/>
                <w:highlight w:val="none"/>
                <w:lang w:val="en-US" w:eastAsia="zh-CN" w:bidi="ar"/>
              </w:rPr>
              <w:t>修改达州市城市总体规划，但是由于现在正处于国土空间总体规划的探索及过渡期，城市总体规划的修编工作暂且搁置，鉴于这个特殊情况，建议将本项目纳入下一步达州市国土空间总体规划。</w:t>
            </w:r>
          </w:p>
          <w:p>
            <w:pPr>
              <w:pStyle w:val="1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drawing>
                <wp:inline distT="0" distB="0" distL="114300" distR="114300">
                  <wp:extent cx="3133725" cy="3973195"/>
                  <wp:effectExtent l="12700" t="12700" r="15875" b="14605"/>
                  <wp:docPr id="39" name="图片 39" descr="达州市城市总体规划图201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达州市城市总体规划图2011-2030"/>
                          <pic:cNvPicPr>
                            <a:picLocks noChangeAspect="1"/>
                          </pic:cNvPicPr>
                        </pic:nvPicPr>
                        <pic:blipFill>
                          <a:blip r:embed="rId8"/>
                          <a:stretch>
                            <a:fillRect/>
                          </a:stretch>
                        </pic:blipFill>
                        <pic:spPr>
                          <a:xfrm>
                            <a:off x="0" y="0"/>
                            <a:ext cx="3133725" cy="3973195"/>
                          </a:xfrm>
                          <a:prstGeom prst="rect">
                            <a:avLst/>
                          </a:prstGeom>
                          <a:ln w="12700">
                            <a:solidFill>
                              <a:schemeClr val="tx1"/>
                            </a:solidFill>
                          </a:ln>
                        </pic:spPr>
                      </pic:pic>
                    </a:graphicData>
                  </a:graphic>
                </wp:inline>
              </w:drawing>
            </w:r>
          </w:p>
          <w:p>
            <w:pPr>
              <w:jc w:val="center"/>
              <w:rPr>
                <w:rFonts w:hint="default"/>
                <w:color w:val="auto"/>
                <w:lang w:val="en-US" w:eastAsia="zh-CN"/>
              </w:rPr>
            </w:pPr>
            <w:r>
              <w:rPr>
                <w:rFonts w:hint="eastAsia" w:cs="Times New Roman"/>
                <w:b/>
                <w:bCs/>
                <w:color w:val="auto"/>
                <w:kern w:val="0"/>
                <w:sz w:val="24"/>
                <w:szCs w:val="24"/>
                <w:highlight w:val="none"/>
                <w:lang w:val="en-US" w:eastAsia="zh-CN" w:bidi="ar"/>
              </w:rPr>
              <w:t>图1-1  项目与《达州市城市总体规划》位置关系图</w:t>
            </w:r>
          </w:p>
          <w:p>
            <w:pPr>
              <w:pStyle w:val="1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976630</wp:posOffset>
                      </wp:positionH>
                      <wp:positionV relativeFrom="paragraph">
                        <wp:posOffset>661035</wp:posOffset>
                      </wp:positionV>
                      <wp:extent cx="1086485" cy="341630"/>
                      <wp:effectExtent l="12700" t="12700" r="24765" b="560070"/>
                      <wp:wrapNone/>
                      <wp:docPr id="41" name="圆角矩形标注 41"/>
                      <wp:cNvGraphicFramePr/>
                      <a:graphic xmlns:a="http://schemas.openxmlformats.org/drawingml/2006/main">
                        <a:graphicData uri="http://schemas.microsoft.com/office/word/2010/wordprocessingShape">
                          <wps:wsp>
                            <wps:cNvSpPr/>
                            <wps:spPr>
                              <a:xfrm>
                                <a:off x="2846070" y="1953895"/>
                                <a:ext cx="1086485" cy="341630"/>
                              </a:xfrm>
                              <a:prstGeom prst="wedgeRoundRectCallout">
                                <a:avLst>
                                  <a:gd name="adj1" fmla="val 37609"/>
                                  <a:gd name="adj2" fmla="val 208736"/>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lang w:val="en-US" w:eastAsia="zh-CN"/>
                                    </w:rPr>
                                  </w:pPr>
                                  <w:r>
                                    <w:rPr>
                                      <w:rFonts w:hint="eastAsia"/>
                                      <w:b/>
                                      <w:bCs/>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6.9pt;margin-top:52.05pt;height:26.9pt;width:85.55pt;z-index:251664384;v-text-anchor:middle;mso-width-relative:page;mso-height-relative:page;" fillcolor="#0C1CEA" filled="t" stroked="t" coordsize="21600,21600" o:gfxdata="UEsDBAoAAAAAAIdO4kAAAAAAAAAAAAAAAAAEAAAAZHJzL1BLAwQUAAAACACHTuJAnLbotdoAAAAL&#10;AQAADwAAAGRycy9kb3ducmV2LnhtbE2PzU7DMBCE70i8g7VI3Kjtpvw0xKlUpIoDF1qQKm5u7CYG&#10;ex3FblN4erYnuO1oRrPfVItT8Oxoh+QiKpATAcxiE43DVsH72+rmAVjKGo32Ea2Cb5tgUV9eVLo0&#10;ccS1PW5yy6gEU6kVdDn3Jeep6WzQaRJ7i+Tt4xB0Jjm03Ax6pPLg+VSIOx60Q/rQ6d4+dbb52hyC&#10;gv344eV2ucxtsXJO/rxsXz/1s1LXV1I8Asv2lP/CcMYndKiJaRcPaBLzpG8LQs90iJkERoliOpsD&#10;252t+znwuuL/N9S/UEsDBBQAAAAIAIdO4kCXvzkvyAIAAIkFAAAOAAAAZHJzL2Uyb0RvYy54bWyt&#10;VM1u00AQviPxDqu9U9uJ4/yoThUlFCFVtGpBnDfrdWy0f+xu4pQHgDtnJBAX4MyZx2nhMZhdu23a&#10;cuiBiz3jGX/7zTezs3+wFRxtmLG1kjlO9mKMmKSqqOUqx69eHj4ZYWQdkQXhSrIcnzOLD6aPH+03&#10;esJ6qlK8YAYBiLSTRue4ck5PosjSigli95RmEoKlMoI4cM0qKgxpAF3wqBfHWdQoU2ijKLMWvi7a&#10;IO4QzUMAVVnWlC0UXQsmXYtqGCcOSrJVrS2eBrZlyag7LkvLHOI5hkpdeMIhYC/9M5ruk8nKEF3V&#10;tKNAHkLhTk2C1BIOvYZaEEfQ2tT3oERNjbKqdHtUiagtJCgCVSTxHW3OKqJZqAWktvpadPv/YOmL&#10;zYlBdZHjNMFIEgEdv/j0/s+3j78//7j49fXyy4fLn98RBEGpRtsJ/HCmT0znWTB92dvSCP+GgtA2&#10;x71RmsVD0PgcJmw86I/Gg1ZptnWIQkISj7J0NMCIQkY/TbJ+aEV0g6SNdc+YEsgbOW5YsWKnai2L&#10;U+jpnHCu1i4oTjZH1gXpi44/Kd5ALaXg0MkN4ag/zOJx1+mdnN5uTi8eDfvZ/aT+blKSZdnQ5wDP&#10;7liwrph6DlbxujisOQ+OWS3n3CDgAKM2T+ZPZ93Pt9K4RA1INkhjEIwSuFIljDKYQkNbrFxhRPgK&#10;7ip1JlR862/7sEM8yQWxVUsmIHRcuIR6fGfbXnrLbZfbrsFLVZzDgBjV3hyr6WENUEfEuhNiQGDg&#10;DMvEHcOj5AoKUZ2FUaXMu3999/kwwRDFqIGrB0W+XRPDMOLPJcz2OElTgHXBSQfDHjhmN7Lcjci1&#10;mCsQGFoO7ILp8x2/MkujxGvYOTN/KoSIpHB2K2fnzF27EmBrUTabhTS4n5q4I3mmqQf3DZVqtnaq&#10;rJ0fAS9Uq07nwA0Nk9FtE78Cdv2QdbNBp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nLbotdoA&#10;AAALAQAADwAAAAAAAAABACAAAAAiAAAAZHJzL2Rvd25yZXYueG1sUEsBAhQAFAAAAAgAh07iQJe/&#10;OS/IAgAAiQUAAA4AAAAAAAAAAQAgAAAAKQEAAGRycy9lMm9Eb2MueG1sUEsFBgAAAAAGAAYAWQEA&#10;AGMGAAAAAA==&#10;" adj="18924,55887,14400">
                      <v:fill on="t" focussize="0,0"/>
                      <v:stroke weight="2pt" color="#0C1CEA [3204]" joinstyle="round"/>
                      <v:imagedata o:title=""/>
                      <o:lock v:ext="edit" aspectratio="f"/>
                      <v:textbox>
                        <w:txbxContent>
                          <w:p>
                            <w:pPr>
                              <w:jc w:val="center"/>
                              <w:rPr>
                                <w:rFonts w:hint="default" w:eastAsia="宋体"/>
                                <w:b/>
                                <w:bCs/>
                                <w:lang w:val="en-US" w:eastAsia="zh-CN"/>
                              </w:rPr>
                            </w:pPr>
                            <w:r>
                              <w:rPr>
                                <w:rFonts w:hint="eastAsia"/>
                                <w:b/>
                                <w:bCs/>
                                <w:lang w:val="en-US" w:eastAsia="zh-CN"/>
                              </w:rPr>
                              <w:t>本项目所在地</w:t>
                            </w:r>
                          </w:p>
                        </w:txbxContent>
                      </v:textbox>
                    </v:shape>
                  </w:pict>
                </mc:Fallback>
              </mc:AlternateContent>
            </w:r>
            <w:r>
              <w:rPr>
                <w:rFonts w:hint="eastAsia" w:ascii="Times New Roman" w:hAnsi="Times New Roman" w:eastAsia="宋体" w:cs="Times New Roman"/>
                <w:b/>
                <w:bCs/>
                <w:color w:val="auto"/>
                <w:kern w:val="0"/>
                <w:sz w:val="24"/>
                <w:szCs w:val="24"/>
                <w:highlight w:val="none"/>
                <w:lang w:val="en-US" w:eastAsia="zh-CN" w:bidi="ar"/>
              </w:rPr>
              <w:drawing>
                <wp:inline distT="0" distB="0" distL="114300" distR="114300">
                  <wp:extent cx="4783455" cy="3072130"/>
                  <wp:effectExtent l="12700" t="12700" r="23495" b="20320"/>
                  <wp:docPr id="40" name="图片 40" descr="项目用地与达州市城市总体规划用地情况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项目用地与达州市城市总体规划用地情况分析图"/>
                          <pic:cNvPicPr>
                            <a:picLocks noChangeAspect="1"/>
                          </pic:cNvPicPr>
                        </pic:nvPicPr>
                        <pic:blipFill>
                          <a:blip r:embed="rId9"/>
                          <a:stretch>
                            <a:fillRect/>
                          </a:stretch>
                        </pic:blipFill>
                        <pic:spPr>
                          <a:xfrm>
                            <a:off x="0" y="0"/>
                            <a:ext cx="4783455" cy="3072130"/>
                          </a:xfrm>
                          <a:prstGeom prst="rect">
                            <a:avLst/>
                          </a:prstGeom>
                          <a:ln w="12700">
                            <a:solidFill>
                              <a:schemeClr val="tx1"/>
                            </a:solidFill>
                          </a:ln>
                        </pic:spPr>
                      </pic:pic>
                    </a:graphicData>
                  </a:graphic>
                </wp:inline>
              </w:drawing>
            </w:r>
          </w:p>
          <w:p>
            <w:pPr>
              <w:jc w:val="center"/>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图1-2  项目与《达州市城市总体规划》用地情况分析图</w:t>
            </w:r>
          </w:p>
          <w:p>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与《</w:t>
            </w:r>
            <w:r>
              <w:rPr>
                <w:rFonts w:hint="eastAsia" w:cs="Times New Roman"/>
                <w:b/>
                <w:bCs/>
                <w:color w:val="auto"/>
                <w:sz w:val="24"/>
                <w:szCs w:val="24"/>
                <w:highlight w:val="none"/>
                <w:lang w:val="en-US" w:eastAsia="zh-CN"/>
              </w:rPr>
              <w:t>通川区</w:t>
            </w:r>
            <w:r>
              <w:rPr>
                <w:rFonts w:hint="default" w:ascii="Times New Roman" w:hAnsi="Times New Roman" w:cs="Times New Roman"/>
                <w:b/>
                <w:bCs/>
                <w:color w:val="auto"/>
                <w:sz w:val="24"/>
                <w:szCs w:val="24"/>
                <w:highlight w:val="none"/>
              </w:rPr>
              <w:t>土地利用</w:t>
            </w:r>
            <w:r>
              <w:rPr>
                <w:rFonts w:hint="eastAsia" w:cs="Times New Roman"/>
                <w:b/>
                <w:bCs/>
                <w:color w:val="auto"/>
                <w:sz w:val="24"/>
                <w:szCs w:val="24"/>
                <w:highlight w:val="none"/>
                <w:lang w:eastAsia="zh-CN"/>
              </w:rPr>
              <w:t>总体</w:t>
            </w:r>
            <w:r>
              <w:rPr>
                <w:rFonts w:hint="default" w:ascii="Times New Roman" w:hAnsi="Times New Roman" w:cs="Times New Roman"/>
                <w:b/>
                <w:bCs/>
                <w:color w:val="auto"/>
                <w:sz w:val="24"/>
                <w:szCs w:val="24"/>
                <w:highlight w:val="none"/>
              </w:rPr>
              <w:t>规划》的符合性分析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选址在《通川区土地利用总体规划图》（2014年调整完善版）城区段中用地性质为建设用地及有条件建设区，本项目为7101油库，用地将作为建设用地，因此本项目选址与《通川区土地利用总体规划图》（2014年调整完善版）城区段是相符合的。</w:t>
            </w:r>
          </w:p>
          <w:p>
            <w:pPr>
              <w:pStyle w:val="1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color w:val="auto"/>
                <w:lang w:val="en-US" w:eastAsia="zh-CN"/>
              </w:rPr>
            </w:pPr>
            <w:r>
              <w:rPr>
                <w:rFonts w:hint="eastAsia"/>
                <w:color w:val="auto"/>
                <w:lang w:val="en-US" w:eastAsia="zh-CN"/>
              </w:rPr>
              <w:drawing>
                <wp:inline distT="0" distB="0" distL="114300" distR="114300">
                  <wp:extent cx="4472940" cy="3486785"/>
                  <wp:effectExtent l="12700" t="12700" r="29210" b="24765"/>
                  <wp:docPr id="48" name="图片 48" descr="选址与通川区土地利用规划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选址与通川区土地利用规划关系"/>
                          <pic:cNvPicPr>
                            <a:picLocks noChangeAspect="1"/>
                          </pic:cNvPicPr>
                        </pic:nvPicPr>
                        <pic:blipFill>
                          <a:blip r:embed="rId10"/>
                          <a:stretch>
                            <a:fillRect/>
                          </a:stretch>
                        </pic:blipFill>
                        <pic:spPr>
                          <a:xfrm>
                            <a:off x="0" y="0"/>
                            <a:ext cx="4472940" cy="3486785"/>
                          </a:xfrm>
                          <a:prstGeom prst="rect">
                            <a:avLst/>
                          </a:prstGeom>
                          <a:ln w="12700">
                            <a:solidFill>
                              <a:schemeClr val="tx1"/>
                            </a:solid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4"/>
                <w:szCs w:val="24"/>
                <w:highlight w:val="none"/>
              </w:rPr>
            </w:pPr>
            <w:r>
              <w:rPr>
                <w:rFonts w:hint="eastAsia" w:cs="Times New Roman"/>
                <w:b/>
                <w:bCs/>
                <w:color w:val="auto"/>
                <w:kern w:val="0"/>
                <w:sz w:val="24"/>
                <w:szCs w:val="24"/>
                <w:highlight w:val="none"/>
                <w:lang w:val="en-US" w:eastAsia="zh-CN" w:bidi="ar"/>
              </w:rPr>
              <w:t>图1-3  项目与《通川区土地利用总体规划》用地情况分析图</w:t>
            </w:r>
          </w:p>
          <w:p>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与《四川双龙铁路物流园规划》的符合性分析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根据《四川双龙铁路物流园规划环境影响报告书》及</w:t>
            </w:r>
            <w:r>
              <w:rPr>
                <w:rFonts w:hint="eastAsia" w:cs="Times New Roman"/>
                <w:b w:val="0"/>
                <w:bCs w:val="0"/>
                <w:color w:val="auto"/>
                <w:kern w:val="2"/>
                <w:sz w:val="24"/>
                <w:szCs w:val="24"/>
                <w:highlight w:val="none"/>
                <w:lang w:val="en-US" w:eastAsia="zh-CN" w:bidi="ar-SA"/>
              </w:rPr>
              <w:t>达州市通川区环境保护局《关于四川双龙铁路物流园规划环境影响报告书审查意见的函》（通区环函[2016]20号）进行符合性分析。</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表1-1  本项目与园区规划符合性分析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442"/>
              <w:gridCol w:w="2580"/>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序号</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规划内容</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本项目情况</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规划范围</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区四至范围：四川双龙铁路物流园位于达州市西北，通川区双龙镇北侧，东以双龙河临凤凰山为界，西至襄渝铁路场站附近，南与双龙镇场镇毗邻，北与东岳镇接壤，面积约1.5平方公里，C区规划范围位于复兴镇复兴社区六组，面积约150亩。</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本项目位于四川双龙铁路物流园A区，但部分位于园区现有规划范围外。根据达市规委会[2020]6号，原则同意</w:t>
                  </w:r>
                  <w:r>
                    <w:rPr>
                      <w:rFonts w:hint="default" w:cs="Times New Roman"/>
                      <w:color w:val="auto"/>
                      <w:kern w:val="0"/>
                      <w:sz w:val="21"/>
                      <w:szCs w:val="21"/>
                      <w:highlight w:val="none"/>
                      <w:vertAlign w:val="baseline"/>
                      <w:lang w:val="en-US" w:eastAsia="zh-CN" w:bidi="ar"/>
                    </w:rPr>
                    <w:t>项目选址于达州市通川区双龙铁路物流园区中部（野梨树湾，地块编号01-C-01-02）</w:t>
                  </w:r>
                  <w:r>
                    <w:rPr>
                      <w:rFonts w:hint="eastAsia" w:cs="Times New Roman"/>
                      <w:color w:val="auto"/>
                      <w:kern w:val="0"/>
                      <w:sz w:val="21"/>
                      <w:szCs w:val="21"/>
                      <w:highlight w:val="none"/>
                      <w:vertAlign w:val="baseline"/>
                      <w:lang w:val="en-US" w:eastAsia="zh-CN" w:bidi="ar"/>
                    </w:rPr>
                    <w:t>，</w:t>
                  </w:r>
                  <w:r>
                    <w:rPr>
                      <w:rFonts w:hint="default" w:cs="Times New Roman"/>
                      <w:color w:val="auto"/>
                      <w:kern w:val="0"/>
                      <w:sz w:val="21"/>
                      <w:szCs w:val="21"/>
                      <w:highlight w:val="none"/>
                      <w:vertAlign w:val="baseline"/>
                      <w:lang w:val="en-US" w:eastAsia="zh-CN" w:bidi="ar"/>
                    </w:rPr>
                    <w:t>并将项目用地纳入《达州市国土空间总体规划》和《达州市环城路二期及环凤产业大道沿线区域控制性详细规划》中统筹考虑，用地性质为三类仓储用地。</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功能定位</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公路铁路联运枢纽及货物集散中心、仓储基地、电商物流信息金融平台，以专业化、市场化为原则，依托双龙铁路货场，联动秦巴物流园区、达州市农产品加工集中区，重点发展铁路货运、装卸、包装、保管、仓储（粮食、建材、机电、煤炭、汽柴油、危化产品)、加工、流通、配送、电商交易信息平台等业务为一体的川陕鄂渝结合部现代化物流园区。达州最具投资价值的物流产业集聚地。</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本项目为</w:t>
                  </w:r>
                  <w:r>
                    <w:rPr>
                      <w:rFonts w:hint="eastAsia" w:ascii="Times New Roman" w:hAnsi="Times New Roman" w:eastAsia="宋体" w:cs="Times New Roman"/>
                      <w:snapToGrid w:val="0"/>
                      <w:color w:val="auto"/>
                      <w:sz w:val="21"/>
                      <w:szCs w:val="21"/>
                      <w:lang w:val="en-US" w:eastAsia="zh-CN"/>
                    </w:rPr>
                    <w:t>属于油气仓储项目，</w:t>
                  </w:r>
                  <w:r>
                    <w:rPr>
                      <w:rFonts w:hint="eastAsia" w:cs="Times New Roman"/>
                      <w:snapToGrid w:val="0"/>
                      <w:color w:val="auto"/>
                      <w:sz w:val="21"/>
                      <w:szCs w:val="21"/>
                      <w:lang w:val="en-US" w:eastAsia="zh-CN"/>
                    </w:rPr>
                    <w:t>主要储存汽油、柴油。</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土地利用规划</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规划居住用地面积3.2hm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，占总建设用地的2.81%，商业服务设施用地面积9.08hm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，占总建设用地的7.97%，物流仓储用地面积84.0hm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，占总建设用地的73.77%，道路与交通设施用地面积10.12hm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，占总建设用地的8.89%，规划绿地与广场面积.7.12hm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，占总建设用地的6.25%，园区总建设用地为113.87hm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本项目占地属于物流仓储用地，但部分位于园区现有规划范围外。根据达市规委会[2020]6号，原则同意</w:t>
                  </w:r>
                  <w:r>
                    <w:rPr>
                      <w:rFonts w:hint="default" w:cs="Times New Roman"/>
                      <w:color w:val="auto"/>
                      <w:kern w:val="0"/>
                      <w:sz w:val="21"/>
                      <w:szCs w:val="21"/>
                      <w:highlight w:val="none"/>
                      <w:vertAlign w:val="baseline"/>
                      <w:lang w:val="en-US" w:eastAsia="zh-CN" w:bidi="ar"/>
                    </w:rPr>
                    <w:t>项目选址于达州市通川区双龙铁路物流园区中部（野梨树湾，地块编号01-C-01-02）</w:t>
                  </w:r>
                  <w:r>
                    <w:rPr>
                      <w:rFonts w:hint="eastAsia" w:cs="Times New Roman"/>
                      <w:color w:val="auto"/>
                      <w:kern w:val="0"/>
                      <w:sz w:val="21"/>
                      <w:szCs w:val="21"/>
                      <w:highlight w:val="none"/>
                      <w:vertAlign w:val="baseline"/>
                      <w:lang w:val="en-US" w:eastAsia="zh-CN" w:bidi="ar"/>
                    </w:rPr>
                    <w:t>，</w:t>
                  </w:r>
                  <w:r>
                    <w:rPr>
                      <w:rFonts w:hint="default" w:cs="Times New Roman"/>
                      <w:color w:val="auto"/>
                      <w:kern w:val="0"/>
                      <w:sz w:val="21"/>
                      <w:szCs w:val="21"/>
                      <w:highlight w:val="none"/>
                      <w:vertAlign w:val="baseline"/>
                      <w:lang w:val="en-US" w:eastAsia="zh-CN" w:bidi="ar"/>
                    </w:rPr>
                    <w:t>并将项目用地纳入《达州市国土空间总体规划》和《达州市环城路二期及环凤产业大道沿线区域控制性详细规划》中统筹考虑，用地性质为三类仓储用地。</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规划结构</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A区功能结构为“一轴一心五片区”。一轴：铁路物流发展轴；一心：综合服务中心；四片区：能源物流片区、大宗物资片区、综合装卸片区、综合配套区片区、公铁联运片区。</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B区功能结构为“一轴一心四片区”。一轴：公路物流发展轴；一心：生活服务中心；四片区：甩挂运输片区、仓储物流片区、综合配套片区、流通加工及物流装备区片区。</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本项目位于四川双龙铁路物流园A区能源物料片区，但部分位于园区现有规划范围外。根据达市规委会[2020]6号，原则同意</w:t>
                  </w:r>
                  <w:r>
                    <w:rPr>
                      <w:rFonts w:hint="default" w:cs="Times New Roman"/>
                      <w:color w:val="auto"/>
                      <w:kern w:val="0"/>
                      <w:sz w:val="21"/>
                      <w:szCs w:val="21"/>
                      <w:highlight w:val="none"/>
                      <w:vertAlign w:val="baseline"/>
                      <w:lang w:val="en-US" w:eastAsia="zh-CN" w:bidi="ar"/>
                    </w:rPr>
                    <w:t>项目选址于达州市通川区双龙铁路物流园区中部（野梨树湾，地块编号01-C-01-02）</w:t>
                  </w:r>
                  <w:r>
                    <w:rPr>
                      <w:rFonts w:hint="eastAsia" w:cs="Times New Roman"/>
                      <w:color w:val="auto"/>
                      <w:kern w:val="0"/>
                      <w:sz w:val="21"/>
                      <w:szCs w:val="21"/>
                      <w:highlight w:val="none"/>
                      <w:vertAlign w:val="baseline"/>
                      <w:lang w:val="en-US" w:eastAsia="zh-CN" w:bidi="ar"/>
                    </w:rPr>
                    <w:t>，</w:t>
                  </w:r>
                  <w:r>
                    <w:rPr>
                      <w:rFonts w:hint="default" w:cs="Times New Roman"/>
                      <w:color w:val="auto"/>
                      <w:kern w:val="0"/>
                      <w:sz w:val="21"/>
                      <w:szCs w:val="21"/>
                      <w:highlight w:val="none"/>
                      <w:vertAlign w:val="baseline"/>
                      <w:lang w:val="en-US" w:eastAsia="zh-CN" w:bidi="ar"/>
                    </w:rPr>
                    <w:t>并将项目用地纳入《达州市国土空间总体规划》和《达州市环城路二期及环凤产业大道沿线区域控制性详细规划》中统筹考虑，用地性质为三类仓储用地。</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4</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基础设施规划：</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（1）给水工程规划：根据《达州市城市总体规划》（2011-2030）和《双龙镇总体规划（2014-2030）》，规划在莲花湖建水厂一处，规模为50万m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/d，规划用地15hm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，水源为州河、白岩水库水，服务范围为包括本园区在内双龙镇、复兴镇等达州市西北片区。</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（2）排水工程规划：物流园区依托规划双龙镇污水处理厂进行污水处理。规划双龙镇污水处理厂设计规模1万m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/d（一期建设0.1万m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/d），排水执行GB18918-2002中的一级B标，纳污水体为双龙河。</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（3）另外，规划方案还对园区燃气工程、电信工程、电力工程、通讯工程、环卫设施等基础设施进行了规划。</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（1）给水：园区给水管网以铺设至本厂区，项目用水由园区供水管网提供。</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（2）排水：双龙镇污水处理厂及管网已建成运行，采用PASG工艺，出水执行GB18918-2002中的一级A标准。项目废水排入双龙镇污水处理厂进行处理。</w:t>
                  </w:r>
                </w:p>
                <w:p>
                  <w:pPr>
                    <w:keepNext w:val="0"/>
                    <w:keepLines w:val="0"/>
                    <w:pageBreakBefore w:val="0"/>
                    <w:kinsoku/>
                    <w:wordWrap/>
                    <w:overflowPunct/>
                    <w:topLinePunct w:val="0"/>
                    <w:autoSpaceDE/>
                    <w:autoSpaceDN/>
                    <w:bidi w:val="0"/>
                    <w:adjustRightInd/>
                    <w:snapToGrid/>
                    <w:spacing w:line="360" w:lineRule="exact"/>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（3）供电：本项目电源引自园区内10kV架空线。</w:t>
                  </w:r>
                </w:p>
                <w:p>
                  <w:pPr>
                    <w:keepNext w:val="0"/>
                    <w:keepLines w:val="0"/>
                    <w:pageBreakBefore w:val="0"/>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s="Times New Roman"/>
                      <w:color w:val="auto"/>
                      <w:kern w:val="0"/>
                      <w:sz w:val="21"/>
                      <w:szCs w:val="21"/>
                      <w:highlight w:val="none"/>
                      <w:vertAlign w:val="baseline"/>
                      <w:lang w:val="en-US" w:eastAsia="zh-CN" w:bidi="ar"/>
                    </w:rPr>
                    <w:t>（4）通信：项目所需电话、网线由市政引入。</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5</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禁止及限制发展的产（行）业</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（1）禁止引入不符合国家现行产业政策的产业。</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（2）禁止引入无相关资质的物流企业及生产加工型企业；</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（3）禁止技术落后，清洁生产水平不能达到行业清洁生产标准二级标准要求或低于全国同类企业平均清洁生产水平的项目。</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本项目属于油气仓储项目，符合国家及地方现行产业政策，本项目具有相关经营、仓储许可证，本项目清洁生产水平不低于二级。不属于禁止及限制发展的产（行）业</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6</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鼓励发展的产业</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（1）有资质、专业的现代商贸物流企业。</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采用先进技术进行管理信息化和装备现代化的物流企业，鼓励企业使用先进的物流基础设备、设施，通过物流信息网络系统对商贸物流过程全面覆盖，同时，推进物流标准化、完善物流政策法规、加快物流人才培养等软环境建设。</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鼓励建设高水平的一体化、一站式的商贸物流服务平台，为达州企业、市政等提供一个集物流、商流、信息流为一体的仓储、运输、交易、货代、培训、会展、金融服务、法律服务、咨询策划等现代商贸物流服务业。</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不涉及</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7</w:t>
                  </w:r>
                </w:p>
              </w:tc>
              <w:tc>
                <w:tcPr>
                  <w:tcW w:w="228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允许类产业</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不排斥园区主业的上下游及配套企业以及与片区主业不相禁忌和不矛盾、不形成交叉影响的企业入驻。</w:t>
                  </w:r>
                </w:p>
              </w:tc>
              <w:tc>
                <w:tcPr>
                  <w:tcW w:w="171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不涉及</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SA"/>
              </w:rPr>
              <w:t>目前《</w:t>
            </w:r>
            <w:r>
              <w:rPr>
                <w:rFonts w:hint="default" w:ascii="Times New Roman" w:hAnsi="Times New Roman" w:eastAsia="宋体" w:cs="Times New Roman"/>
                <w:color w:val="auto"/>
                <w:kern w:val="2"/>
                <w:sz w:val="24"/>
                <w:szCs w:val="24"/>
                <w:highlight w:val="none"/>
                <w:lang w:val="en-US" w:eastAsia="zh-CN" w:bidi="ar-SA"/>
              </w:rPr>
              <w:t>四川双龙物流园A区规划环境影响报告书</w:t>
            </w:r>
            <w:r>
              <w:rPr>
                <w:rFonts w:hint="eastAsia" w:cs="Times New Roman"/>
                <w:color w:val="auto"/>
                <w:kern w:val="2"/>
                <w:sz w:val="24"/>
                <w:szCs w:val="24"/>
                <w:highlight w:val="none"/>
                <w:lang w:val="en-US" w:eastAsia="zh-CN" w:bidi="ar-SA"/>
              </w:rPr>
              <w:t>（报审稿）</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已编制完成，规划调整后且规划环评批复后，本项目符合规划要求。</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由上表可知，本项目符合四川双龙铁路物流园规划中的相关要求。</w:t>
            </w:r>
          </w:p>
          <w:p>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《达州市环城路二期及环凤产业大道沿线区域控制性详细规划》符合性分析</w:t>
            </w:r>
          </w:p>
          <w:p>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default" w:cs="Times New Roman"/>
                <w:b w:val="0"/>
                <w:bCs/>
                <w:color w:val="auto"/>
                <w:kern w:val="0"/>
                <w:sz w:val="24"/>
                <w:szCs w:val="24"/>
                <w:lang w:val="en-US" w:eastAsia="zh-CN" w:bidi="ar"/>
              </w:rPr>
            </w:pPr>
            <w:r>
              <w:rPr>
                <w:rFonts w:hint="eastAsia" w:cs="Times New Roman"/>
                <w:b w:val="0"/>
                <w:bCs/>
                <w:color w:val="auto"/>
                <w:kern w:val="0"/>
                <w:sz w:val="24"/>
                <w:szCs w:val="24"/>
                <w:lang w:val="en-US" w:eastAsia="zh-CN" w:bidi="ar"/>
              </w:rPr>
              <w:t>环城路二期及环凤产业大道沿线区域位于达州市中线城区西北部，包含双龙、东岳、魏兴、罗江四个组团，是达州市北部以铁路仓储物流、医药食品加工为主的环城产业发展功能区。</w:t>
            </w:r>
          </w:p>
          <w:p>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color w:val="auto"/>
                <w:kern w:val="0"/>
                <w:sz w:val="24"/>
                <w:szCs w:val="24"/>
                <w:lang w:val="en-US" w:eastAsia="zh-CN" w:bidi="ar"/>
              </w:rPr>
            </w:pPr>
            <w:r>
              <w:rPr>
                <w:rFonts w:hint="eastAsia" w:cs="Times New Roman"/>
                <w:b w:val="0"/>
                <w:bCs/>
                <w:color w:val="auto"/>
                <w:kern w:val="0"/>
                <w:sz w:val="24"/>
                <w:szCs w:val="24"/>
                <w:lang w:val="en-US" w:eastAsia="zh-CN" w:bidi="ar"/>
              </w:rPr>
              <w:t>本项目位于四川双龙铁路物流园（野梨树湾），经查阅</w:t>
            </w:r>
            <w:r>
              <w:rPr>
                <w:rFonts w:hint="eastAsia" w:ascii="Times New Roman" w:hAnsi="Times New Roman" w:eastAsia="宋体" w:cs="Times New Roman"/>
                <w:b w:val="0"/>
                <w:bCs/>
                <w:color w:val="auto"/>
                <w:kern w:val="2"/>
                <w:sz w:val="24"/>
                <w:szCs w:val="24"/>
                <w:lang w:val="en-US" w:eastAsia="zh-CN" w:bidi="ar-SA"/>
              </w:rPr>
              <w:t>《达州市环城路二期及环凤产业大道沿线区域控制性详细规划》</w:t>
            </w:r>
            <w:r>
              <w:rPr>
                <w:rFonts w:hint="eastAsia" w:cs="Times New Roman"/>
                <w:b w:val="0"/>
                <w:bCs/>
                <w:color w:val="auto"/>
                <w:kern w:val="2"/>
                <w:sz w:val="24"/>
                <w:szCs w:val="24"/>
                <w:lang w:val="en-US" w:eastAsia="zh-CN" w:bidi="ar-SA"/>
              </w:rPr>
              <w:t>用地布局规划图，</w:t>
            </w:r>
            <w:r>
              <w:rPr>
                <w:rFonts w:hint="default" w:ascii="Times New Roman" w:hAnsi="Times New Roman" w:eastAsia="宋体" w:cs="Times New Roman"/>
                <w:b w:val="0"/>
                <w:bCs/>
                <w:color w:val="auto"/>
                <w:kern w:val="0"/>
                <w:sz w:val="24"/>
                <w:szCs w:val="24"/>
                <w:lang w:val="en-US" w:eastAsia="zh-CN" w:bidi="ar"/>
              </w:rPr>
              <w:t>本项目部分用地（</w:t>
            </w:r>
            <w:r>
              <w:rPr>
                <w:rFonts w:hint="eastAsia" w:cs="Times New Roman"/>
                <w:b w:val="0"/>
                <w:bCs/>
                <w:color w:val="auto"/>
                <w:kern w:val="0"/>
                <w:sz w:val="24"/>
                <w:szCs w:val="24"/>
                <w:lang w:val="en-US" w:eastAsia="zh-CN" w:bidi="ar"/>
              </w:rPr>
              <w:t>171.95</w:t>
            </w:r>
            <w:r>
              <w:rPr>
                <w:rFonts w:hint="default" w:ascii="Times New Roman" w:hAnsi="Times New Roman" w:eastAsia="宋体" w:cs="Times New Roman"/>
                <w:b w:val="0"/>
                <w:bCs/>
                <w:color w:val="auto"/>
                <w:kern w:val="0"/>
                <w:sz w:val="24"/>
                <w:szCs w:val="24"/>
                <w:lang w:val="en-US" w:eastAsia="zh-CN" w:bidi="ar"/>
              </w:rPr>
              <w:t>亩）位于该《规划》的规划区范围内（佳吉物流园A区），规划用地性质为二类仓储用地，其余用地（</w:t>
            </w:r>
            <w:r>
              <w:rPr>
                <w:rFonts w:hint="eastAsia" w:cs="Times New Roman"/>
                <w:b w:val="0"/>
                <w:bCs/>
                <w:color w:val="auto"/>
                <w:kern w:val="0"/>
                <w:sz w:val="24"/>
                <w:szCs w:val="24"/>
                <w:lang w:val="en-US" w:eastAsia="zh-CN" w:bidi="ar"/>
              </w:rPr>
              <w:t>67.17</w:t>
            </w:r>
            <w:r>
              <w:rPr>
                <w:rFonts w:hint="default" w:ascii="Times New Roman" w:hAnsi="Times New Roman" w:eastAsia="宋体" w:cs="Times New Roman"/>
                <w:b w:val="0"/>
                <w:bCs/>
                <w:color w:val="auto"/>
                <w:kern w:val="0"/>
                <w:sz w:val="24"/>
                <w:szCs w:val="24"/>
                <w:lang w:val="en-US" w:eastAsia="zh-CN" w:bidi="ar"/>
              </w:rPr>
              <w:t>亩）位于该《规划》的规划区范围外</w:t>
            </w:r>
            <w:r>
              <w:rPr>
                <w:rFonts w:hint="eastAsia" w:cs="Times New Roman"/>
                <w:b w:val="0"/>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根据本项目选址论证报告中</w:t>
            </w:r>
            <w:r>
              <w:rPr>
                <w:rFonts w:hint="eastAsia" w:cs="Times New Roman"/>
                <w:b/>
                <w:color w:val="auto"/>
                <w:kern w:val="0"/>
                <w:sz w:val="24"/>
                <w:szCs w:val="24"/>
                <w:lang w:val="en-US" w:eastAsia="zh-CN" w:bidi="ar"/>
              </w:rPr>
              <w:t>结论</w:t>
            </w:r>
            <w:r>
              <w:rPr>
                <w:rFonts w:hint="default" w:ascii="Times New Roman" w:hAnsi="Times New Roman" w:eastAsia="宋体" w:cs="Times New Roman"/>
                <w:b/>
                <w:color w:val="auto"/>
                <w:kern w:val="0"/>
                <w:sz w:val="24"/>
                <w:szCs w:val="24"/>
                <w:lang w:val="en-US" w:eastAsia="zh-CN" w:bidi="ar"/>
              </w:rPr>
              <w:t>：</w:t>
            </w:r>
            <w:r>
              <w:rPr>
                <w:rFonts w:hint="eastAsia" w:cs="Times New Roman"/>
                <w:b/>
                <w:color w:val="auto"/>
                <w:kern w:val="0"/>
                <w:sz w:val="24"/>
                <w:szCs w:val="24"/>
                <w:lang w:val="en-US" w:eastAsia="zh-CN" w:bidi="ar"/>
              </w:rPr>
              <w:t>建议</w:t>
            </w:r>
            <w:r>
              <w:rPr>
                <w:rFonts w:hint="default" w:ascii="Times New Roman" w:hAnsi="Times New Roman" w:eastAsia="宋体" w:cs="Times New Roman"/>
                <w:b/>
                <w:color w:val="auto"/>
                <w:kern w:val="0"/>
                <w:sz w:val="24"/>
                <w:szCs w:val="24"/>
                <w:lang w:val="en-US" w:eastAsia="zh-CN" w:bidi="ar"/>
              </w:rPr>
              <w:t>将本项目用地纳入片区控制性详细规划范围内，同时建议对《达州市环城路二期及环凤产业大道沿线区域控制性详细规划》做出相应调整，将项目用地未在控规规划范围内的用地性质调整为二类仓储用地。</w:t>
            </w:r>
          </w:p>
          <w:p>
            <w:pPr>
              <w:keepNext w:val="0"/>
              <w:keepLines w:val="0"/>
              <w:pageBreakBefore w:val="0"/>
              <w:kinsoku/>
              <w:wordWrap/>
              <w:overflowPunct/>
              <w:topLinePunct w:val="0"/>
              <w:autoSpaceDE/>
              <w:autoSpaceDN/>
              <w:bidi w:val="0"/>
              <w:adjustRightInd/>
              <w:snapToGrid/>
              <w:spacing w:line="440" w:lineRule="exact"/>
              <w:ind w:firstLine="472" w:firstLineChars="200"/>
              <w:jc w:val="both"/>
              <w:textAlignment w:val="auto"/>
              <w:rPr>
                <w:rFonts w:hint="eastAsia" w:cs="Times New Roman"/>
                <w:b/>
                <w:bCs/>
                <w:color w:val="auto"/>
                <w:sz w:val="24"/>
                <w:szCs w:val="24"/>
                <w:highlight w:val="none"/>
                <w:lang w:eastAsia="zh-CN"/>
              </w:rPr>
            </w:pPr>
            <w:r>
              <w:rPr>
                <w:rFonts w:hint="default" w:ascii="Times New Roman" w:hAnsi="Times New Roman" w:eastAsia="宋体" w:cs="Times New Roman"/>
                <w:b w:val="0"/>
                <w:bCs/>
                <w:color w:val="auto"/>
                <w:spacing w:val="-2"/>
                <w:kern w:val="2"/>
                <w:sz w:val="24"/>
                <w:szCs w:val="24"/>
                <w:lang w:val="en-US" w:eastAsia="zh-CN" w:bidi="ar-SA"/>
              </w:rPr>
              <w:t>达州市城乡规划委员会2020年第六次会议</w:t>
            </w:r>
            <w:r>
              <w:rPr>
                <w:rFonts w:hint="default" w:ascii="Times New Roman" w:hAnsi="Times New Roman" w:eastAsia="宋体" w:cs="Times New Roman"/>
                <w:bCs/>
                <w:color w:val="auto"/>
                <w:spacing w:val="-2"/>
                <w:kern w:val="2"/>
                <w:sz w:val="24"/>
                <w:szCs w:val="24"/>
                <w:lang w:val="en-US" w:eastAsia="zh-CN" w:bidi="ar-SA"/>
              </w:rPr>
              <w:t>原则同意项目选址于达州市通川区双龙铁路物流园区中部（野梨树湾，地块编号01-C-01-02），并将项目用地纳入《达州市国土空间总体规划》和《达州市环城路二期及环凤产业大道沿线区域控制性详细规划》中统筹考虑，用地性质为三类仓储用地。同时鉴于油库属于重大高危建设项目，会议要求项目须取得《地质灾害评估报告》、《安全评价报告》、《环境影响评价报告》批复文件后再予以供地建设。</w:t>
            </w:r>
          </w:p>
          <w:p>
            <w:pPr>
              <w:jc w:val="center"/>
              <w:rPr>
                <w:rFonts w:hint="default" w:ascii="Times New Roman" w:hAnsi="Times New Roman" w:eastAsia="宋体" w:cs="Times New Roman"/>
                <w:b/>
                <w:color w:val="auto"/>
                <w:kern w:val="0"/>
                <w:sz w:val="24"/>
                <w:szCs w:val="24"/>
                <w:lang w:val="en-US" w:eastAsia="zh-CN" w:bidi="ar"/>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516255</wp:posOffset>
                      </wp:positionH>
                      <wp:positionV relativeFrom="paragraph">
                        <wp:posOffset>1805940</wp:posOffset>
                      </wp:positionV>
                      <wp:extent cx="1033780" cy="341630"/>
                      <wp:effectExtent l="12700" t="12700" r="20320" b="541020"/>
                      <wp:wrapNone/>
                      <wp:docPr id="46" name="圆角矩形标注 46"/>
                      <wp:cNvGraphicFramePr/>
                      <a:graphic xmlns:a="http://schemas.openxmlformats.org/drawingml/2006/main">
                        <a:graphicData uri="http://schemas.microsoft.com/office/word/2010/wordprocessingShape">
                          <wps:wsp>
                            <wps:cNvSpPr/>
                            <wps:spPr>
                              <a:xfrm>
                                <a:off x="0" y="0"/>
                                <a:ext cx="1033780" cy="341630"/>
                              </a:xfrm>
                              <a:prstGeom prst="wedgeRoundRectCallout">
                                <a:avLst>
                                  <a:gd name="adj1" fmla="val 3009"/>
                                  <a:gd name="adj2" fmla="val 204089"/>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lang w:val="en-US" w:eastAsia="zh-CN"/>
                                    </w:rPr>
                                  </w:pPr>
                                  <w:r>
                                    <w:rPr>
                                      <w:rFonts w:hint="eastAsia"/>
                                      <w:b/>
                                      <w:bCs/>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65pt;margin-top:142.2pt;height:26.9pt;width:81.4pt;z-index:251666432;v-text-anchor:middle;mso-width-relative:page;mso-height-relative:page;" fillcolor="#0C1CEA" filled="t" stroked="t" coordsize="21600,21600" o:gfxdata="UEsDBAoAAAAAAIdO4kAAAAAAAAAAAAAAAAAEAAAAZHJzL1BLAwQUAAAACACHTuJA7LW1kdYAAAAK&#10;AQAADwAAAGRycy9kb3ducmV2LnhtbE2Py07DMBBF90j8gzVI7KjzMG0IcSqB1O4JiPUkHpJAPI5i&#10;Ny1/j1nBcnSP7j1T7S92EistfnSsId0kIIg7Z0buNby9Hu4KED4gG5wck4Zv8rCvr68qLI078wut&#10;TehFLGFfooYhhLmU0ncDWfQbNxPH7MMtFkM8l16aBc+x3E4yS5KttDhyXBhwpueBuq/mZDWohyPh&#10;unP3T/nYrMfPbXt4H3Za396kySOIQJfwB8OvflSHOjq17sTGi0lDkeaR1JAVSoGIQKZUCqLVkOdF&#10;BrKu5P8X6h9QSwMEFAAAAAgAh07iQHfB7TO4AgAAfAUAAA4AAABkcnMvZTJvRG9jLnhtbK1UzW7U&#10;MBC+I/EOlu80ye52266arVa7FCFVtGpBnL2OnQT5D9vZbHkAuHNGAnEBzpx5nBYeg7GTttvSQw9c&#10;khnP+PN833i8f7CWAq2YdbVWOc62UoyYorqoVZnjVy8Pn+xi5DxRBRFasRyfM4cPpo8f7bdmwga6&#10;0qJgFgGIcpPW5Ljy3kySxNGKSeK2tGEKglxbSTy4tkwKS1pAlyIZpOk4abUtjNWUOQeriy6Ie0T7&#10;EEDNeU3ZQtNGMuU7VMsE8UDJVbVxeBqr5ZxRf8y5Yx6JHANTH79wCNjL8E2m+2RSWmKqmvYlkIeU&#10;cIeTJLWCQ6+hFsQT1Nj6HyhZU6ud5n6Lapl0RKIiwCJL72hzVhHDIheQ2plr0d3/g6UvVicW1UWO&#10;R2OMFJHQ8YtP7/98+/j784+LX18vv3y4/PkdQRCUao2bwIYzc2J7z4EZaK+5leEPhNA6qnt+rS5b&#10;e0RhMUuHw51dEJ5CbDjKxsMof3Kz21jnnzEtUTBy3LKiZKe6UcUp9HFOhNCNjyqT1ZHzUe6ir5kU&#10;bzKMuBTQvRURaJime31zN1IGmymDdJTu3pM03EzKxuPxTgCCMvtTwboqNJTgtKiLw1qI6NhyORcW&#10;QQnAf57Nn876zbfShEJtjgfbozTIQWCKONxeMKWBTjhVYkRECeNJvY2Eb+12DzskFLkgruqKiQh9&#10;LUIBn9DMrn3B8uvluu/pUhfncCes7obFGXpYA9QRcf6EWNAXaob3wx/DhwsNRHRvYVRp++6+9ZAP&#10;lxaiGLUwbUDybUMsw0g8V3Cd97LRCGB9dEbbOwNw7GZkuRlRjZxrEBg6DtVFM+R7cWVyq+VreGZm&#10;4VQIEUXh7E7O3pn77hWAh4qy2SymwUga4o/UmaEBPDRU6VnjNa99uAJBqE6d3oGhjDejf0DC1G/6&#10;Mevm0Zz+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y1tZHWAAAACgEAAA8AAAAAAAAAAQAgAAAA&#10;IgAAAGRycy9kb3ducmV2LnhtbFBLAQIUABQAAAAIAIdO4kB3we0zuAIAAHwFAAAOAAAAAAAAAAEA&#10;IAAAACUBAABkcnMvZTJvRG9jLnhtbFBLBQYAAAAABgAGAFkBAABPBgAAAAA=&#10;" adj="11450,54883,14400">
                      <v:fill on="t" focussize="0,0"/>
                      <v:stroke weight="2pt" color="#0C1CEA [3204]" joinstyle="round"/>
                      <v:imagedata o:title=""/>
                      <o:lock v:ext="edit" aspectratio="f"/>
                      <v:textbox>
                        <w:txbxContent>
                          <w:p>
                            <w:pPr>
                              <w:jc w:val="center"/>
                              <w:rPr>
                                <w:rFonts w:hint="default" w:eastAsia="宋体"/>
                                <w:b/>
                                <w:bCs/>
                                <w:lang w:val="en-US" w:eastAsia="zh-CN"/>
                              </w:rPr>
                            </w:pPr>
                            <w:r>
                              <w:rPr>
                                <w:rFonts w:hint="eastAsia"/>
                                <w:b/>
                                <w:bCs/>
                                <w:lang w:val="en-US" w:eastAsia="zh-CN"/>
                              </w:rPr>
                              <w:t>本项目所在地</w:t>
                            </w:r>
                          </w:p>
                        </w:txbxContent>
                      </v:textbox>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954405</wp:posOffset>
                      </wp:positionH>
                      <wp:positionV relativeFrom="paragraph">
                        <wp:posOffset>2608580</wp:posOffset>
                      </wp:positionV>
                      <wp:extent cx="266065" cy="156210"/>
                      <wp:effectExtent l="0" t="3175" r="635" b="31115"/>
                      <wp:wrapNone/>
                      <wp:docPr id="47" name="任意多边形 47"/>
                      <wp:cNvGraphicFramePr/>
                      <a:graphic xmlns:a="http://schemas.openxmlformats.org/drawingml/2006/main">
                        <a:graphicData uri="http://schemas.microsoft.com/office/word/2010/wordprocessingShape">
                          <wps:wsp>
                            <wps:cNvSpPr/>
                            <wps:spPr>
                              <a:xfrm rot="21120000">
                                <a:off x="0" y="0"/>
                                <a:ext cx="266065" cy="156210"/>
                              </a:xfrm>
                              <a:custGeom>
                                <a:avLst/>
                                <a:gdLst>
                                  <a:gd name="connisteX0" fmla="*/ 98425 w 1461770"/>
                                  <a:gd name="connsiteY0" fmla="*/ 857250 h 857250"/>
                                  <a:gd name="connisteX1" fmla="*/ 473075 w 1461770"/>
                                  <a:gd name="connsiteY1" fmla="*/ 719455 h 857250"/>
                                  <a:gd name="connisteX2" fmla="*/ 636905 w 1461770"/>
                                  <a:gd name="connsiteY2" fmla="*/ 751840 h 857250"/>
                                  <a:gd name="connisteX3" fmla="*/ 991870 w 1461770"/>
                                  <a:gd name="connsiteY3" fmla="*/ 532130 h 857250"/>
                                  <a:gd name="connisteX4" fmla="*/ 1034415 w 1461770"/>
                                  <a:gd name="connsiteY4" fmla="*/ 426720 h 857250"/>
                                  <a:gd name="connisteX5" fmla="*/ 1221740 w 1461770"/>
                                  <a:gd name="connsiteY5" fmla="*/ 374015 h 857250"/>
                                  <a:gd name="connisteX6" fmla="*/ 1442085 w 1461770"/>
                                  <a:gd name="connsiteY6" fmla="*/ 219710 h 857250"/>
                                  <a:gd name="connisteX7" fmla="*/ 1461770 w 1461770"/>
                                  <a:gd name="connsiteY7" fmla="*/ 183515 h 857250"/>
                                  <a:gd name="connisteX8" fmla="*/ 1103630 w 1461770"/>
                                  <a:gd name="connsiteY8" fmla="*/ 295275 h 857250"/>
                                  <a:gd name="connisteX9" fmla="*/ 1044575 w 1461770"/>
                                  <a:gd name="connsiteY9" fmla="*/ 114935 h 857250"/>
                                  <a:gd name="connisteX10" fmla="*/ 969010 w 1461770"/>
                                  <a:gd name="connsiteY10" fmla="*/ 55880 h 857250"/>
                                  <a:gd name="connisteX11" fmla="*/ 647065 w 1461770"/>
                                  <a:gd name="connsiteY11" fmla="*/ 0 h 857250"/>
                                  <a:gd name="connisteX12" fmla="*/ 571500 w 1461770"/>
                                  <a:gd name="connsiteY12" fmla="*/ 45720 h 857250"/>
                                  <a:gd name="connisteX13" fmla="*/ 515620 w 1461770"/>
                                  <a:gd name="connsiteY13" fmla="*/ 170815 h 857250"/>
                                  <a:gd name="connisteX14" fmla="*/ 173990 w 1461770"/>
                                  <a:gd name="connsiteY14" fmla="*/ 413385 h 857250"/>
                                  <a:gd name="connisteX15" fmla="*/ 108585 w 1461770"/>
                                  <a:gd name="connsiteY15" fmla="*/ 588010 h 857250"/>
                                  <a:gd name="connisteX16" fmla="*/ 0 w 1461770"/>
                                  <a:gd name="connsiteY16" fmla="*/ 617220 h 857250"/>
                                  <a:gd name="connisteX17" fmla="*/ 6350 w 1461770"/>
                                  <a:gd name="connsiteY17" fmla="*/ 695960 h 857250"/>
                                  <a:gd name="connisteX18" fmla="*/ 52705 w 1461770"/>
                                  <a:gd name="connsiteY18" fmla="*/ 728980 h 857250"/>
                                  <a:gd name="connisteX19" fmla="*/ 98425 w 1461770"/>
                                  <a:gd name="connsiteY19" fmla="*/ 857250 h 857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Lst>
                                <a:rect l="l" t="t" r="r" b="b"/>
                                <a:pathLst>
                                  <a:path w="1461770" h="857250">
                                    <a:moveTo>
                                      <a:pt x="98425" y="857250"/>
                                    </a:moveTo>
                                    <a:lnTo>
                                      <a:pt x="473075" y="719455"/>
                                    </a:lnTo>
                                    <a:lnTo>
                                      <a:pt x="636905" y="751840"/>
                                    </a:lnTo>
                                    <a:lnTo>
                                      <a:pt x="991870" y="532130"/>
                                    </a:lnTo>
                                    <a:lnTo>
                                      <a:pt x="1034415" y="426720"/>
                                    </a:lnTo>
                                    <a:lnTo>
                                      <a:pt x="1221740" y="374015"/>
                                    </a:lnTo>
                                    <a:lnTo>
                                      <a:pt x="1442085" y="219710"/>
                                    </a:lnTo>
                                    <a:lnTo>
                                      <a:pt x="1461770" y="183515"/>
                                    </a:lnTo>
                                    <a:lnTo>
                                      <a:pt x="1103630" y="295275"/>
                                    </a:lnTo>
                                    <a:lnTo>
                                      <a:pt x="1044575" y="114935"/>
                                    </a:lnTo>
                                    <a:lnTo>
                                      <a:pt x="969010" y="55880"/>
                                    </a:lnTo>
                                    <a:lnTo>
                                      <a:pt x="647065" y="0"/>
                                    </a:lnTo>
                                    <a:lnTo>
                                      <a:pt x="571500" y="45720"/>
                                    </a:lnTo>
                                    <a:lnTo>
                                      <a:pt x="515620" y="170815"/>
                                    </a:lnTo>
                                    <a:lnTo>
                                      <a:pt x="173990" y="413385"/>
                                    </a:lnTo>
                                    <a:lnTo>
                                      <a:pt x="108585" y="588010"/>
                                    </a:lnTo>
                                    <a:lnTo>
                                      <a:pt x="0" y="617220"/>
                                    </a:lnTo>
                                    <a:lnTo>
                                      <a:pt x="6350" y="695960"/>
                                    </a:lnTo>
                                    <a:lnTo>
                                      <a:pt x="52705" y="728980"/>
                                    </a:lnTo>
                                    <a:lnTo>
                                      <a:pt x="98425" y="857250"/>
                                    </a:lnTo>
                                    <a:close/>
                                  </a:path>
                                </a:pathLst>
                              </a:custGeom>
                              <a:noFill/>
                              <a:ln w="12700" cmpd="sng">
                                <a:solidFill>
                                  <a:srgbClr val="0C1CEA"/>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75.15pt;margin-top:205.4pt;height:12.3pt;width:20.95pt;rotation:-524288f;z-index:251667456;mso-width-relative:page;mso-height-relative:page;" filled="f" stroked="t" coordsize="1461770,857250" o:gfxdata="UEsDBAoAAAAAAIdO4kAAAAAAAAAAAAAAAAAEAAAAZHJzL1BLAwQUAAAACACHTuJAt8rzxdYAAAAL&#10;AQAADwAAAGRycy9kb3ducmV2LnhtbE2PwU7DMBBE70j8g7VI3KidNEElxOkBxAdQKHB0420cGq+j&#10;2GnL37M9wXFmn2Zn6vXZD+KIU+wDacgWCgRSG2xPnYb3t5e7FYiYDFkzBEINPxhh3Vxf1aay4USv&#10;eNykTnAIxcpocCmNlZSxdehNXIQRiW/7MHmTWE6dtJM5cbgfZK7UvfSmJ/7gzIhPDtvDZvYapkPZ&#10;u3L/vU3zM32tPvKC0meh9e1Nph5BJDynPxgu9bk6NNxpF2ayUQysS7VkVEORKd5wIR7yHMSOnWVZ&#10;gGxq+X9D8wtQSwMEFAAAAAgAh07iQPRPGhwWBQAAvhQAAA4AAABkcnMvZTJvRG9jLnhtbK1YzY7k&#10;NBC+I/EOVo5ITMf5T2t6VmiG5YJgpV0kOHrSSXekJI7iTPfMnTt3jiteAq3gaVjEY1Aup7srDSSO&#10;xGXG6Xyfy1Wucr7y7avnumKHvFOlbDYOv3EdljeZ3JbNbuN89+7154nDVC+arahkk2+cl1w5r+4+&#10;/eT22K5zT+5ltc07BpM0an1sN86+79v1aqWyfV4LdSPbvIGXhexq0cNjt1ttO3GE2etq5blutDrK&#10;btt2MsuVgl8fzEtnmLGzmVAWRZnlDzJ7qvOmN7N2eSV6cEnty1Y5d7jaosiz/tuiUHnPqo0Dnvb4&#10;F4zA+FH/Xd3divWuE+2+zIYlCJslXPlUi7IBo+epHkQv2FNX/mOqusw6qWTR32SyXhlHMCLgBXev&#10;YvN2L9ocfYFQq/YcdPX/TZt9c3jTsXK7cYLYYY2oYcf/+PDhzx9/+vjLz3/9/uvH394zeANhOrZq&#10;Dei37ZtueFIw1D4/F13NOgmx9TiHLXZdDAU4x54x0i/nSOfPPcvgRy+K3Ch0WAaveBh5HHdiZebS&#10;c2ZPqv8ql7Uei8PXqjcbtYURhnk7rDWTTVOqPv8eNrSoK9i7z1YsTQIvZEfGg4jH8WmTKUWVff4D&#10;pSRh7IUu2zMzGPKCUtAKJ1aC2HdjCzOUE/M0CMNZMx4xE/lR6lqYoZw45Ekw741PzKQpT2J3PmiU&#10;E/oe9+fNBMQMd/0g4BbuUFLgRbE3bwfy6ZwC3PN4DCGYTQJK8oEBa5tLgojaCQLPTSz8oSSPpzGf&#10;9wcK8uKPSeV5f0akxA8t/IED/2IHNiiCPZ2NGyV5aehBJczFLaV23CAIbapnROJB6s/bgcPk4lAK&#10;1QOxnvVnRArDJJnfH04rOwpiONEs7FCShQ1a1mHMQ9fGF0qCMFvUDh/VtT6SbexQEo/dxCLZOC1s&#10;HvtpamOIkgLu+1Bxc9nGaWVzqFGbKh2RdBJYlCmnpW3jDMXDB8qz2R5a1pEPX6r5hB5R0jCNLLKN&#10;VjXUtM13h1NO7CWpTeXQqrb8WnPK+ZfPNYiH3UkeiP1JMWTPzSAZYMSE1rhGnbRSaXVC9QNoEf04&#10;aAMQHDAlsFCOTJOhpimZa/lgTYZipWRvERkqkJL9RWSoKkoOFpGhvCg5XESGEqDkaBEZEpuSUZ1a&#10;RxuylZKTRZYhBSk5XUTWXxjKPmteyxy7TrJlWcav0gyelySp/j6MFr8s0/SpP6IvyzV9LI/oy7JN&#10;n9Aj+rJ841cJB8+LQneVcnBgLqJfJR2cg4Ru8n444jpod3WjW2Gj2zsMGt0OG91HzRHrVvT6ZDwN&#10;2RG6r6FHYvuNM/Q++nUtD/k7icBen5N4SGMULw0S2L7AqobCTW+EeNPyDGs+oU7/W5zctDgGjZ3L&#10;JNp0Kog2Dcgkemg4EG76iGm46RsQbtqBabiR/wg3qn4GbhpSnY0cxfk03IhxMztq7Gm40dQI5yiV&#10;J+FGGSMa9e4k2MhbBJ9a9dMenv6bvTQaFYGoPCdnhe4EhKZZMMrHSbRRi2Zq1IDTaJR8iDZCbhJt&#10;FmHU2CRQiy+cNEJJNYlFBYVgo4smwf9RYafoZpVUuSl8XcWoL87lrE8BcmHSyNdlVWHFVw0WOUg5&#10;WHUm4L6ugHsyGNYt3PmoZucwUe3gIjDrO7y1UbIqt5qua191u8f7qmMHoa/P7vn9l18MPoxgbaf6&#10;B6H2Boevzq7CQvXNkbkr0qNHuX3BKyT8Ha610JXhCk7fm9FnZF+uHe/+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LfK88XWAAAACwEAAA8AAAAAAAAAAQAgAAAAIgAAAGRycy9kb3ducmV2LnhtbFBL&#10;AQIUABQAAAAIAIdO4kD0TxocFgUAAL4UAAAOAAAAAAAAAAEAIAAAACUBAABkcnMvZTJvRG9jLnht&#10;bFBLBQYAAAAABgAGAFkBAACtCAAAAAA=&#10;" path="m98425,857250l473075,719455,636905,751840,991870,532130,1034415,426720,1221740,374015,1442085,219710,1461770,183515,1103630,295275,1044575,114935,969010,55880,647065,0,571500,45720,515620,170815,173990,413385,108585,588010,0,617220,6350,695960,52705,728980,98425,857250xe">
                      <v:path o:connectlocs="17914,156210;86107,131100;115926,137001;180535,96965;188279,77757;222375,68153;262482,40036;266065,33440;200877,53805;190128,20943;176374,10182;117775,0;104021,8331;93850,31126;31668,75327;19764,107148;0,112471;1155,126819;9593,132836;17914,156210" o:connectangles="0,0,0,0,0,0,0,0,0,0,0,0,0,0,0,0,0,0,0,0"/>
                      <v:fill on="f" focussize="0,0"/>
                      <v:stroke weight="1pt" color="#0C1CEA [3204]" joinstyle="round"/>
                      <v:imagedata o:title=""/>
                      <o:lock v:ext="edit" aspectratio="f"/>
                    </v:shape>
                  </w:pict>
                </mc:Fallback>
              </mc:AlternateContent>
            </w:r>
            <w:r>
              <w:rPr>
                <w:rFonts w:hint="default" w:ascii="Times New Roman" w:hAnsi="Times New Roman" w:eastAsia="宋体" w:cs="Times New Roman"/>
                <w:b/>
                <w:color w:val="auto"/>
                <w:kern w:val="0"/>
                <w:sz w:val="24"/>
                <w:szCs w:val="24"/>
                <w:lang w:val="en-US" w:eastAsia="zh-CN" w:bidi="ar"/>
              </w:rPr>
              <w:drawing>
                <wp:inline distT="0" distB="0" distL="114300" distR="114300">
                  <wp:extent cx="4026535" cy="4258945"/>
                  <wp:effectExtent l="19050" t="19050" r="31115" b="27305"/>
                  <wp:docPr id="45" name="图片 45"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000"/>
                          <pic:cNvPicPr>
                            <a:picLocks noChangeAspect="1"/>
                          </pic:cNvPicPr>
                        </pic:nvPicPr>
                        <pic:blipFill>
                          <a:blip r:embed="rId11"/>
                          <a:srcRect l="1907" t="8661" r="1343" b="19195"/>
                          <a:stretch>
                            <a:fillRect/>
                          </a:stretch>
                        </pic:blipFill>
                        <pic:spPr>
                          <a:xfrm>
                            <a:off x="0" y="0"/>
                            <a:ext cx="4026535" cy="4258945"/>
                          </a:xfrm>
                          <a:prstGeom prst="rect">
                            <a:avLst/>
                          </a:prstGeom>
                          <a:ln w="19050">
                            <a:solidFill>
                              <a:schemeClr val="tx1"/>
                            </a:solidFill>
                          </a:ln>
                        </pic:spPr>
                      </pic:pic>
                    </a:graphicData>
                  </a:graphic>
                </wp:inline>
              </w:drawing>
            </w:r>
          </w:p>
          <w:p>
            <w:pPr>
              <w:jc w:val="center"/>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图1-4  项目与片区控规位置图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drawing>
                <wp:inline distT="0" distB="0" distL="114300" distR="114300">
                  <wp:extent cx="4780915" cy="3531870"/>
                  <wp:effectExtent l="15875" t="15875" r="22860" b="33655"/>
                  <wp:docPr id="42" name="图片 42" descr="选址与片区控规位置关系-项目所在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选址与片区控规位置关系-项目所在地"/>
                          <pic:cNvPicPr>
                            <a:picLocks noChangeAspect="1"/>
                          </pic:cNvPicPr>
                        </pic:nvPicPr>
                        <pic:blipFill>
                          <a:blip r:embed="rId12"/>
                          <a:stretch>
                            <a:fillRect/>
                          </a:stretch>
                        </pic:blipFill>
                        <pic:spPr>
                          <a:xfrm>
                            <a:off x="0" y="0"/>
                            <a:ext cx="4780915" cy="3531870"/>
                          </a:xfrm>
                          <a:prstGeom prst="rect">
                            <a:avLst/>
                          </a:prstGeom>
                          <a:ln w="15875">
                            <a:solidFill>
                              <a:schemeClr val="tx1"/>
                            </a:solidFill>
                          </a:ln>
                        </pic:spPr>
                      </pic:pic>
                    </a:graphicData>
                  </a:graphic>
                </wp:inline>
              </w:drawing>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143510</wp:posOffset>
                      </wp:positionH>
                      <wp:positionV relativeFrom="paragraph">
                        <wp:posOffset>1084580</wp:posOffset>
                      </wp:positionV>
                      <wp:extent cx="1093470" cy="341630"/>
                      <wp:effectExtent l="12700" t="12700" r="17780" b="560070"/>
                      <wp:wrapNone/>
                      <wp:docPr id="43" name="圆角矩形标注 43"/>
                      <wp:cNvGraphicFramePr/>
                      <a:graphic xmlns:a="http://schemas.openxmlformats.org/drawingml/2006/main">
                        <a:graphicData uri="http://schemas.microsoft.com/office/word/2010/wordprocessingShape">
                          <wps:wsp>
                            <wps:cNvSpPr/>
                            <wps:spPr>
                              <a:xfrm>
                                <a:off x="0" y="0"/>
                                <a:ext cx="1093470" cy="341630"/>
                              </a:xfrm>
                              <a:prstGeom prst="wedgeRoundRectCallout">
                                <a:avLst>
                                  <a:gd name="adj1" fmla="val 14401"/>
                                  <a:gd name="adj2" fmla="val 206319"/>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lang w:val="en-US" w:eastAsia="zh-CN"/>
                                    </w:rPr>
                                  </w:pPr>
                                  <w:r>
                                    <w:rPr>
                                      <w:rFonts w:hint="eastAsia"/>
                                      <w:b/>
                                      <w:bCs/>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3pt;margin-top:85.4pt;height:26.9pt;width:86.1pt;z-index:251665408;v-text-anchor:middle;mso-width-relative:page;mso-height-relative:page;" fillcolor="#0C1CEA" filled="t" stroked="t" coordsize="21600,21600" o:gfxdata="UEsDBAoAAAAAAIdO4kAAAAAAAAAAAAAAAAAEAAAAZHJzL1BLAwQUAAAACACHTuJAtHwOKdYAAAAK&#10;AQAADwAAAGRycy9kb3ducmV2LnhtbE2PMU/DMBCFdyT+g3VIbNRuVAKEOB1AiAUpou3C5sZHHBGf&#10;o9hNm3/PZYLt7t7Tu++V24vvxYRj7AJpWK8UCKQm2I5aDYf9290jiJgMWdMHQg0zRthW11elKWw4&#10;0ydOu9QKDqFYGA0upaGQMjYOvYmrMCCx9h1GbxKvYyvtaM4c7nuZKZVLbzriD84M+OKw+dmdvAY/&#10;H+rpNas/fL13+fz17ur23ml9e7NWzyASXtKfGRZ8RoeKmY7hRDaKXkOW5ezk+4PiCovhacPDcVE2&#10;OciqlP8rVL9QSwMEFAAAAAgAh07iQD1g+DC5AgAAfQUAAA4AAABkcnMvZTJvRG9jLnhtbK1UzW7U&#10;MBC+I/EOlu80ye52S1fNVqtdipAqWrUgzl7HToL8h+1stjxAuXNGAnEBzpx5nBYeg7GTttuWQw9c&#10;khnPeOabbzyzt7+WAq2YdbVWOc62UoyYorqoVZnj168OnjzFyHmiCiK0Yjk+Yw7vTx8/2mvNhA10&#10;pUXBLIIgyk1ak+PKezNJEkcrJonb0oYpMHJtJfGg2jIpLGkhuhTJIE3HSattYaymzDk4XXRG3Ee0&#10;DwmoOa8pW2jaSKZ8F9UyQTyU5KraODyNaDln1B9x7phHIsdQqY9fSALyMnyT6R6ZlJaYqqY9BPIQ&#10;CHdqkqRWkPQ61IJ4ghpb3wsla2q109xvUS2TrpDICFSRpXe4Oa2IYbEWoNqZa9Ld/wtLX66OLaqL&#10;HI+GGCkioeMXn87/fPv4+/OPi19fL798uPz5HYERmGqNm8CFU3Nse82BGMpecyvDHwpC68ju2TW7&#10;bO0RhcMs3R2OdoB4CrbhKBsPI/3JzW1jnX/OtERByHHLipKd6EYVJ9DHORFCNz6yTFaHzke6ix4z&#10;Kd5mGHEpoHsrIlA2GqVZ390Nn8GmzyAdD7Pd+05AxEag8Xi8E3wAZ58WpCukAYPToi4OaiGiYsvl&#10;XFgEGICAeTZ/Nusv33ITCrU5HmyP0sAHgTHi8HxBlAZa4VSJERElzCf1NlZ867Z7WJIAckFc1YGJ&#10;EXosQkE9oZtd/4Lk18t139SlLs7gUVjdTYsz9KCGUIfE+WNigWDADAvEH8GHCw2F6F7CqNL2/b/O&#10;gz+8WrBi1MK4QZHvGmIZRuKFgve8GxoG8xmV0fbOABS7aVluWlQj5xoIhpYDuigGfy+uRG61fAN7&#10;ZhaygokoCrk7Ontl7rs1AJuKstksusFMGuIP1amhIXhoqNKzxmte+/AEAlEdO70CUxlfRr9Bwthv&#10;6tHrZmtO/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0fA4p1gAAAAoBAAAPAAAAAAAAAAEAIAAA&#10;ACIAAABkcnMvZG93bnJldi54bWxQSwECFAAUAAAACACHTuJAPWD4MLkCAAB9BQAADgAAAAAAAAAB&#10;ACAAAAAlAQAAZHJzL2Uyb0RvYy54bWxQSwUGAAAAAAYABgBZAQAAUAYAAAAA&#10;" adj="13911,55365,14400">
                      <v:fill on="t" focussize="0,0"/>
                      <v:stroke weight="2pt" color="#0C1CEA [3204]" joinstyle="round"/>
                      <v:imagedata o:title=""/>
                      <o:lock v:ext="edit" aspectratio="f"/>
                      <v:textbox>
                        <w:txbxContent>
                          <w:p>
                            <w:pPr>
                              <w:jc w:val="center"/>
                              <w:rPr>
                                <w:rFonts w:hint="default" w:eastAsia="宋体"/>
                                <w:b/>
                                <w:bCs/>
                                <w:lang w:val="en-US" w:eastAsia="zh-CN"/>
                              </w:rPr>
                            </w:pPr>
                            <w:r>
                              <w:rPr>
                                <w:rFonts w:hint="eastAsia"/>
                                <w:b/>
                                <w:bCs/>
                                <w:lang w:val="en-US" w:eastAsia="zh-CN"/>
                              </w:rPr>
                              <w:t>本项目所在地</w:t>
                            </w:r>
                          </w:p>
                        </w:txbxContent>
                      </v:textbox>
                    </v:shape>
                  </w:pict>
                </mc:Fallback>
              </mc:AlternateContent>
            </w:r>
          </w:p>
          <w:p>
            <w:pPr>
              <w:keepNext w:val="0"/>
              <w:keepLines w:val="0"/>
              <w:pageBreakBefore w:val="0"/>
              <w:kinsoku/>
              <w:wordWrap/>
              <w:overflowPunct/>
              <w:topLinePunct w:val="0"/>
              <w:autoSpaceDE/>
              <w:autoSpaceDN/>
              <w:bidi w:val="0"/>
              <w:adjustRightInd/>
              <w:snapToGrid/>
              <w:spacing w:line="440" w:lineRule="exact"/>
              <w:ind w:firstLine="482" w:firstLineChars="200"/>
              <w:jc w:val="center"/>
              <w:textAlignment w:val="auto"/>
              <w:rPr>
                <w:rFonts w:hint="default" w:cs="Times New Roman"/>
                <w:b/>
                <w:bCs/>
                <w:color w:val="auto"/>
                <w:sz w:val="24"/>
                <w:szCs w:val="24"/>
                <w:highlight w:val="none"/>
                <w:lang w:val="en-US" w:eastAsia="zh-CN"/>
              </w:rPr>
            </w:pPr>
            <w:r>
              <w:rPr>
                <w:rFonts w:hint="eastAsia" w:cs="Times New Roman"/>
                <w:b/>
                <w:bCs/>
                <w:color w:val="auto"/>
                <w:kern w:val="0"/>
                <w:sz w:val="24"/>
                <w:szCs w:val="24"/>
                <w:highlight w:val="none"/>
                <w:lang w:val="en-US" w:eastAsia="zh-CN" w:bidi="ar"/>
              </w:rPr>
              <w:t>图1-5  项目与片区控规用地情况分析图</w:t>
            </w:r>
          </w:p>
          <w:p>
            <w:pPr>
              <w:keepNext w:val="0"/>
              <w:keepLines w:val="0"/>
              <w:pageBreakBefore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color w:val="auto"/>
                <w:kern w:val="0"/>
                <w:sz w:val="24"/>
                <w:szCs w:val="24"/>
              </w:rPr>
            </w:pPr>
            <w:r>
              <w:rPr>
                <w:rFonts w:hint="eastAsia" w:cs="Times New Roman"/>
                <w:b/>
                <w:bCs/>
                <w:color w:val="auto"/>
                <w:sz w:val="24"/>
                <w:szCs w:val="24"/>
                <w:highlight w:val="none"/>
                <w:lang w:eastAsia="zh-CN"/>
              </w:rPr>
              <w:t>综上所述，</w:t>
            </w:r>
            <w:r>
              <w:rPr>
                <w:rFonts w:hint="eastAsia" w:cs="Times New Roman"/>
                <w:b/>
                <w:bCs/>
                <w:color w:val="auto"/>
                <w:sz w:val="24"/>
                <w:szCs w:val="24"/>
                <w:highlight w:val="none"/>
                <w:lang w:val="en-US" w:eastAsia="zh-CN"/>
              </w:rPr>
              <w:t>本项目符合各相关规划</w:t>
            </w:r>
            <w:r>
              <w:rPr>
                <w:rFonts w:hint="eastAsia" w:cs="Times New Roman"/>
                <w:b/>
                <w:bCs/>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0"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cs="Times New Roman"/>
                <w:b/>
                <w:bCs/>
                <w:color w:val="auto"/>
                <w:kern w:val="0"/>
                <w:sz w:val="24"/>
                <w:szCs w:val="24"/>
                <w:lang w:val="en-US" w:eastAsia="zh-CN"/>
              </w:rPr>
            </w:pPr>
            <w:r>
              <w:rPr>
                <w:rFonts w:hint="eastAsia" w:cs="Times New Roman"/>
                <w:b/>
                <w:bCs/>
                <w:color w:val="auto"/>
                <w:kern w:val="0"/>
                <w:sz w:val="24"/>
                <w:szCs w:val="24"/>
                <w:lang w:val="en-US" w:eastAsia="zh-CN"/>
              </w:rPr>
              <w:t>其他符合性分析</w:t>
            </w:r>
          </w:p>
        </w:tc>
        <w:tc>
          <w:tcPr>
            <w:tcW w:w="777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一、产业政策符合性分析</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snapToGrid w:val="0"/>
                <w:color w:val="auto"/>
                <w:kern w:val="2"/>
                <w:sz w:val="24"/>
                <w:szCs w:val="24"/>
                <w:lang w:val="en-US" w:eastAsia="zh-CN" w:bidi="ar-SA"/>
              </w:rPr>
              <w:t>为油气仓储业，</w:t>
            </w:r>
            <w:r>
              <w:rPr>
                <w:rFonts w:hint="default" w:ascii="Times New Roman" w:hAnsi="Times New Roman" w:eastAsia="宋体" w:cs="Times New Roman"/>
                <w:color w:val="auto"/>
                <w:kern w:val="2"/>
                <w:sz w:val="24"/>
                <w:szCs w:val="24"/>
                <w:lang w:val="en-US" w:eastAsia="zh-CN" w:bidi="ar-SA"/>
              </w:rPr>
              <w:t>属于《</w:t>
            </w:r>
            <w:r>
              <w:rPr>
                <w:rFonts w:hint="default" w:ascii="Times New Roman" w:hAnsi="Times New Roman" w:eastAsia="宋体" w:cs="Times New Roman"/>
                <w:snapToGrid w:val="0"/>
                <w:color w:val="auto"/>
                <w:kern w:val="2"/>
                <w:sz w:val="24"/>
                <w:szCs w:val="24"/>
                <w:lang w:val="en-US" w:eastAsia="zh-CN" w:bidi="ar-SA"/>
              </w:rPr>
              <w:t>产业结构调整指导目录（2019年本）</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napToGrid w:val="0"/>
                <w:color w:val="auto"/>
                <w:kern w:val="2"/>
                <w:sz w:val="24"/>
                <w:szCs w:val="24"/>
                <w:lang w:val="en-US" w:eastAsia="zh-CN" w:bidi="ar-SA"/>
              </w:rPr>
              <w:t>中第一条“鼓励类”中“七、石油、天然气”第3条“原油、天然气、液化天然气、成品油的储运和管道输送设施、网络和液化天然气加注设施建设”和“第二十九、现代物流业”第1条“煤炭、粮食、棉花、铁矿石、化肥、石油等重要商品现代化物流设施建设”。且2020年5月29日已取得了达州市发展和改革委员会出具的《关于7101油库迁建工程项目建议书的批复》（达市发改审【2020】53号），因此本项目实施符合国家产业政策。</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根据《中华人民共和国环境影响评价法》、《建设项目环境保护管理条例》有关规定，该项目应进行环境影响评价。根据《建设项目环境影响评价分类管理名录》（</w:t>
            </w:r>
            <w:r>
              <w:rPr>
                <w:rFonts w:hint="eastAsia" w:ascii="Times New Roman" w:hAnsi="Times New Roman" w:eastAsia="宋体" w:cs="Times New Roman"/>
                <w:color w:val="auto"/>
                <w:sz w:val="24"/>
                <w:szCs w:val="24"/>
                <w:highlight w:val="none"/>
                <w:lang w:val="en-US" w:eastAsia="zh-CN"/>
              </w:rPr>
              <w:t>2021版），拟建项目属于“五十三、装卸搬运和仓储业59——149、危险品仓储594（不含加油站的油库；不含加气站的气库）”中“其他（含有毒、有害、危险品的仓储；含液化天然气库）”，应编制环境影响报告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cs="Times New Roman"/>
                <w:b w:val="0"/>
                <w:bCs w:val="0"/>
                <w:color w:val="auto"/>
                <w:sz w:val="24"/>
                <w:szCs w:val="24"/>
                <w:highlight w:val="none"/>
                <w:lang w:val="en-US" w:eastAsia="zh-CN"/>
              </w:rPr>
              <w:t>综上所述，项目建设符合国家和地方现行产业政策</w:t>
            </w:r>
            <w:r>
              <w:rPr>
                <w:rFonts w:cs="Times New Roman"/>
                <w:b w:val="0"/>
                <w:bCs w:val="0"/>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二、“四川省、重庆市长江经济带发展负面清单实施细则（试行，2022版）”符合性分析</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表1-2  本项目与“四川省、重庆市长江经济带发展负面清单实施细则（试行，2022版）”符合性分析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226"/>
              <w:gridCol w:w="1796"/>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序号</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实施细则内容</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本项目情况</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改建和扩建不符合《全国内河航道与港口布局规划》等全国港口规划，以及《四川省内河水运发展规划》《泸州—宜宾—乐山港口群布局规划》《重庆港总体规划(2035年）》等省级港口布局规划及市级港口总体规划的码头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本项目不属于码头项目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禁止新建、改建和扩建不符合《长江干线过江通道布局规划(2020</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2035年）》的过长江通道项目（含桥梁、隧道)，国家发展改革委同意过长江通道线位调整的除外</w:t>
                  </w:r>
                  <w:r>
                    <w:rPr>
                      <w:rFonts w:hint="eastAsia" w:cs="Times New Roman"/>
                      <w:color w:val="auto"/>
                      <w:kern w:val="0"/>
                      <w:sz w:val="21"/>
                      <w:szCs w:val="21"/>
                      <w:highlight w:val="none"/>
                      <w:vertAlign w:val="baseline"/>
                      <w:lang w:val="en-US" w:eastAsia="zh-CN" w:bidi="ar"/>
                    </w:rPr>
                    <w:t>。</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本项目不属于过长江通道项目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禁止在自然保护区核心区、缓冲区的岸线和河段范围内投资建设旅游和生产经营项目。自然保护区的内部未分区的，依照本实施细则核心区和缓冲区的规定管控。</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本项目选址不在自然保护区内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4</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禁止违反风景名胜区规划,在风景名胜区内设立各类开发区。禁止在风景名胜区核心景区的岸线和河段范围内建设宾馆、招待所、培训中心、疗养院以及与风景名胜资源保护无关的项目。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本项目选址不在风景名胜区内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5</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禁止在饮用水水源准保护区的岸线和河段范围内新建、扩建对水体污染严重的建设项目，禁止改建增加排污量的建设项目。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本项目选址不在饮用水源准保护区</w:t>
                  </w:r>
                  <w:r>
                    <w:rPr>
                      <w:rFonts w:hint="default" w:ascii="Times New Roman" w:hAnsi="Times New Roman" w:eastAsia="宋体" w:cs="Times New Roman"/>
                      <w:color w:val="auto"/>
                      <w:kern w:val="0"/>
                      <w:sz w:val="21"/>
                      <w:szCs w:val="21"/>
                      <w:highlight w:val="none"/>
                      <w:vertAlign w:val="baseline"/>
                      <w:lang w:val="en-US" w:eastAsia="zh-CN" w:bidi="ar"/>
                    </w:rPr>
                    <w:t>的岸线和河段范围内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6</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饮用水水源二级保护区的岸线和河段范围内﹐除应遵守准保护区规定外，禁止新建、改建、扩建排放污染物的投资建设项目</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禁止从事采石(砂)、对水体有污染的水产养殖等活动</w:t>
                  </w:r>
                  <w:r>
                    <w:rPr>
                      <w:rFonts w:hint="eastAsia" w:cs="Times New Roman"/>
                      <w:color w:val="auto"/>
                      <w:kern w:val="0"/>
                      <w:sz w:val="21"/>
                      <w:szCs w:val="21"/>
                      <w:highlight w:val="none"/>
                      <w:vertAlign w:val="baseline"/>
                      <w:lang w:val="en-US" w:eastAsia="zh-CN" w:bidi="ar"/>
                    </w:rPr>
                    <w:t>。</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本项目选址不在饮用水源二级保护区</w:t>
                  </w:r>
                  <w:r>
                    <w:rPr>
                      <w:rFonts w:hint="default" w:ascii="Times New Roman" w:hAnsi="Times New Roman" w:eastAsia="宋体" w:cs="Times New Roman"/>
                      <w:color w:val="auto"/>
                      <w:kern w:val="0"/>
                      <w:sz w:val="21"/>
                      <w:szCs w:val="21"/>
                      <w:highlight w:val="none"/>
                      <w:vertAlign w:val="baseline"/>
                      <w:lang w:val="en-US" w:eastAsia="zh-CN" w:bidi="ar"/>
                    </w:rPr>
                    <w:t>的岸线和河段范围内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7</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本项目选址不在饮用水源一级保护区</w:t>
                  </w:r>
                  <w:r>
                    <w:rPr>
                      <w:rFonts w:hint="default" w:ascii="Times New Roman" w:hAnsi="Times New Roman" w:eastAsia="宋体" w:cs="Times New Roman"/>
                      <w:color w:val="auto"/>
                      <w:kern w:val="0"/>
                      <w:sz w:val="21"/>
                      <w:szCs w:val="21"/>
                      <w:highlight w:val="none"/>
                      <w:vertAlign w:val="baseline"/>
                      <w:lang w:val="en-US" w:eastAsia="zh-CN" w:bidi="ar"/>
                    </w:rPr>
                    <w:t>的岸线和河段范围内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8</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禁止在水产种质资源保护区岸线和河段范围内新建围湖造田、围湖造地或挖沙采石等投资建设项目。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w:t>
                  </w:r>
                  <w:r>
                    <w:rPr>
                      <w:rFonts w:hint="default" w:ascii="Times New Roman" w:hAnsi="Times New Roman" w:eastAsia="宋体" w:cs="Times New Roman"/>
                      <w:color w:val="auto"/>
                      <w:kern w:val="0"/>
                      <w:sz w:val="21"/>
                      <w:szCs w:val="21"/>
                      <w:highlight w:val="none"/>
                      <w:vertAlign w:val="baseline"/>
                      <w:lang w:val="en-US" w:eastAsia="zh-CN" w:bidi="ar"/>
                    </w:rPr>
                    <w:t>水产种质资源保护区岸线和河段范围内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9</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破坏野生动物栖息地和迁徙通道、鱼类徊游通道。</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本项目选址不在国家湿地公园的的岸线和河段范围内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10</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w:t>
                  </w:r>
                  <w:r>
                    <w:rPr>
                      <w:rFonts w:hint="default" w:ascii="Times New Roman" w:hAnsi="Times New Roman" w:eastAsia="宋体" w:cs="Times New Roman"/>
                      <w:color w:val="auto"/>
                      <w:kern w:val="0"/>
                      <w:sz w:val="21"/>
                      <w:szCs w:val="21"/>
                      <w:highlight w:val="none"/>
                      <w:vertAlign w:val="baseline"/>
                      <w:lang w:val="en-US" w:eastAsia="zh-CN" w:bidi="ar"/>
                    </w:rPr>
                    <w:t>在《长江岸线保护和开发利用总体规划》划定的岸线保护区和岸线保留区内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11</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禁止在《全国重要江河湖泊水功能区划》划定的河段及湖泊保护区、保留区内投资建设不利于水资源及自然生态保护的项目。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本项目选址不在全国重要江河湖泊水功能区划的河段及湖泊保护区、保留区内</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12</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禁止在长江流域江河、湖泊新设、改设或者扩大排污口</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经有管辖权的生态环境主管部门或者长江流域生态环境监督管理机构同意的除外。</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项目不涉及入河排污口</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13</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禁止在长江、大渡河、岷江、赤水河、沱江、嘉陵江、乌江、汉江和51个（四川省45个、重庆市6个）水生生物保护区开展生产性捕捞。</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不涉及</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14</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禁止在长江干支流、重要湖泊岸线一公里范围内新建、扩建化工园区和化工项目。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本项目属于油气仓储项目，不属于化工园区和化工项目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15</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禁止在长江干流岸线三公里范围内和重要支流岸线一公里范围内新建、改建、扩建尾矿库、冶炼渣库、磷石膏库，以提升安全、生态环境保护水平为目的的改建除外。</w:t>
                  </w:r>
                </w:p>
              </w:tc>
              <w:tc>
                <w:tcPr>
                  <w:tcW w:w="1190" w:type="pct"/>
                  <w:vMerge w:val="restar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w:t>
                  </w:r>
                  <w:r>
                    <w:rPr>
                      <w:rFonts w:hint="default" w:ascii="Times New Roman" w:hAnsi="Times New Roman" w:eastAsia="宋体" w:cs="Times New Roman"/>
                      <w:color w:val="auto"/>
                      <w:kern w:val="0"/>
                      <w:sz w:val="21"/>
                      <w:szCs w:val="21"/>
                      <w:highlight w:val="none"/>
                      <w:vertAlign w:val="baseline"/>
                      <w:lang w:val="en-US" w:eastAsia="zh-CN" w:bidi="ar"/>
                    </w:rPr>
                    <w:t>尾矿库、冶炼渣库、磷石膏库</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16</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禁止在生态保护红线区域、永久基本农田集中区域和其他需要特别保护的区域内选址建设尾矿库、冶炼渣库、磷石膏库。</w:t>
                  </w:r>
                </w:p>
              </w:tc>
              <w:tc>
                <w:tcPr>
                  <w:tcW w:w="1190"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17</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第二十一条禁止在合规园区外新建、扩建钢铁、石化、化工、焦化、建材、有色、制浆造纸等高污染项目。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本项目属于油气仓储项目，不属于高污染项目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18</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禁止新建、扩建不符合国家石化、现代煤化工等产业布局规划的项目。</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(一)严格控制新增炼油项目，未列入《石化产业规划布局方案（修订版）》的新增炼油产能一律不得建设。</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(二)新建煤制烯经、煤制芳怪项目必须列入《现代煤化工产业创新发展布局方案》，必须符合《现代煤化工建设项目环境准入条件（试行）》要求。</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本项目属于油气仓储项目，不属于煤化工产业</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19</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禁止新建、扩建法律法规和相关政策明令禁止的落后产能项目。对《产业结构调整指导目录》中淘汰类项目，禁止投</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限制类的新建项目，禁止投资，对属于限制类的现有生产能力，允许企业在一定期限内采取措施改造升级。</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根据《产业结构指导目录（2019本）》本项目属于鼓励类项目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20</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禁止新建、扩建不符合国家产能置换要求的严重过剩产能行业的项目。对于不符合国家产能置换要求的严重过剩产能行业</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不得以其他任何名义、任何方式备案新增产能项目。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本项目属于油气仓储项目，不属于产能过剩行业</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21</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禁止建设以下燃油汽车投资项目(不在中国境内销售产品的投资项目除外）</w:t>
                  </w:r>
                  <w:r>
                    <w:rPr>
                      <w:rFonts w:hint="eastAsia" w:cs="Times New Roman"/>
                      <w:color w:val="auto"/>
                      <w:kern w:val="0"/>
                      <w:sz w:val="21"/>
                      <w:szCs w:val="21"/>
                      <w:highlight w:val="none"/>
                      <w:vertAlign w:val="baseline"/>
                      <w:lang w:val="en-US" w:eastAsia="zh-CN" w:bidi="ar"/>
                    </w:rP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(一）新建独立燃油汽车企业</w:t>
                  </w:r>
                  <w:r>
                    <w:rPr>
                      <w:rFonts w:hint="eastAsia" w:cs="Times New Roman"/>
                      <w:color w:val="auto"/>
                      <w:kern w:val="0"/>
                      <w:sz w:val="21"/>
                      <w:szCs w:val="21"/>
                      <w:highlight w:val="none"/>
                      <w:vertAlign w:val="baseline"/>
                      <w:lang w:val="en-US" w:eastAsia="zh-CN" w:bidi="ar"/>
                    </w:rP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(二)现有汽车企业跨乘用车、商用车类别建设燃油汽车生产能力</w:t>
                  </w:r>
                  <w:r>
                    <w:rPr>
                      <w:rFonts w:hint="eastAsia" w:cs="Times New Roman"/>
                      <w:color w:val="auto"/>
                      <w:kern w:val="0"/>
                      <w:sz w:val="21"/>
                      <w:szCs w:val="21"/>
                      <w:highlight w:val="none"/>
                      <w:vertAlign w:val="baseline"/>
                      <w:lang w:val="en-US" w:eastAsia="zh-CN" w:bidi="ar"/>
                    </w:rP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(三)外省现有燃油汽车企业整体搬迁至本省(列入国家级区域发展规划或不改变企业股权结构的项目除外)</w:t>
                  </w:r>
                  <w:r>
                    <w:rPr>
                      <w:rFonts w:hint="eastAsia" w:cs="Times New Roman"/>
                      <w:color w:val="auto"/>
                      <w:kern w:val="0"/>
                      <w:sz w:val="21"/>
                      <w:szCs w:val="21"/>
                      <w:highlight w:val="none"/>
                      <w:vertAlign w:val="baseline"/>
                      <w:lang w:val="en-US" w:eastAsia="zh-CN" w:bidi="ar"/>
                    </w:rP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(四）对行业管理部门特别公示的燃油汽车企业进行投资(企业原有股东投资或将该企业转为非独立法人的投资项目除外）。</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本项目属于油气仓储项目，不属于燃油汽车投资此昂吗</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22</w:t>
                  </w:r>
                </w:p>
              </w:tc>
              <w:tc>
                <w:tcPr>
                  <w:tcW w:w="2802"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第二十六条禁止新建、扩建不符合要求的高耗能、高排放、低水平项目。</w:t>
                  </w:r>
                </w:p>
              </w:tc>
              <w:tc>
                <w:tcPr>
                  <w:tcW w:w="119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本项目不属于高耗能、高排放、低水平项目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val="0"/>
                <w:bCs w:val="0"/>
                <w:color w:val="auto"/>
                <w:sz w:val="24"/>
                <w:szCs w:val="24"/>
                <w:highlight w:val="none"/>
                <w:lang w:val="en-US" w:eastAsia="zh-CN"/>
              </w:rPr>
              <w:t>由上表可知，本项目建设符合《</w:t>
            </w:r>
            <w:r>
              <w:rPr>
                <w:rFonts w:hint="eastAsia" w:cs="Times New Roman"/>
                <w:b w:val="0"/>
                <w:bCs w:val="0"/>
                <w:color w:val="auto"/>
                <w:kern w:val="0"/>
                <w:sz w:val="24"/>
                <w:szCs w:val="24"/>
                <w:highlight w:val="none"/>
                <w:lang w:val="en-US" w:eastAsia="zh-CN" w:bidi="ar"/>
              </w:rPr>
              <w:t>四川省、重庆市长江经济带发展负面清单实施细则（试行，2022版）</w:t>
            </w:r>
            <w:r>
              <w:rPr>
                <w:rFonts w:hint="eastAsia" w:cs="Times New Roman"/>
                <w:b w:val="0"/>
                <w:bCs w:val="0"/>
                <w:color w:val="auto"/>
                <w:sz w:val="24"/>
                <w:szCs w:val="24"/>
                <w:highlight w:val="none"/>
                <w:lang w:val="en-US" w:eastAsia="zh-CN"/>
              </w:rPr>
              <w:t>》中相关要求。</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三、“四川省嘉陵江流域生态环境保护条例”符合性分析</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表1-3  本项目与“四川省</w:t>
            </w:r>
            <w:r>
              <w:rPr>
                <w:rFonts w:hint="eastAsia" w:cs="Times New Roman"/>
                <w:b/>
                <w:bCs/>
                <w:color w:val="auto"/>
                <w:sz w:val="24"/>
                <w:szCs w:val="24"/>
                <w:highlight w:val="none"/>
                <w:lang w:val="en-US" w:eastAsia="zh-CN"/>
              </w:rPr>
              <w:t>嘉陵江流域生态环境保护条例</w:t>
            </w:r>
            <w:r>
              <w:rPr>
                <w:rFonts w:hint="eastAsia" w:cs="Times New Roman"/>
                <w:b/>
                <w:bCs/>
                <w:color w:val="auto"/>
                <w:kern w:val="0"/>
                <w:sz w:val="24"/>
                <w:szCs w:val="24"/>
                <w:highlight w:val="none"/>
                <w:lang w:val="en-US" w:eastAsia="zh-CN" w:bidi="ar"/>
              </w:rPr>
              <w:t>”符合性分析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421"/>
              <w:gridCol w:w="2601"/>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序号</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四川省嘉陵江流域生态环境保护条例内容</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本项目情况</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禁止在嘉陵江干支流岸线一公里范围内新建、扩建化工园区和化工项目。</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本项目属于油气仓储项目，不属于化工园区和化工项目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本项目环评批复后尽快办理排污许可证</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企业事业单位和其他生产经营者向嘉陵江流域排放污水的，应当按照生态环境主管部门的规定建设规范化污染物排放口，并设置标志牌。</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重点排污单位应当安装水污染物排放自动监测设备，与生态环境主管部门的监控设备联网，并保证监测设备正常运行。</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双龙镇污水处理厂扩建完成后，本项目废水经库区污水处理设施处理后排入双龙镇污水处理厂，不直接外排</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4</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禁止在嘉陵江流域水土流失严重、生态脆弱的区域开展可能造成水土流失的生产建设活动。确因国家发展战略和国计民生需要建设的，应当经科学论证，并依法办理审批手续。</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本项目位于四川双龙铁路物流园，不属于水土流失严重、生态脆弱区域</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5</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排污单位对污水进行预处理后向污水集中处理设施排放的，应当符合污水集中处理设施的接纳标准。</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双龙镇污水处理厂扩建完成后，本项目废水经厂内预处理后满足双龙镇污水处理进水水质要求，排入双龙镇污水处理厂</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6</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化学品生产企业以及工业集聚区、矿山开采区、尾矿库、危险废物处置场、垃圾填埋场等运营、管理单位，应当采取防渗漏、防垮塌等措施，并建设地下水水质监测井进行监测，防止地下水污染。</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本项目属于油气仓储项目，项目区内采取分区防渗措施，防治地下水污染</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7</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嘉陵江流域产业结构和布局应当与流域生态系统和资源环境承载能力相适应。禁止在嘉陵江流域重点生态功能区布局对生态系统有严重影响的产业。禁止重污染企业和项目向嘉陵江流域转移。</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本项目不属于重污染项目</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8</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限期禁止生产、销售、进口、使用、转让严重污染水环境的工艺和设备。</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本项目采用先进的工艺和设备，不会对环境造成污染</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9</w:t>
                  </w:r>
                </w:p>
              </w:tc>
              <w:tc>
                <w:tcPr>
                  <w:tcW w:w="2268" w:type="pct"/>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鼓励企业事业单位和其他生产经营者配套建设工业用水回收利用设施和中水回用管网设施，采取循环用水、综合利用以及废水处理回用等措施</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提高水的重复利用率。</w:t>
                  </w:r>
                </w:p>
              </w:tc>
              <w:tc>
                <w:tcPr>
                  <w:tcW w:w="172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双龙镇污水处理厂扩建完成前，本项目初期雨水、喷淋降温水、地面冲洗废水经厂区废水处理站处理后，用于厂区绿化、泼洒抑尘，提高废水的利用率</w:t>
                  </w:r>
                </w:p>
              </w:tc>
              <w:tc>
                <w:tcPr>
                  <w:tcW w:w="58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由上表可知，本项目建设符合《四川省嘉陵江流域生态环境保护条例》（2022年1月起实施）中相关要求。</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四</w:t>
            </w:r>
            <w:r>
              <w:rPr>
                <w:rFonts w:hint="eastAsia" w:ascii="Times New Roman" w:hAnsi="Times New Roman" w:eastAsia="宋体" w:cs="Times New Roman"/>
                <w:b/>
                <w:bCs/>
                <w:color w:val="auto"/>
                <w:sz w:val="24"/>
                <w:szCs w:val="24"/>
                <w:highlight w:val="none"/>
                <w:lang w:val="en-US" w:eastAsia="zh-CN"/>
              </w:rPr>
              <w:t>、“三线一单”符合性分析</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1、四川省生态保护红线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四川省人民政府《关于印发四川省生态保护红线方案的通知》(川府发〔2018〕24号)，达州市生态保护红线主要分布在大巴山和盆地区域，涉及大巴山生物多样性维护—水源涵养生态保护红线、盆中城市饮用水源—水土保持生态保护红线。达州市生态保护红线面积</w:t>
            </w:r>
            <w:r>
              <w:rPr>
                <w:rFonts w:hint="default" w:ascii="Times New Roman" w:hAnsi="Times New Roman" w:eastAsia="宋体" w:cs="Times New Roman"/>
                <w:b w:val="0"/>
                <w:bCs w:val="0"/>
                <w:color w:val="auto"/>
                <w:sz w:val="24"/>
                <w:szCs w:val="24"/>
                <w:highlight w:val="none"/>
                <w:lang w:val="en-US" w:eastAsia="zh-CN"/>
              </w:rPr>
              <w:t>1214.56km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，占达州市国土面积比例的</w:t>
            </w:r>
            <w:r>
              <w:rPr>
                <w:rFonts w:hint="default" w:ascii="Times New Roman" w:hAnsi="Times New Roman" w:eastAsia="宋体" w:cs="Times New Roman"/>
                <w:b w:val="0"/>
                <w:bCs w:val="0"/>
                <w:color w:val="auto"/>
                <w:sz w:val="24"/>
                <w:szCs w:val="24"/>
                <w:highlight w:val="none"/>
                <w:lang w:val="en-US" w:eastAsia="zh-CN"/>
              </w:rPr>
              <w:t>7.33%</w:t>
            </w:r>
            <w:r>
              <w:rPr>
                <w:rFonts w:hint="eastAsia"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通过与达州市生态保护红线图（调整后）对比分析，本项目不涉及生态保护红线，项目与达州市生态保护红线的位置关系如下图。</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color w:val="auto"/>
                <w:sz w:val="24"/>
              </w:rPr>
              <mc:AlternateContent>
                <mc:Choice Requires="wpg">
                  <w:drawing>
                    <wp:anchor distT="0" distB="0" distL="114300" distR="114300" simplePos="0" relativeHeight="251659264" behindDoc="0" locked="0" layoutInCell="1" allowOverlap="1">
                      <wp:simplePos x="0" y="0"/>
                      <wp:positionH relativeFrom="column">
                        <wp:posOffset>1574165</wp:posOffset>
                      </wp:positionH>
                      <wp:positionV relativeFrom="paragraph">
                        <wp:posOffset>831215</wp:posOffset>
                      </wp:positionV>
                      <wp:extent cx="824230" cy="914400"/>
                      <wp:effectExtent l="13970" t="4445" r="19050" b="14605"/>
                      <wp:wrapNone/>
                      <wp:docPr id="3" name="组合 29"/>
                      <wp:cNvGraphicFramePr/>
                      <a:graphic xmlns:a="http://schemas.openxmlformats.org/drawingml/2006/main">
                        <a:graphicData uri="http://schemas.microsoft.com/office/word/2010/wordprocessingGroup">
                          <wpg:wgp>
                            <wpg:cNvGrpSpPr/>
                            <wpg:grpSpPr>
                              <a:xfrm>
                                <a:off x="0" y="0"/>
                                <a:ext cx="824230" cy="914400"/>
                                <a:chOff x="5339" y="78003"/>
                                <a:chExt cx="1298" cy="1440"/>
                              </a:xfrm>
                            </wpg:grpSpPr>
                            <wps:wsp>
                              <wps:cNvPr id="1" name="自选图形 26"/>
                              <wps:cNvSpPr/>
                              <wps:spPr>
                                <a:xfrm>
                                  <a:off x="5339" y="79331"/>
                                  <a:ext cx="113" cy="113"/>
                                </a:xfrm>
                                <a:prstGeom prst="star5">
                                  <a:avLst/>
                                </a:prstGeom>
                                <a:solidFill>
                                  <a:srgbClr val="FF0000"/>
                                </a:solidFill>
                                <a:ln w="9525" cap="flat" cmpd="sng">
                                  <a:solidFill>
                                    <a:srgbClr val="FF0000"/>
                                  </a:solidFill>
                                  <a:prstDash val="solid"/>
                                  <a:miter/>
                                  <a:headEnd type="none" w="med" len="med"/>
                                  <a:tailEnd type="none" w="med" len="med"/>
                                </a:ln>
                              </wps:spPr>
                              <wps:bodyPr vert="horz" wrap="square" anchor="t" anchorCtr="0" upright="1"/>
                            </wps:wsp>
                            <wps:wsp>
                              <wps:cNvPr id="2" name="自选图形 27"/>
                              <wps:cNvSpPr/>
                              <wps:spPr>
                                <a:xfrm>
                                  <a:off x="5669" y="78003"/>
                                  <a:ext cx="969" cy="408"/>
                                </a:xfrm>
                                <a:prstGeom prst="wedgeRoundRectCallout">
                                  <a:avLst>
                                    <a:gd name="adj1" fmla="val -77963"/>
                                    <a:gd name="adj2" fmla="val 290931"/>
                                    <a:gd name="adj3" fmla="val 16667"/>
                                  </a:avLst>
                                </a:prstGeom>
                                <a:noFill/>
                                <a:ln w="9525" cap="flat" cmpd="sng">
                                  <a:solidFill>
                                    <a:srgbClr val="FF0000"/>
                                  </a:solidFill>
                                  <a:prstDash val="solid"/>
                                  <a:miter/>
                                  <a:headEnd type="none" w="med" len="med"/>
                                  <a:tailEnd type="none" w="med" len="med"/>
                                </a:ln>
                              </wps:spPr>
                              <wps:txbx>
                                <w:txbxContent>
                                  <w:p>
                                    <w:pPr>
                                      <w:rPr>
                                        <w:rFonts w:hint="default" w:eastAsia="宋体"/>
                                        <w:sz w:val="15"/>
                                        <w:szCs w:val="15"/>
                                        <w:lang w:val="en-US" w:eastAsia="zh-CN"/>
                                      </w:rPr>
                                    </w:pPr>
                                    <w:r>
                                      <w:rPr>
                                        <w:rFonts w:hint="eastAsia"/>
                                        <w:sz w:val="15"/>
                                        <w:szCs w:val="15"/>
                                        <w:lang w:val="en-US" w:eastAsia="zh-CN"/>
                                      </w:rPr>
                                      <w:t>项目位置</w:t>
                                    </w:r>
                                  </w:p>
                                </w:txbxContent>
                              </wps:txbx>
                              <wps:bodyPr vert="horz" wrap="square" anchor="t" anchorCtr="0" upright="1"/>
                            </wps:wsp>
                          </wpg:wgp>
                        </a:graphicData>
                      </a:graphic>
                    </wp:anchor>
                  </w:drawing>
                </mc:Choice>
                <mc:Fallback>
                  <w:pict>
                    <v:group id="组合 29" o:spid="_x0000_s1026" o:spt="203" style="position:absolute;left:0pt;margin-left:123.95pt;margin-top:65.45pt;height:72pt;width:64.9pt;z-index:251659264;mso-width-relative:page;mso-height-relative:page;" coordorigin="5339,78003" coordsize="1298,1440" o:gfxdata="UEsDBAoAAAAAAIdO4kAAAAAAAAAAAAAAAAAEAAAAZHJzL1BLAwQUAAAACACHTuJAfotN09oAAAAL&#10;AQAADwAAAGRycy9kb3ducmV2LnhtbE2PwU7DMAyG70i8Q2QkbizpOggrTSc0AacJiQ0Jcctar63W&#10;OFWTtdvbY05ws/X9+v05X51dJ0YcQuvJQDJTIJBKX7VUG/jcvd49ggjRUmU7T2jgggFWxfVVbrPK&#10;T/SB4zbWgksoZNZAE2OfSRnKBp0NM98jMTv4wdnI61DLarATl7tOzpV6kM62xBca2+O6wfK4PTkD&#10;b5OdntPkZdwcD+vL9+7+/WuToDG3N4l6AhHxHP/C8KvP6lCw096fqAqiMzBf6CVHGaSKB06kWmsQ&#10;e0Z6sQRZ5PL/D8UPUEsDBBQAAAAIAIdO4kDbQ4rtHgMAAG4IAAAOAAAAZHJzL2Uyb0RvYy54bWzl&#10;VsmS0zAQvVPFP6h0Z7xktWucOUwmc6FgagY+QLHlhZIlISlxwokDVcCNOzeO/AIFfzMF/AUt2Vlm&#10;OaSA4kIOSctqtfq9ft3O8cmqZmhJla4ET3Bw5GNEeSqyihcJfv5s9miMkTaEZ4QJThO8phqfTB4+&#10;OG5kTENRCpZRhSAI13EjE1waI2PP02lJa6KPhKQcNnOhamJgqQovU6SB6DXzQt8feo1QmVQipVrD&#10;02m7ibuI6pCAIs+rlE5FuqgpN21URRkxAEmXldR44rLNc5qap3muqUEswYDUuG+4BOy5/fYmxyQu&#10;FJFllXYpkENSuIWpJhWHS7ehpsQQtFDVnVB1lSqhRW6OUlF7LRDHCKAI/FvcnCuxkA5LETeF3JIO&#10;hbrF+m+HTZ8sLxSqsgT3MOKkhoJ///Lm+sM7FEaWnEYWMficK3klL1T3oGhXFu8qV7X9BSRo5Whd&#10;b2mlK4NSeDgO+2EPCE9hKwr6fb+jPS2hNvbUoNeLMILd0dj3e21N0vKsOx6EEUjSHrZn7a63udez&#10;6W2zaSQoUu9o0n9G01VJJHXsa0tBR1OwoenH288/X7+//vjt+usnFA5bspznlikdayDtHpp2gKNe&#10;L2gBb9gKAqiEQwvGPlgSS6XNORU1skaCoUvVwKmOLB9r0/pufOytWrAqm1WMuYUq5qdMoSWBVpjN&#10;fPh04W+4MY4aKNMgHEAWBPo7h74Cs5agEc0Ld9+NE/qwwDaxKdFlm4CL0AKvK0MVJE/ikpLsjGfI&#10;rCXokMP4wTaZmmYYMQrTylrO05CKHeIJSmEcBGOl0dbCWnORraGcMASBxVKoV3ANjADA93JBFFxK&#10;eAqPEwzAW/PUtDNjIVVVlHDKFc2FBcXZNvkH0gvvl97IUmITAJEeIL3h8E6vbaQX2S0rvb4/tkG3&#10;fXZHeg3NCnopFjy7hBF7ShgTC7OToi1mkXXzhGQvoGnymsFgBfGhR6NRNOy6fN8J4O2cwsiPNp2x&#10;7wS9sXMKhsOhQw+JuhZwKe93ABdW/k4y/4OwzWq+6sTw9zXuhi28hhzJ3SvTvuf212Dv/02Y/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i03T2gAAAAsBAAAPAAAAAAAAAAEAIAAAACIAAABkcnMv&#10;ZG93bnJldi54bWxQSwECFAAUAAAACACHTuJA20OK7R4DAABuCAAADgAAAAAAAAABACAAAAApAQAA&#10;ZHJzL2Uyb0RvYy54bWxQSwUGAAAAAAYABgBZAQAAuQYAAAAA&#10;">
                      <o:lock v:ext="edit" aspectratio="f"/>
                      <v:shape id="自选图形 26" o:spid="_x0000_s1026" style="position:absolute;left:5339;top:79331;height:113;width:113;" fillcolor="#FF0000" filled="t" stroked="t" coordsize="113,113" o:gfxdata="UEsDBAoAAAAAAIdO4kAAAAAAAAAAAAAAAAAEAAAAZHJzL1BLAwQUAAAACACHTuJAgTkDcrkAAADa&#10;AAAADwAAAGRycy9kb3ducmV2LnhtbEVPTYvCMBC9C/6HMAveNFVUdqtpD4LoSbB62L0NzdiWTSal&#10;idXdX28EwdPweJ+zzu/WiJ463zhWMJ0kIIhLpxuuFJxP2/EnCB+QNRrHpOCPPOTZcLDGVLsbH6kv&#10;QiViCPsUFdQhtKmUvqzJop+4ljhyF9dZDBF2ldQd3mK4NXKWJEtpseHYUGNLm5rK3+JqFcjCVIeF&#10;vrrNz1fr57t/+92bmVKjj2myAhHoHt7il3uv43x4vvK8Mn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5A3K5AAAA2gAA&#10;AA8AAAAAAAAAAQAgAAAAIgAAAGRycy9kb3ducmV2LnhtbFBLAQIUABQAAAAIAIdO4kAzLwWeOwAA&#10;ADkAAAAQAAAAAAAAAAEAIAAAAAgBAABkcnMvc2hhcGV4bWwueG1sUEsFBgAAAAAGAAYAWwEAALID&#10;AAAAAA==&#10;" path="m0,43l43,43,56,0,69,43,112,43,78,69,91,112,56,86,21,112,34,69xe">
                        <v:path o:connectlocs="56,0;0,43;21,112;91,112;112,43" o:connectangles="247,164,82,82,0"/>
                        <v:fill on="t" focussize="0,0"/>
                        <v:stroke color="#FF0000" joinstyle="miter"/>
                        <v:imagedata o:title=""/>
                        <o:lock v:ext="edit" aspectratio="f"/>
                      </v:shape>
                      <v:shape id="自选图形 27" o:spid="_x0000_s1026" o:spt="62" type="#_x0000_t62" style="position:absolute;left:5669;top:78003;height:408;width:969;" filled="f" stroked="t" coordsize="21600,21600" o:gfxdata="UEsDBAoAAAAAAIdO4kAAAAAAAAAAAAAAAAAEAAAAZHJzL1BLAwQUAAAACACHTuJAVzlkRLwAAADa&#10;AAAADwAAAGRycy9kb3ducmV2LnhtbEWPwWrDMBBE74X+g9hCbrVsH0pwrAQSMCSXljptz4u1sYyt&#10;lW2pifP3VaHQ4zAzb5hyt9hBXGn2nWMFWZKCIG6c7rhV8HGuntcgfEDWODgmBXfysNs+PpRYaHfj&#10;d7rWoRURwr5ABSaEsZDSN4Ys+sSNxNG7uNliiHJupZ7xFuF2kHmavkiLHccFgyMdDDV9/W0V9PL8&#10;5sznae+n9nWqqvXXRFOu1OopSzcgAi3hP/zXPmoFOfxeiTd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5ZES8AAAA&#10;2gAAAA8AAAAAAAAAAQAgAAAAIgAAAGRycy9kb3ducmV2LnhtbFBLAQIUABQAAAAIAIdO4kAzLwWe&#10;OwAAADkAAAAQAAAAAAAAAAEAIAAAAAsBAABkcnMvc2hhcGV4bWwueG1sUEsFBgAAAAAGAAYAWwEA&#10;ALUDAAAAAA==&#10;" adj="-6040,73641,14400">
                        <v:fill on="f" focussize="0,0"/>
                        <v:stroke color="#FF0000" joinstyle="miter"/>
                        <v:imagedata o:title=""/>
                        <o:lock v:ext="edit" aspectratio="f"/>
                        <v:textbox>
                          <w:txbxContent>
                            <w:p>
                              <w:pPr>
                                <w:rPr>
                                  <w:rFonts w:hint="default" w:eastAsia="宋体"/>
                                  <w:sz w:val="15"/>
                                  <w:szCs w:val="15"/>
                                  <w:lang w:val="en-US" w:eastAsia="zh-CN"/>
                                </w:rPr>
                              </w:pPr>
                              <w:r>
                                <w:rPr>
                                  <w:rFonts w:hint="eastAsia"/>
                                  <w:sz w:val="15"/>
                                  <w:szCs w:val="15"/>
                                  <w:lang w:val="en-US" w:eastAsia="zh-CN"/>
                                </w:rPr>
                                <w:t>项目位置</w:t>
                              </w:r>
                            </w:p>
                          </w:txbxContent>
                        </v:textbox>
                      </v:shape>
                    </v:group>
                  </w:pict>
                </mc:Fallback>
              </mc:AlternateContent>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4843780" cy="3060065"/>
                  <wp:effectExtent l="0" t="0" r="13970" b="6985"/>
                  <wp:docPr id="20" name="图片 62" descr="达州市通川区北城医院建设项目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2" descr="达州市通川区北城医院建设项目2022"/>
                          <pic:cNvPicPr>
                            <a:picLocks noChangeAspect="1"/>
                          </pic:cNvPicPr>
                        </pic:nvPicPr>
                        <pic:blipFill>
                          <a:blip r:embed="rId13"/>
                          <a:stretch>
                            <a:fillRect/>
                          </a:stretch>
                        </pic:blipFill>
                        <pic:spPr>
                          <a:xfrm>
                            <a:off x="0" y="0"/>
                            <a:ext cx="4843780" cy="3060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 xml:space="preserve">  项目与达州市生态保护红线位置关系图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①项目所在管控单元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达州市人民政府《关于落实生态保护红线、环境质量底线、资源利用上线制定生态环境准入清单实施生态环境分区管控的通知》（达市府发[2021]17号），全市行政区域从生态环境保护角度划分为优先保护、重点管控和一般管控三类环境管控单元，全市共划定46个综合环境管控单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优先保护单元。</w:t>
            </w:r>
            <w:r>
              <w:rPr>
                <w:rFonts w:hint="eastAsia" w:ascii="Times New Roman" w:hAnsi="Times New Roman" w:eastAsia="宋体" w:cs="Times New Roman"/>
                <w:b w:val="0"/>
                <w:bCs w:val="0"/>
                <w:color w:val="auto"/>
                <w:sz w:val="24"/>
                <w:szCs w:val="24"/>
                <w:highlight w:val="none"/>
                <w:lang w:val="en-US" w:eastAsia="zh-CN"/>
              </w:rPr>
              <w:t>以生态环境保护为主的区域，全市划分优先保护单元17个，主要包括生态保护红线、自然保护地、饮用水水源保护区等。</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重点管控单元。</w:t>
            </w:r>
            <w:r>
              <w:rPr>
                <w:rFonts w:hint="eastAsia" w:ascii="Times New Roman" w:hAnsi="Times New Roman" w:eastAsia="宋体" w:cs="Times New Roman"/>
                <w:b w:val="0"/>
                <w:bCs w:val="0"/>
                <w:color w:val="auto"/>
                <w:sz w:val="24"/>
                <w:szCs w:val="24"/>
                <w:highlight w:val="none"/>
                <w:lang w:val="en-US" w:eastAsia="zh-CN"/>
              </w:rPr>
              <w:t>涉及水、大气、土壤、自然资源等资源环境要素重点管控的区域，全市划分重点管控单元22个，主要包括人口密集的城镇规划区和产业集聚的工业园区（工业集聚区）等。</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一般管控单元。</w:t>
            </w:r>
            <w:r>
              <w:rPr>
                <w:rFonts w:hint="eastAsia" w:ascii="Times New Roman" w:hAnsi="Times New Roman" w:eastAsia="宋体" w:cs="Times New Roman"/>
                <w:b w:val="0"/>
                <w:bCs w:val="0"/>
                <w:color w:val="auto"/>
                <w:sz w:val="24"/>
                <w:szCs w:val="24"/>
                <w:highlight w:val="none"/>
                <w:lang w:val="en-US" w:eastAsia="zh-CN"/>
              </w:rPr>
              <w:t>除优先保护单元和重点管控单元之外的其他区域，全市共划分一般管控单元7个。</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4"/>
                <w:szCs w:val="24"/>
                <w:highlight w:val="none"/>
                <w:lang w:val="en-US" w:eastAsia="zh-CN"/>
              </w:rPr>
            </w:pPr>
            <w:r>
              <w:rPr>
                <w:color w:val="auto"/>
                <w:sz w:val="24"/>
              </w:rPr>
              <mc:AlternateContent>
                <mc:Choice Requires="wpg">
                  <w:drawing>
                    <wp:anchor distT="0" distB="0" distL="114300" distR="114300" simplePos="0" relativeHeight="251661312" behindDoc="0" locked="0" layoutInCell="1" allowOverlap="1">
                      <wp:simplePos x="0" y="0"/>
                      <wp:positionH relativeFrom="column">
                        <wp:posOffset>1826260</wp:posOffset>
                      </wp:positionH>
                      <wp:positionV relativeFrom="paragraph">
                        <wp:posOffset>999490</wp:posOffset>
                      </wp:positionV>
                      <wp:extent cx="824230" cy="914400"/>
                      <wp:effectExtent l="13970" t="4445" r="19050" b="14605"/>
                      <wp:wrapNone/>
                      <wp:docPr id="9" name="组合 36"/>
                      <wp:cNvGraphicFramePr/>
                      <a:graphic xmlns:a="http://schemas.openxmlformats.org/drawingml/2006/main">
                        <a:graphicData uri="http://schemas.microsoft.com/office/word/2010/wordprocessingGroup">
                          <wpg:wgp>
                            <wpg:cNvGrpSpPr/>
                            <wpg:grpSpPr>
                              <a:xfrm>
                                <a:off x="0" y="0"/>
                                <a:ext cx="824230" cy="914400"/>
                                <a:chOff x="5339" y="78003"/>
                                <a:chExt cx="1298" cy="1440"/>
                              </a:xfrm>
                            </wpg:grpSpPr>
                            <wps:wsp>
                              <wps:cNvPr id="7" name="自选图形 37"/>
                              <wps:cNvSpPr/>
                              <wps:spPr>
                                <a:xfrm>
                                  <a:off x="5339" y="79331"/>
                                  <a:ext cx="113" cy="113"/>
                                </a:xfrm>
                                <a:prstGeom prst="star5">
                                  <a:avLst/>
                                </a:prstGeom>
                                <a:solidFill>
                                  <a:srgbClr val="FFFF00"/>
                                </a:solidFill>
                                <a:ln w="9525" cap="flat" cmpd="sng">
                                  <a:solidFill>
                                    <a:srgbClr val="FF0000"/>
                                  </a:solidFill>
                                  <a:prstDash val="solid"/>
                                  <a:miter/>
                                  <a:headEnd type="none" w="med" len="med"/>
                                  <a:tailEnd type="none" w="med" len="med"/>
                                </a:ln>
                              </wps:spPr>
                              <wps:bodyPr wrap="square" upright="1"/>
                            </wps:wsp>
                            <wps:wsp>
                              <wps:cNvPr id="8" name="自选图形 38"/>
                              <wps:cNvSpPr/>
                              <wps:spPr>
                                <a:xfrm>
                                  <a:off x="5669" y="78003"/>
                                  <a:ext cx="969" cy="408"/>
                                </a:xfrm>
                                <a:prstGeom prst="wedgeRoundRectCallout">
                                  <a:avLst>
                                    <a:gd name="adj1" fmla="val -77963"/>
                                    <a:gd name="adj2" fmla="val 290931"/>
                                    <a:gd name="adj3" fmla="val 16667"/>
                                  </a:avLst>
                                </a:prstGeom>
                                <a:solidFill>
                                  <a:srgbClr val="FFFF00"/>
                                </a:solidFill>
                                <a:ln w="9525" cap="flat" cmpd="sng">
                                  <a:solidFill>
                                    <a:srgbClr val="FF0000"/>
                                  </a:solidFill>
                                  <a:prstDash val="solid"/>
                                  <a:miter/>
                                  <a:headEnd type="none" w="med" len="med"/>
                                  <a:tailEnd type="none" w="med" len="med"/>
                                </a:ln>
                              </wps:spPr>
                              <wps:txbx>
                                <w:txbxContent>
                                  <w:p>
                                    <w:pPr>
                                      <w:rPr>
                                        <w:rFonts w:hint="default" w:eastAsia="宋体"/>
                                        <w:sz w:val="15"/>
                                        <w:szCs w:val="15"/>
                                        <w:lang w:val="en-US" w:eastAsia="zh-CN"/>
                                      </w:rPr>
                                    </w:pPr>
                                    <w:r>
                                      <w:rPr>
                                        <w:rFonts w:hint="eastAsia"/>
                                        <w:sz w:val="15"/>
                                        <w:szCs w:val="15"/>
                                        <w:lang w:val="en-US" w:eastAsia="zh-CN"/>
                                      </w:rPr>
                                      <w:t>项目位置</w:t>
                                    </w:r>
                                  </w:p>
                                </w:txbxContent>
                              </wps:txbx>
                              <wps:bodyPr wrap="square" upright="1"/>
                            </wps:wsp>
                          </wpg:wgp>
                        </a:graphicData>
                      </a:graphic>
                    </wp:anchor>
                  </w:drawing>
                </mc:Choice>
                <mc:Fallback>
                  <w:pict>
                    <v:group id="组合 36" o:spid="_x0000_s1026" o:spt="203" style="position:absolute;left:0pt;margin-left:143.8pt;margin-top:78.7pt;height:72pt;width:64.9pt;z-index:251661312;mso-width-relative:page;mso-height-relative:page;" coordorigin="5339,78003" coordsize="1298,1440" o:gfxdata="UEsDBAoAAAAAAIdO4kAAAAAAAAAAAAAAAAAEAAAAZHJzL1BLAwQUAAAACACHTuJA0BeIZtsAAAAL&#10;AQAADwAAAGRycy9kb3ducmV2LnhtbE2PTWvDMAyG74P9B6PBbqvtNv0gi1NG2XYqg7WDsZubqElo&#10;LIfYTdp/P/W03STeh1ePsvXFtWLAPjSeDOiJAoFU+LKhysDX/u1pBSJES6VtPaGBKwZY5/d3mU1L&#10;P9InDrtYCS6hkFoDdYxdKmUoanQ2THyHxNnR985GXvtKlr0dudy1cqrUQjrbEF+obYebGovT7uwM&#10;vI92fJnp12F7Om6uP/v5x/dWozGPD1o9g4h4iX8w3PRZHXJ2OvgzlUG0Bqar5YJRDubLBAQTib4N&#10;BwMzpROQeSb//5D/AlBLAwQUAAAACACHTuJAPgR+EgwDAABNCAAADgAAAGRycy9lMm9Eb2MueG1s&#10;7VbLbtQwFN0j8Q+W921e80rUmS46bTcIqhY+wJM4D+TYxvZMZnYskIAde3Ys+QUEf1MBf8G1k3m1&#10;XQwgsSKLjBNfX99z7jnOnJwua4YWVOlK8DEOjn2MKE9FVvFijF88vzgaYaQN4RlhgtMxXlGNTyeP&#10;H500MqGhKAXLqEKQhOukkWNcGiMTz9NpSWuij4WkHCZzoWpi4FEVXqZIA9lr5oW+P/AaoTKpREq1&#10;hrfTdhJ3GdUhCUWeVymdinReU27arIoyYgCSLiup8cRVm+c0Nc/yXFOD2BgDUuPusAmMZ/buTU5I&#10;UigiyyrtSiCHlHAHU00qDptuUk2JIWiuqnup6ipVQovcHKei9logjhFAEfh3uLlUYi4dliJpCrkh&#10;HRp1h/U/Tps+XVwpVGVjHGPESQ0N//7lze2HdygaWHIaWSQQc6nkjbxS3YuifbJ4l7mq7S8gQUtH&#10;62pDK10alMLLUdgLIyA8hak46PX8jva0hN7YVf0ogt1hdjjy/ajtSVqed8uDMAZJ2sV2rZ311vt6&#10;trxNNY0EReotTfrvaLopiaSOfW0p6Ggarmn68fbzz9fvbz9+u/36CUXDliwXuWFKJxpIe4CmLeA4&#10;ioIW8JqtIIg6tDDYBUsSqbS5pKJGdjDG4FLVd6ojiyfatLHrGLurFqzKLirG3IMqZmdMoQUBK1zA&#10;1bYBuNwLYxw10KZ+2IcqCPg7B1/BsJagEc0Lt9/eCr2f2Ierq3svzBY2JbpsC3BTLfC6MlRB8SQp&#10;KcnOeYbMSoIOORw/2BZT0wwjRuG0siMXaUjFDokEdIyDYKw02l7Y0UxkK2hnA7YHTK/mRMFGc6mq&#10;ogRaXT/cChCTdcA/UBUIvDXfvqpGFq0tAPR3gKoGg3s2WqsqtlPWQz3fJd1Y6J6qGpoV9FrMeXYN&#10;p+cZYUzMzVZltk9F1lVLspcBRnnN4MwEXaGj4TAedAbeDQp3g8LYj9ei3w0C2W8zBYPBwHkKCnXq&#10;dq7/L+5dGzwsbrOcLTvV/JbO3VkKXxlHdPdFtJ+x3WfnpO2/g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0BeIZtsAAAALAQAADwAAAAAAAAABACAAAAAiAAAAZHJzL2Rvd25yZXYueG1sUEsBAhQA&#10;FAAAAAgAh07iQD4EfhIMAwAATQgAAA4AAAAAAAAAAQAgAAAAKgEAAGRycy9lMm9Eb2MueG1sUEsF&#10;BgAAAAAGAAYAWQEAAKgGAAAAAA==&#10;">
                      <o:lock v:ext="edit" aspectratio="f"/>
                      <v:shape id="自选图形 37" o:spid="_x0000_s1026" style="position:absolute;left:5339;top:79331;height:113;width:113;" fillcolor="#FFFF00" filled="t" stroked="t" coordsize="113,113" o:gfxdata="UEsDBAoAAAAAAIdO4kAAAAAAAAAAAAAAAAAEAAAAZHJzL1BLAwQUAAAACACHTuJAKrFYdrwAAADa&#10;AAAADwAAAGRycy9kb3ducmV2LnhtbEWPQWvCQBSE74X+h+UVvNXdeKgldRUUBFFEGkU8PrKvSTD7&#10;Nma3Mfn3rlDocZiZb5jZore16Kj1lWMNyViBIM6dqbjQcDqu3z9B+IBssHZMGgbysJi/vswwNe7O&#10;39RloRARwj5FDWUITSqlz0uy6MeuIY7ej2sthijbQpoW7xFuazlR6kNarDgulNjQqqT8mv1aDZft&#10;UiW73Wp/sQe+meE0qdietR69JeoLRKA+/If/2hujYQrPK/EG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xWHa8AAAA&#10;2gAAAA8AAAAAAAAAAQAgAAAAIgAAAGRycy9kb3ducmV2LnhtbFBLAQIUABQAAAAIAIdO4kAzLwWe&#10;OwAAADkAAAAQAAAAAAAAAAEAIAAAAAsBAABkcnMvc2hhcGV4bWwueG1sUEsFBgAAAAAGAAYAWwEA&#10;ALUDAAAAAA==&#10;" path="m0,43l43,43,56,0,69,43,112,43,78,69,91,112,56,86,21,112,34,69xe">
                        <v:path o:connectlocs="56,0;0,43;21,112;91,112;112,43" o:connectangles="247,164,82,82,0"/>
                        <v:fill on="t" focussize="0,0"/>
                        <v:stroke color="#FF0000" joinstyle="miter"/>
                        <v:imagedata o:title=""/>
                        <o:lock v:ext="edit" aspectratio="f"/>
                      </v:shape>
                      <v:shape id="自选图形 38" o:spid="_x0000_s1026" o:spt="62" type="#_x0000_t62" style="position:absolute;left:5669;top:78003;height:408;width:969;" fillcolor="#FFFF00" filled="t" stroked="t" coordsize="21600,21600" o:gfxdata="UEsDBAoAAAAAAIdO4kAAAAAAAAAAAAAAAAAEAAAAZHJzL1BLAwQUAAAACACHTuJAhBkbtbUAAADa&#10;AAAADwAAAGRycy9kb3ducmV2LnhtbEVPuwrCMBTdBf8hXMFNUx1Eq9FBEJwEX7hekmtbbW5KE9vq&#10;15tBcDyc92rT2VI0VPvCsYLJOAFBrJ0pOFNwOe9GcxA+IBssHZOCN3nYrPu9FabGtXyk5hQyEUPY&#10;p6ggD6FKpfQ6J4t+7CriyN1dbTFEWGfS1NjGcFvKaZLMpMWCY0OOFW1z0s/TyyqoDttd+y71wh6b&#10;w627tw/dXT9KDQeTZAkiUBf+4p97bxTErfFKvAF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BkbtbUAAADaAAAADwAA&#10;AAAAAAABACAAAAAiAAAAZHJzL2Rvd25yZXYueG1sUEsBAhQAFAAAAAgAh07iQDMvBZ47AAAAOQAA&#10;ABAAAAAAAAAAAQAgAAAABAEAAGRycy9zaGFwZXhtbC54bWxQSwUGAAAAAAYABgBbAQAArgMAAAAA&#10;" adj="-6040,73641,14400">
                        <v:fill on="t" focussize="0,0"/>
                        <v:stroke color="#FF0000" joinstyle="miter"/>
                        <v:imagedata o:title=""/>
                        <o:lock v:ext="edit" aspectratio="f"/>
                        <v:textbox>
                          <w:txbxContent>
                            <w:p>
                              <w:pPr>
                                <w:rPr>
                                  <w:rFonts w:hint="default" w:eastAsia="宋体"/>
                                  <w:sz w:val="15"/>
                                  <w:szCs w:val="15"/>
                                  <w:lang w:val="en-US" w:eastAsia="zh-CN"/>
                                </w:rPr>
                              </w:pPr>
                              <w:r>
                                <w:rPr>
                                  <w:rFonts w:hint="eastAsia"/>
                                  <w:sz w:val="15"/>
                                  <w:szCs w:val="15"/>
                                  <w:lang w:val="en-US" w:eastAsia="zh-CN"/>
                                </w:rPr>
                                <w:t>项目位置</w:t>
                              </w:r>
                            </w:p>
                          </w:txbxContent>
                        </v:textbox>
                      </v:shape>
                    </v:group>
                  </w:pict>
                </mc:Fallback>
              </mc:AlternateContent>
            </w:r>
            <w:r>
              <w:rPr>
                <w:color w:val="auto"/>
              </w:rPr>
              <w:drawing>
                <wp:inline distT="0" distB="0" distL="114300" distR="114300">
                  <wp:extent cx="4628515" cy="3409950"/>
                  <wp:effectExtent l="0" t="0" r="635" b="0"/>
                  <wp:docPr id="21" name="图片 68" descr="260c8818f6235606e94313f695a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8" descr="260c8818f6235606e94313f695a4b8c"/>
                          <pic:cNvPicPr>
                            <a:picLocks noChangeAspect="1"/>
                          </pic:cNvPicPr>
                        </pic:nvPicPr>
                        <pic:blipFill>
                          <a:blip r:embed="rId14"/>
                          <a:srcRect t="2452" b="2823"/>
                          <a:stretch>
                            <a:fillRect/>
                          </a:stretch>
                        </pic:blipFill>
                        <pic:spPr>
                          <a:xfrm>
                            <a:off x="0" y="0"/>
                            <a:ext cx="4628515" cy="3409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图1-</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 xml:space="preserve">  达州市环境管控单元图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对照《达州市环境管控单元分布图》，本项目位于达州市通川区城镇重点管控单元。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本项目通过采取有针对性的污染治理措施及生态保护措施，并提出了污染物排放建议指标，不会改变区域环境功能类别，能够守住建设区域的环境质量底线。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color w:val="auto"/>
                <w:sz w:val="24"/>
                <w:szCs w:val="24"/>
                <w:highlight w:val="none"/>
                <w:lang w:val="en-US" w:eastAsia="zh-CN"/>
              </w:rPr>
              <w:t>本</w:t>
            </w:r>
            <w:r>
              <w:rPr>
                <w:rFonts w:hint="eastAsia" w:cs="Times New Roman"/>
                <w:color w:val="auto"/>
                <w:sz w:val="24"/>
                <w:szCs w:val="24"/>
                <w:highlight w:val="none"/>
                <w:lang w:eastAsia="zh-CN"/>
              </w:rPr>
              <w:t>项目</w:t>
            </w:r>
            <w:r>
              <w:rPr>
                <w:rFonts w:cs="Times New Roman"/>
                <w:color w:val="auto"/>
                <w:sz w:val="24"/>
                <w:szCs w:val="24"/>
                <w:highlight w:val="none"/>
              </w:rPr>
              <w:t>位于</w:t>
            </w:r>
            <w:r>
              <w:rPr>
                <w:rFonts w:hint="eastAsia" w:cs="Times New Roman"/>
                <w:color w:val="auto"/>
                <w:sz w:val="24"/>
                <w:szCs w:val="24"/>
                <w:highlight w:val="none"/>
                <w:lang w:eastAsia="zh-CN"/>
              </w:rPr>
              <w:t>达州市通川区</w:t>
            </w:r>
            <w:r>
              <w:rPr>
                <w:rFonts w:hint="default" w:ascii="Times New Roman" w:hAnsi="Times New Roman" w:eastAsia="宋体" w:cs="Times New Roman"/>
                <w:color w:val="auto"/>
                <w:kern w:val="2"/>
                <w:sz w:val="24"/>
                <w:szCs w:val="24"/>
                <w:lang w:val="en-US" w:eastAsia="zh-CN" w:bidi="ar-SA"/>
              </w:rPr>
              <w:t>双龙铁路物流园</w:t>
            </w:r>
            <w:r>
              <w:rPr>
                <w:rFonts w:hint="eastAsia" w:cs="Times New Roman"/>
                <w:color w:val="auto"/>
                <w:sz w:val="24"/>
                <w:szCs w:val="24"/>
                <w:highlight w:val="none"/>
                <w:lang w:eastAsia="zh-CN"/>
              </w:rPr>
              <w:t>，部分位于现有园区范围外。</w:t>
            </w:r>
            <w:r>
              <w:rPr>
                <w:rFonts w:hint="eastAsia" w:cs="Times New Roman"/>
                <w:color w:val="auto"/>
                <w:sz w:val="24"/>
                <w:szCs w:val="24"/>
                <w:highlight w:val="none"/>
                <w:lang w:val="en-US" w:eastAsia="zh-CN"/>
              </w:rPr>
              <w:t>根据在四川省“三线一单”数据分析系统和“三线一单”符合性分析系统中查询可知，本项目位于达州市通川区环境综合管控单元城镇重点管控单元（管控单元名称：通川区中心城区，管控单元编号：ZH51170220001），项目与管控单元相对位置如下图所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4"/>
                <w:szCs w:val="24"/>
                <w:highlight w:val="none"/>
                <w:lang w:val="en-US" w:eastAsia="zh-CN"/>
              </w:rPr>
            </w:pPr>
            <w:r>
              <w:rPr>
                <w:color w:val="auto"/>
              </w:rPr>
              <w:drawing>
                <wp:anchor distT="0" distB="0" distL="114300" distR="114300" simplePos="0" relativeHeight="251662336" behindDoc="0" locked="0" layoutInCell="1" allowOverlap="1">
                  <wp:simplePos x="0" y="0"/>
                  <wp:positionH relativeFrom="column">
                    <wp:posOffset>3552825</wp:posOffset>
                  </wp:positionH>
                  <wp:positionV relativeFrom="paragraph">
                    <wp:posOffset>1958340</wp:posOffset>
                  </wp:positionV>
                  <wp:extent cx="1224280" cy="1036955"/>
                  <wp:effectExtent l="0" t="0" r="13970" b="10795"/>
                  <wp:wrapNone/>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pic:cNvPicPr>
                        </pic:nvPicPr>
                        <pic:blipFill>
                          <a:blip r:embed="rId15"/>
                          <a:stretch>
                            <a:fillRect/>
                          </a:stretch>
                        </pic:blipFill>
                        <pic:spPr>
                          <a:xfrm>
                            <a:off x="0" y="0"/>
                            <a:ext cx="1224280" cy="1036955"/>
                          </a:xfrm>
                          <a:prstGeom prst="rect">
                            <a:avLst/>
                          </a:prstGeom>
                          <a:noFill/>
                          <a:ln>
                            <a:noFill/>
                          </a:ln>
                        </pic:spPr>
                      </pic:pic>
                    </a:graphicData>
                  </a:graphic>
                </wp:anchor>
              </w:drawing>
            </w:r>
            <w:r>
              <w:rPr>
                <w:color w:val="auto"/>
                <w:sz w:val="24"/>
              </w:rPr>
              <mc:AlternateContent>
                <mc:Choice Requires="wpg">
                  <w:drawing>
                    <wp:anchor distT="0" distB="0" distL="114300" distR="114300" simplePos="0" relativeHeight="251660288" behindDoc="0" locked="0" layoutInCell="1" allowOverlap="1">
                      <wp:simplePos x="0" y="0"/>
                      <wp:positionH relativeFrom="column">
                        <wp:posOffset>2187575</wp:posOffset>
                      </wp:positionH>
                      <wp:positionV relativeFrom="paragraph">
                        <wp:posOffset>383540</wp:posOffset>
                      </wp:positionV>
                      <wp:extent cx="824230" cy="914400"/>
                      <wp:effectExtent l="13970" t="4445" r="19050" b="14605"/>
                      <wp:wrapNone/>
                      <wp:docPr id="6" name="组合 33"/>
                      <wp:cNvGraphicFramePr/>
                      <a:graphic xmlns:a="http://schemas.openxmlformats.org/drawingml/2006/main">
                        <a:graphicData uri="http://schemas.microsoft.com/office/word/2010/wordprocessingGroup">
                          <wpg:wgp>
                            <wpg:cNvGrpSpPr/>
                            <wpg:grpSpPr>
                              <a:xfrm>
                                <a:off x="0" y="0"/>
                                <a:ext cx="824230" cy="914400"/>
                                <a:chOff x="5339" y="78003"/>
                                <a:chExt cx="1298" cy="1440"/>
                              </a:xfrm>
                            </wpg:grpSpPr>
                            <wps:wsp>
                              <wps:cNvPr id="4" name="自选图形 34"/>
                              <wps:cNvSpPr/>
                              <wps:spPr>
                                <a:xfrm>
                                  <a:off x="5339" y="79331"/>
                                  <a:ext cx="113" cy="113"/>
                                </a:xfrm>
                                <a:prstGeom prst="star5">
                                  <a:avLst/>
                                </a:prstGeom>
                                <a:solidFill>
                                  <a:srgbClr val="FFFF00"/>
                                </a:solidFill>
                                <a:ln w="9525" cap="flat" cmpd="sng">
                                  <a:solidFill>
                                    <a:srgbClr val="FF0000"/>
                                  </a:solidFill>
                                  <a:prstDash val="solid"/>
                                  <a:miter/>
                                  <a:headEnd type="none" w="med" len="med"/>
                                  <a:tailEnd type="none" w="med" len="med"/>
                                </a:ln>
                              </wps:spPr>
                              <wps:bodyPr wrap="square" upright="1"/>
                            </wps:wsp>
                            <wps:wsp>
                              <wps:cNvPr id="5" name="自选图形 35"/>
                              <wps:cNvSpPr/>
                              <wps:spPr>
                                <a:xfrm>
                                  <a:off x="5669" y="78003"/>
                                  <a:ext cx="969" cy="408"/>
                                </a:xfrm>
                                <a:prstGeom prst="wedgeRoundRectCallout">
                                  <a:avLst>
                                    <a:gd name="adj1" fmla="val -77963"/>
                                    <a:gd name="adj2" fmla="val 290931"/>
                                    <a:gd name="adj3" fmla="val 16667"/>
                                  </a:avLst>
                                </a:prstGeom>
                                <a:solidFill>
                                  <a:srgbClr val="FFFF00"/>
                                </a:solidFill>
                                <a:ln w="9525" cap="flat" cmpd="sng">
                                  <a:solidFill>
                                    <a:srgbClr val="FF0000"/>
                                  </a:solidFill>
                                  <a:prstDash val="solid"/>
                                  <a:miter/>
                                  <a:headEnd type="none" w="med" len="med"/>
                                  <a:tailEnd type="none" w="med" len="med"/>
                                </a:ln>
                              </wps:spPr>
                              <wps:txbx>
                                <w:txbxContent>
                                  <w:p>
                                    <w:pPr>
                                      <w:rPr>
                                        <w:rFonts w:hint="default" w:eastAsia="宋体"/>
                                        <w:sz w:val="15"/>
                                        <w:szCs w:val="15"/>
                                        <w:lang w:val="en-US" w:eastAsia="zh-CN"/>
                                      </w:rPr>
                                    </w:pPr>
                                    <w:r>
                                      <w:rPr>
                                        <w:rFonts w:hint="eastAsia"/>
                                        <w:sz w:val="15"/>
                                        <w:szCs w:val="15"/>
                                        <w:lang w:val="en-US" w:eastAsia="zh-CN"/>
                                      </w:rPr>
                                      <w:t>项目位置</w:t>
                                    </w:r>
                                  </w:p>
                                </w:txbxContent>
                              </wps:txbx>
                              <wps:bodyPr wrap="square" upright="1"/>
                            </wps:wsp>
                          </wpg:wgp>
                        </a:graphicData>
                      </a:graphic>
                    </wp:anchor>
                  </w:drawing>
                </mc:Choice>
                <mc:Fallback>
                  <w:pict>
                    <v:group id="组合 33" o:spid="_x0000_s1026" o:spt="203" style="position:absolute;left:0pt;margin-left:172.25pt;margin-top:30.2pt;height:72pt;width:64.9pt;z-index:251660288;mso-width-relative:page;mso-height-relative:page;" coordorigin="5339,78003" coordsize="1298,1440" o:gfxdata="UEsDBAoAAAAAAIdO4kAAAAAAAAAAAAAAAAAEAAAAZHJzL1BLAwQUAAAACACHTuJA/cHyMtoAAAAK&#10;AQAADwAAAGRycy9kb3ducmV2LnhtbE2PQUvDQBCF74L/YRnBm91Ns60SMylS1FMRbAXxNk2mSWh2&#10;N2S3SfvvXU/2OLyP977JV2fTiZEH3zqLkMwUCLalq1pbI3zt3h6eQPhAtqLOWUa4sIdVcXuTU1a5&#10;yX7yuA21iCXWZ4TQhNBnUvqyYUN+5nq2MTu4wVCI51DLaqAplptOzpVaSkOtjQsN9bxuuDxuTwbh&#10;faLpJU1ex83xsL787BYf35uEEe/vEvUMIvA5/MPwpx/VoYhOe3eylRcdQqr1IqIIS6VBREA/6hTE&#10;HmGutAZZ5PL6heIXUEsDBBQAAAAIAIdO4kAZ5pvtDAMAAE0IAAAOAAAAZHJzL2Uyb0RvYy54bWzt&#10;Vstu1DAU3SPxD5b3bV7zStSZLjptNwiqFj7AkzgP5NjG9kxmdiyQgB17diz5BQR/UwF/wbWTebVd&#10;DCCxIouME19fn3Puuc6cnC5rhhZU6UrwMQ6OfYwoT0VW8WKMXzy/OBphpA3hGWGC0zFeUY1PJ48f&#10;nTQyoaEoBcuoQpCE66SRY1waIxPP02lJa6KPhaQcJnOhamLgURVepkgD2Wvmhb4/8BqhMqlESrWG&#10;t9N2EncZ1SEJRZ5XKZ2KdF5TbtqsijJigJIuK6nxxKHNc5qaZ3muqUFsjIGpcXfYBMYze/cmJyQp&#10;FJFllXYQyCEQ7nCqScVh002qKTEEzVV1L1VdpUpokZvjVNReS8QpAiwC/442l0rMpeNSJE0hN6JD&#10;oe6o/sdp06eLK4WqbIwHGHFSQ8G/f3lz++EdiiIrTiOLBGIulbyRV6p7UbRPlu8yV7X9BSZo6WRd&#10;bWSlS4NSeDkKe2EEgqcwFQe9nt/JnpZQG7uqH0UxRjA7HPm+25YkaXneLQ/CGCxpF9u1FpS33tez&#10;8DZoGgmO1FuZ9N/JdFMSSZ362krQydRby/Tj7eefr9/ffvx2+/UTinqtWC5yo5RONIj2gExbwnEU&#10;BXYpSdZqBUHUsYXBLlmSSKXNJRU1soMxhi5Vfec6sniiTRu7jrEptWBVdlEx5h5UMTtjCi0ItMIF&#10;XG0ZQMu9MMZRA2Xqh31AQaC/c+grGNYSPKJ54fbbW6H3E/twdbj3wiywKdFlC8BNtcTrylDlJCgp&#10;yc55hsxKgg85HD/YgqlphhGjcFrZkYs0pGKHRAI7xsEw1hptLexoJrIVlLOBtgdOr+ZEwUZzqaqi&#10;BFldPdwKMJPtgH/gKhC7bb59V/UtWwsA/HeAqwaDe220dlVsp2wP9fyRTbppoXuuamhW0Gsx59k1&#10;nJ5nhDExN1uXWSsVWYeWZC8DjPKawZkJvkJHw2E86Bp4NyjcDQpjP16bfjcIbL/NFAwGg2EH1Lnb&#10;Qf5v7t02eNjcZjlbdq75LZ+7sxS+Mk7o7otoP2O7zzDe/Rcw+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9wfIy2gAAAAoBAAAPAAAAAAAAAAEAIAAAACIAAABkcnMvZG93bnJldi54bWxQSwECFAAU&#10;AAAACACHTuJAGeab7QwDAABNCAAADgAAAAAAAAABACAAAAApAQAAZHJzL2Uyb0RvYy54bWxQSwUG&#10;AAAAAAYABgBZAQAApwYAAAAA&#10;">
                      <o:lock v:ext="edit" aspectratio="f"/>
                      <v:shape id="自选图形 34" o:spid="_x0000_s1026" style="position:absolute;left:5339;top:79331;height:113;width:113;" fillcolor="#FFFF00" filled="t" stroked="t" coordsize="113,113" o:gfxdata="UEsDBAoAAAAAAIdO4kAAAAAAAAAAAAAAAAAEAAAAZHJzL1BLAwQUAAAACACHTuJA2mPGAbwAAADa&#10;AAAADwAAAGRycy9kb3ducmV2LnhtbEWPQWvCQBSE74X+h+UVvNXdSJGSugoKgigijSIeH9nXJJh9&#10;G7PbmPx7Vyj0OMzMN8xs0dtadNT6yrGGZKxAEOfOVFxoOB3X758gfEA2WDsmDQN5WMxfX2aYGnfn&#10;b+qyUIgIYZ+ihjKEJpXS5yVZ9GPXEEfvx7UWQ5RtIU2L9wi3tZwoNZUWK44LJTa0Kim/Zr9Ww2W7&#10;VMlut9pf7IFvZjhNKrZnrUdvifoCEagP/+G/9sZo+IDnlX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jxgG8AAAA&#10;2gAAAA8AAAAAAAAAAQAgAAAAIgAAAGRycy9kb3ducmV2LnhtbFBLAQIUABQAAAAIAIdO4kAzLwWe&#10;OwAAADkAAAAQAAAAAAAAAAEAIAAAAAsBAABkcnMvc2hhcGV4bWwueG1sUEsFBgAAAAAGAAYAWwEA&#10;ALUDAAAAAA==&#10;" path="m0,43l43,43,56,0,69,43,112,43,78,69,91,112,56,86,21,112,34,69xe">
                        <v:path o:connectlocs="56,0;0,43;21,112;91,112;112,43" o:connectangles="247,164,82,82,0"/>
                        <v:fill on="t" focussize="0,0"/>
                        <v:stroke color="#FF0000" joinstyle="miter"/>
                        <v:imagedata o:title=""/>
                        <o:lock v:ext="edit" aspectratio="f"/>
                      </v:shape>
                      <v:shape id="自选图形 35" o:spid="_x0000_s1026" o:spt="62" type="#_x0000_t62" style="position:absolute;left:5669;top:78003;height:408;width:969;" fillcolor="#FFFF00" filled="t" stroked="t" coordsize="21600,21600" o:gfxdata="UEsDBAoAAAAAAIdO4kAAAAAAAAAAAAAAAAAEAAAAZHJzL1BLAwQUAAAACACHTuJAahi0K7wAAADa&#10;AAAADwAAAGRycy9kb3ducmV2LnhtbEWPwWrDMBBE74X8g9hCbrWcQkrjWs4hEOgpkLQl10VaW26t&#10;lbEU28nXR4VCj8PMvGHK7ew6MdIQWs8KVlkOglh703Kj4PNj//QKIkRkg51nUnClANtq8VBiYfzE&#10;RxpPsREJwqFABTbGvpAyaEsOQ+Z74uTVfnAYkxwaaQacEtx18jnPX6TDltOCxZ52lvTP6eIU9Ifd&#10;frp2euOO4+E819O3nr9uSi0fV/kbiEhz/A//td+NgjX8Xkk3QF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YtCu8AAAA&#10;2gAAAA8AAAAAAAAAAQAgAAAAIgAAAGRycy9kb3ducmV2LnhtbFBLAQIUABQAAAAIAIdO4kAzLwWe&#10;OwAAADkAAAAQAAAAAAAAAAEAIAAAAAsBAABkcnMvc2hhcGV4bWwueG1sUEsFBgAAAAAGAAYAWwEA&#10;ALUDAAAAAA==&#10;" adj="-6040,73641,14400">
                        <v:fill on="t" focussize="0,0"/>
                        <v:stroke color="#FF0000" joinstyle="miter"/>
                        <v:imagedata o:title=""/>
                        <o:lock v:ext="edit" aspectratio="f"/>
                        <v:textbox>
                          <w:txbxContent>
                            <w:p>
                              <w:pPr>
                                <w:rPr>
                                  <w:rFonts w:hint="default" w:eastAsia="宋体"/>
                                  <w:sz w:val="15"/>
                                  <w:szCs w:val="15"/>
                                  <w:lang w:val="en-US" w:eastAsia="zh-CN"/>
                                </w:rPr>
                              </w:pPr>
                              <w:r>
                                <w:rPr>
                                  <w:rFonts w:hint="eastAsia"/>
                                  <w:sz w:val="15"/>
                                  <w:szCs w:val="15"/>
                                  <w:lang w:val="en-US" w:eastAsia="zh-CN"/>
                                </w:rPr>
                                <w:t>项目位置</w:t>
                              </w:r>
                            </w:p>
                          </w:txbxContent>
                        </v:textbox>
                      </v:shape>
                    </v:group>
                  </w:pict>
                </mc:Fallback>
              </mc:AlternateContent>
            </w:r>
            <w:r>
              <w:rPr>
                <w:color w:val="auto"/>
              </w:rPr>
              <w:drawing>
                <wp:inline distT="0" distB="0" distL="114300" distR="114300">
                  <wp:extent cx="4784090" cy="3014345"/>
                  <wp:effectExtent l="12700" t="12700" r="22860" b="20955"/>
                  <wp:docPr id="2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pic:cNvPicPr>
                            <a:picLocks noChangeAspect="1"/>
                          </pic:cNvPicPr>
                        </pic:nvPicPr>
                        <pic:blipFill>
                          <a:blip r:embed="rId16"/>
                          <a:stretch>
                            <a:fillRect/>
                          </a:stretch>
                        </pic:blipFill>
                        <pic:spPr>
                          <a:xfrm>
                            <a:off x="0" y="0"/>
                            <a:ext cx="4784090" cy="301434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图1-</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项目与环境综合管控单元的位置关系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项目所在区域属于城镇重点管控单元，项目区不在饮用水源保护区、自然保护区、风景名胜区、湿地公园、地质公园等各类生态保护红线范围内。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项目涉及4个环境管控单元，具体见下表。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 xml:space="preserve">  项目涉及管控单元表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88"/>
              <w:gridCol w:w="1121"/>
              <w:gridCol w:w="862"/>
              <w:gridCol w:w="1420"/>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环境管控单元编码</w:t>
                  </w:r>
                </w:p>
              </w:tc>
              <w:tc>
                <w:tcPr>
                  <w:tcW w:w="9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环境管控单元名称</w:t>
                  </w:r>
                </w:p>
              </w:tc>
              <w:tc>
                <w:tcPr>
                  <w:tcW w:w="743"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所属市（州）</w:t>
                  </w:r>
                </w:p>
              </w:tc>
              <w:tc>
                <w:tcPr>
                  <w:tcW w:w="571"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所属区县</w:t>
                  </w:r>
                </w:p>
              </w:tc>
              <w:tc>
                <w:tcPr>
                  <w:tcW w:w="941"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准入清单类型</w:t>
                  </w:r>
                </w:p>
              </w:tc>
              <w:tc>
                <w:tcPr>
                  <w:tcW w:w="100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ZH51170220001</w:t>
                  </w:r>
                </w:p>
              </w:tc>
              <w:tc>
                <w:tcPr>
                  <w:tcW w:w="986"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通川区中心城区</w:t>
                  </w:r>
                </w:p>
              </w:tc>
              <w:tc>
                <w:tcPr>
                  <w:tcW w:w="743"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环境管控单元</w:t>
                  </w:r>
                </w:p>
              </w:tc>
              <w:tc>
                <w:tcPr>
                  <w:tcW w:w="100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YS5117022220001</w:t>
                  </w:r>
                </w:p>
              </w:tc>
              <w:tc>
                <w:tcPr>
                  <w:tcW w:w="986"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州河通川区车家河控制单元</w:t>
                  </w:r>
                </w:p>
              </w:tc>
              <w:tc>
                <w:tcPr>
                  <w:tcW w:w="743"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水环境管控分区</w:t>
                  </w:r>
                </w:p>
              </w:tc>
              <w:tc>
                <w:tcPr>
                  <w:tcW w:w="100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YS5117022340005</w:t>
                  </w:r>
                </w:p>
              </w:tc>
              <w:tc>
                <w:tcPr>
                  <w:tcW w:w="986"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通川区中心城区</w:t>
                  </w:r>
                </w:p>
              </w:tc>
              <w:tc>
                <w:tcPr>
                  <w:tcW w:w="743"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大气环境管控分区</w:t>
                  </w:r>
                </w:p>
              </w:tc>
              <w:tc>
                <w:tcPr>
                  <w:tcW w:w="100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YS5117021410001</w:t>
                  </w:r>
                </w:p>
              </w:tc>
              <w:tc>
                <w:tcPr>
                  <w:tcW w:w="986"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通川区土壤优先保护区</w:t>
                  </w:r>
                </w:p>
              </w:tc>
              <w:tc>
                <w:tcPr>
                  <w:tcW w:w="743"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土壤污染风险管控分区</w:t>
                  </w:r>
                </w:p>
              </w:tc>
              <w:tc>
                <w:tcPr>
                  <w:tcW w:w="1009" w:type="pct"/>
                  <w:noWrap w:val="0"/>
                  <w:vAlign w:val="center"/>
                </w:tcPr>
                <w:p>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农用地优先保护区</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②生态环境准入清单符合性分析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项目所在地生态环境准入清单符合性分析见下表。</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eastAsia="黑体"/>
          <w:color w:val="auto"/>
          <w:sz w:val="24"/>
          <w:szCs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 xml:space="preserve">  项目与生态环境准入清单的符合性分析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4"/>
        <w:gridCol w:w="544"/>
        <w:gridCol w:w="1148"/>
        <w:gridCol w:w="8623"/>
        <w:gridCol w:w="1543"/>
        <w:gridCol w:w="8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123"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eastAsia="zh-CN"/>
              </w:rPr>
              <w:t>“</w:t>
            </w:r>
            <w:r>
              <w:rPr>
                <w:rFonts w:hint="eastAsia"/>
                <w:snapToGrid w:val="0"/>
                <w:color w:val="auto"/>
                <w:sz w:val="21"/>
                <w:szCs w:val="21"/>
                <w:lang w:val="en-US" w:eastAsia="zh-CN"/>
              </w:rPr>
              <w:t>三线一单</w:t>
            </w:r>
            <w:r>
              <w:rPr>
                <w:rFonts w:hint="eastAsia"/>
                <w:snapToGrid w:val="0"/>
                <w:color w:val="auto"/>
                <w:sz w:val="21"/>
                <w:szCs w:val="21"/>
                <w:lang w:eastAsia="zh-CN"/>
              </w:rPr>
              <w:t>”</w:t>
            </w:r>
            <w:r>
              <w:rPr>
                <w:rFonts w:hint="eastAsia"/>
                <w:snapToGrid w:val="0"/>
                <w:color w:val="auto"/>
                <w:sz w:val="21"/>
                <w:szCs w:val="21"/>
                <w:lang w:val="en-US" w:eastAsia="zh-CN"/>
              </w:rPr>
              <w:t>的具体要求</w:t>
            </w:r>
          </w:p>
        </w:tc>
        <w:tc>
          <w:tcPr>
            <w:tcW w:w="56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本项目情况</w:t>
            </w:r>
          </w:p>
        </w:tc>
        <w:tc>
          <w:tcPr>
            <w:tcW w:w="31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eastAsia="宋体"/>
                <w:snapToGrid w:val="0"/>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6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类别</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对应管控要求</w:t>
            </w:r>
          </w:p>
        </w:tc>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napToGrid w:val="0"/>
                <w:color w:val="auto"/>
                <w:sz w:val="21"/>
                <w:szCs w:val="21"/>
              </w:rPr>
            </w:pPr>
          </w:p>
        </w:tc>
        <w:tc>
          <w:tcPr>
            <w:tcW w:w="3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r>
              <w:rPr>
                <w:rFonts w:hint="eastAsia"/>
                <w:snapToGrid w:val="0"/>
                <w:color w:val="auto"/>
                <w:sz w:val="21"/>
                <w:szCs w:val="21"/>
                <w:lang w:val="en-US" w:eastAsia="zh-CN"/>
              </w:rPr>
              <w:t>环境综合管控单元城镇重点管控单元ZH5170220001通川区中心城区</w:t>
            </w:r>
          </w:p>
        </w:tc>
        <w:tc>
          <w:tcPr>
            <w:tcW w:w="1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达州市普适性清单管控要求</w:t>
            </w: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空间布局约束</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b/>
                <w:bCs/>
                <w:snapToGrid w:val="0"/>
                <w:color w:val="auto"/>
                <w:sz w:val="21"/>
                <w:szCs w:val="21"/>
              </w:rPr>
            </w:pPr>
            <w:r>
              <w:rPr>
                <w:rFonts w:hint="eastAsia"/>
                <w:b/>
                <w:bCs/>
                <w:snapToGrid w:val="0"/>
                <w:color w:val="auto"/>
                <w:sz w:val="21"/>
                <w:szCs w:val="21"/>
                <w:lang w:eastAsia="zh-CN"/>
              </w:rPr>
              <w:t>（</w:t>
            </w:r>
            <w:r>
              <w:rPr>
                <w:rFonts w:hint="eastAsia"/>
                <w:b/>
                <w:bCs/>
                <w:snapToGrid w:val="0"/>
                <w:color w:val="auto"/>
                <w:sz w:val="21"/>
                <w:szCs w:val="21"/>
                <w:lang w:val="en-US" w:eastAsia="zh-CN"/>
              </w:rPr>
              <w:t>1</w:t>
            </w:r>
            <w:r>
              <w:rPr>
                <w:rFonts w:hint="eastAsia"/>
                <w:b/>
                <w:bCs/>
                <w:snapToGrid w:val="0"/>
                <w:color w:val="auto"/>
                <w:sz w:val="21"/>
                <w:szCs w:val="21"/>
                <w:lang w:eastAsia="zh-CN"/>
              </w:rPr>
              <w:t>）</w:t>
            </w:r>
            <w:r>
              <w:rPr>
                <w:rFonts w:hint="eastAsia"/>
                <w:b/>
                <w:bCs/>
                <w:snapToGrid w:val="0"/>
                <w:color w:val="auto"/>
                <w:sz w:val="21"/>
                <w:szCs w:val="21"/>
              </w:rPr>
              <w:t>禁止开发建设活动的要求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-禁止在长江干支流岸线一公里范围内新建、扩建化工园区和化工项目。禁止在长江干流岸线三公里范围内和重要支流岸线一公里范围内新建、改建、扩建尾矿库</w:t>
            </w:r>
            <w:r>
              <w:rPr>
                <w:rFonts w:hint="eastAsia"/>
                <w:snapToGrid w:val="0"/>
                <w:color w:val="auto"/>
                <w:sz w:val="21"/>
                <w:szCs w:val="21"/>
                <w:lang w:eastAsia="zh-CN"/>
              </w:rPr>
              <w:t>；</w:t>
            </w:r>
            <w:r>
              <w:rPr>
                <w:rFonts w:hint="eastAsia"/>
                <w:snapToGrid w:val="0"/>
                <w:color w:val="auto"/>
                <w:sz w:val="21"/>
                <w:szCs w:val="21"/>
              </w:rPr>
              <w:t>但是以提升安全、生态环境保护水平为目的的改建除外。</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-原则上禁止新建工业企业（新建工业企业原则上都应在工业园区内建设）。</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-禁止在居民区、学校、医疗和养老机构等周边新建有色金属冶炼、焦化、化工、铅蓄电池制造等行业企业，有序搬迁或依法关闭对土壤造成严重污染的现有企业。</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-禁止在长江流域河湖管理范围内倾倒、填埋、堆放、弃置、处理固体废物。</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b/>
                <w:bCs/>
                <w:snapToGrid w:val="0"/>
                <w:color w:val="auto"/>
                <w:sz w:val="21"/>
                <w:szCs w:val="21"/>
              </w:rPr>
            </w:pPr>
            <w:r>
              <w:rPr>
                <w:rFonts w:hint="eastAsia"/>
                <w:b/>
                <w:bCs/>
                <w:snapToGrid w:val="0"/>
                <w:color w:val="auto"/>
                <w:sz w:val="21"/>
                <w:szCs w:val="21"/>
                <w:lang w:eastAsia="zh-CN"/>
              </w:rPr>
              <w:t>（</w:t>
            </w:r>
            <w:r>
              <w:rPr>
                <w:rFonts w:hint="eastAsia"/>
                <w:b/>
                <w:bCs/>
                <w:snapToGrid w:val="0"/>
                <w:color w:val="auto"/>
                <w:sz w:val="21"/>
                <w:szCs w:val="21"/>
              </w:rPr>
              <w:t>2</w:t>
            </w:r>
            <w:r>
              <w:rPr>
                <w:rFonts w:hint="eastAsia"/>
                <w:b/>
                <w:bCs/>
                <w:snapToGrid w:val="0"/>
                <w:color w:val="auto"/>
                <w:sz w:val="21"/>
                <w:szCs w:val="21"/>
                <w:lang w:eastAsia="zh-CN"/>
              </w:rPr>
              <w:t>）</w:t>
            </w:r>
            <w:r>
              <w:rPr>
                <w:rFonts w:hint="eastAsia"/>
                <w:b/>
                <w:bCs/>
                <w:snapToGrid w:val="0"/>
                <w:color w:val="auto"/>
                <w:sz w:val="21"/>
                <w:szCs w:val="21"/>
              </w:rPr>
              <w:t>限制开发建设活动的要求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-现有工业企业不得新增污染物排放。</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-允许企业以提升安全、生态环境保护水平为目的的改建</w:t>
            </w:r>
            <w:r>
              <w:rPr>
                <w:rFonts w:hint="eastAsia"/>
                <w:snapToGrid w:val="0"/>
                <w:color w:val="auto"/>
                <w:sz w:val="21"/>
                <w:szCs w:val="21"/>
                <w:lang w:eastAsia="zh-CN"/>
              </w:rPr>
              <w:t>，</w:t>
            </w:r>
            <w:r>
              <w:rPr>
                <w:rFonts w:hint="eastAsia"/>
                <w:snapToGrid w:val="0"/>
                <w:color w:val="auto"/>
                <w:sz w:val="21"/>
                <w:szCs w:val="21"/>
              </w:rPr>
              <w:t>引导企业结合推进新型城镇化、产业结构调整和化解过剩产能等，退城入园，有序搬迁。</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-严格控制在城镇空间范围内新布设工业园区。若新布局工业园区，应符合达州市国土空间规划，并结合区域环境特点、三线成果、园区产业类别，充分论证选址的环境合理性。</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-严格控制新增建设用地规模，法定城乡规划除外。</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不符合空间布局要求活动的退出要求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-现有工业企业适时进行有序退出。</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-按照相关规划和要求，清理整顿非法采砂、非法码头，全面清除不合规码头。</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-在全市范围深入开展集中整治“散乱污”工业企业，对不符合产业政策和规划布局的，一律责令停产、限期搬迁或关停</w:t>
            </w:r>
            <w:r>
              <w:rPr>
                <w:rFonts w:hint="eastAsia" w:ascii="Times New Roman" w:hAnsi="Times New Roman" w:eastAsia="宋体" w:cs="Times New Roman"/>
                <w:snapToGrid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-有序搬迁或依法关闭对土壤造成严重污染的现有企业。</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-到2025年，城镇人口密集区现有不符合安全和卫生防护距离要求的危险化学品生产企业搬迁进入规范化工园区或关闭退出。</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-不断优化长江经济带化工行业空间布局，有效控制化工污染。推进化工企业搬迁入园，加强化工园区基础设施建设。</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其他空间布局约束要求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snapToGrid w:val="0"/>
                <w:color w:val="auto"/>
                <w:sz w:val="21"/>
                <w:szCs w:val="21"/>
              </w:rPr>
            </w:pPr>
            <w:r>
              <w:rPr>
                <w:rFonts w:hint="eastAsia" w:ascii="Times New Roman" w:hAnsi="Times New Roman" w:eastAsia="宋体" w:cs="Times New Roman"/>
                <w:snapToGrid w:val="0"/>
                <w:color w:val="auto"/>
                <w:sz w:val="21"/>
                <w:szCs w:val="21"/>
              </w:rPr>
              <w:t>暂无。</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本项目属于油气仓储项目，不属于禁止、限制开发的建设项目；双龙铁路物流园区规划调整且规划环评批复后，符合城市空间布局要求。</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污染物排放管控</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允许排放量要求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达州市2025年水污染物允许排放量COD33136.93t，氨氮2055.16t，TP252.53t</w:t>
            </w:r>
            <w:r>
              <w:rPr>
                <w:rFonts w:hint="eastAsia" w:ascii="Times New Roman" w:hAnsi="Times New Roman" w:eastAsia="宋体" w:cs="Times New Roman"/>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现有源提标升级改造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水环境敏感地区污水处理基本达到一级A排放标准。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-燃气</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升级改造，达到特别排放限值。</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-城市污水处理厂进水生化需氧量（BOD）浓度低于100mg/L的，要围绕服务片区管网，系统排查进水浓度偏低的原因，科学确定水质提升目标</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制定并实施“一厂一策</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系统化整治方案，稳步提升污水收集处理设施效能。</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lang w:eastAsia="zh-CN"/>
              </w:rPr>
              <w:t>通川区全域属于四川省大气污染防治重点区域，执行大气污染物特别排放限值；</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其他污染物排放管控要求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新增源等量或倍量替代</w:t>
            </w:r>
            <w:r>
              <w:rPr>
                <w:rFonts w:hint="eastAsia" w:ascii="Times New Roman" w:hAnsi="Times New Roman" w:eastAsia="宋体" w:cs="Times New Roman"/>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-上一年度水环境质量未完成目标的</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新建排放水污染的建设项目按照总量管控要求进行倍量削减替代。</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污染物排放绩效水平准入要求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严格落实建设工地管理要求，做好扬尘污染管控工作。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-从事机动车修理、印刷、服装干洗、研发等排放挥发性有机污染物的生产作业</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应当按照有关技术规范进行综合治理。禁止露天和敞开式喷漆作业</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包装印刷业必须使用符合环保要求的油墨</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餐饮服务业油烟和废水必须经处理达到相应排放标准要求。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-建材行业原料破碎、生产、运输、装卸等各环节严格落实抑尘措施，有效控制粉尘无组织排放。</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-到2023年，城市污泥无害化处置率和资源化利用率进一步提高</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力争达州市鲜家坝、周家坝城市生活污水处理厂污泥无害化处置率达92%、各县（市）城市达85%</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城市生活污水资源化利用水平明显提升。</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-到2023年基本实现原生生活垃圾“零填埋”，鼓励跨区域统筹建设焚烧处理设施，在生活垃圾日清运量不足300吨的地区探索开展小型生活垃圾焚烧设施试点</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生活垃圾回收利用率力争达30%以上。</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-实施密闭化收运，推广干湿分类收运。强化垃圾渗滤液、焚烧飞灰安全处置，城市生活垃圾无害化处理率保持100%。</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-到2023年，力争全省生活垃圾焚烧处理能力占比达60%以上，地级以上城市具备厨余垃圾集中处理能力</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县城生活垃圾无害化处理率保持95%以上</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乡镇及行政村生活垃圾收集转运处置体系基本实现全覆盖</w:t>
            </w:r>
            <w:r>
              <w:rPr>
                <w:rFonts w:hint="eastAsia" w:ascii="Times New Roman" w:hAnsi="Times New Roman" w:eastAsia="宋体" w:cs="Times New Roman"/>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-2030年，渠江流域用水总量控制在31.61亿m</w:t>
            </w:r>
            <w:r>
              <w:rPr>
                <w:rFonts w:hint="eastAsia" w:ascii="Times New Roman" w:hAnsi="Times New Roman" w:eastAsia="宋体" w:cs="Times New Roman"/>
                <w:snapToGrid w:val="0"/>
                <w:color w:val="auto"/>
                <w:sz w:val="21"/>
                <w:szCs w:val="21"/>
                <w:vertAlign w:val="superscript"/>
              </w:rPr>
              <w:t>3</w:t>
            </w:r>
            <w:r>
              <w:rPr>
                <w:rFonts w:hint="eastAsia" w:ascii="Times New Roman" w:hAnsi="Times New Roman" w:eastAsia="宋体" w:cs="Times New Roman"/>
                <w:snapToGrid w:val="0"/>
                <w:color w:val="auto"/>
                <w:sz w:val="21"/>
                <w:szCs w:val="21"/>
              </w:rPr>
              <w:t>以内，渠江干流COD排放总量限制在4.89万t</w:t>
            </w: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a内、NH</w:t>
            </w:r>
            <w:r>
              <w:rPr>
                <w:rFonts w:hint="eastAsia" w:ascii="Times New Roman" w:hAnsi="Times New Roman" w:eastAsia="宋体" w:cs="Times New Roman"/>
                <w:snapToGrid w:val="0"/>
                <w:color w:val="auto"/>
                <w:sz w:val="21"/>
                <w:szCs w:val="21"/>
                <w:vertAlign w:val="subscript"/>
              </w:rPr>
              <w:t>3</w:t>
            </w:r>
            <w:r>
              <w:rPr>
                <w:rFonts w:hint="eastAsia" w:ascii="Times New Roman" w:hAnsi="Times New Roman" w:eastAsia="宋体" w:cs="Times New Roman"/>
                <w:snapToGrid w:val="0"/>
                <w:color w:val="auto"/>
                <w:sz w:val="21"/>
                <w:szCs w:val="21"/>
              </w:rPr>
              <w:t>-N排放总量限制在0.54万t</w:t>
            </w: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a内。全面推进节水型社会建设，加强河湖</w:t>
            </w:r>
            <w:r>
              <w:rPr>
                <w:rFonts w:hint="eastAsia" w:ascii="Times New Roman" w:hAnsi="Times New Roman" w:eastAsia="宋体" w:cs="Times New Roman"/>
                <w:snapToGrid w:val="0"/>
                <w:color w:val="auto"/>
                <w:sz w:val="21"/>
                <w:szCs w:val="21"/>
                <w:lang w:eastAsia="zh-CN"/>
              </w:rPr>
              <w:t>（库）</w:t>
            </w:r>
            <w:r>
              <w:rPr>
                <w:rFonts w:hint="eastAsia" w:ascii="Times New Roman" w:hAnsi="Times New Roman" w:eastAsia="宋体" w:cs="Times New Roman"/>
                <w:snapToGrid w:val="0"/>
                <w:color w:val="auto"/>
                <w:sz w:val="21"/>
                <w:szCs w:val="21"/>
              </w:rPr>
              <w:t>水域岸线保护及管理，加强入河排污口规范化建设，加强工业污染、农业农村污染、船舶港口污染防治。对流域内饮用水源地进行有效保护及规范化建设。</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-到2025年，基本消除城市建成区生活污水直排口和收集处理率设施空白区，城市生活污水集中收集率力争达到70%以上</w:t>
            </w: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城市和县城水处理能力基本满足经济社会发展需要，县城污水处理达到95%以上。</w:t>
            </w:r>
          </w:p>
        </w:tc>
        <w:tc>
          <w:tcPr>
            <w:tcW w:w="565"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项目废水收集率能达到</w:t>
            </w:r>
            <w:r>
              <w:rPr>
                <w:rFonts w:hint="default" w:ascii="Times New Roman" w:hAnsi="Times New Roman" w:eastAsia="宋体" w:cs="Times New Roman"/>
                <w:snapToGrid w:val="0"/>
                <w:color w:val="auto"/>
                <w:sz w:val="21"/>
                <w:szCs w:val="21"/>
                <w:lang w:val="en-US" w:eastAsia="zh-CN"/>
              </w:rPr>
              <w:t>100%</w:t>
            </w:r>
            <w:r>
              <w:rPr>
                <w:rFonts w:hint="eastAsia" w:ascii="Times New Roman" w:hAnsi="Times New Roman" w:eastAsia="宋体" w:cs="Times New Roman"/>
                <w:snapToGrid w:val="0"/>
                <w:color w:val="auto"/>
                <w:sz w:val="21"/>
                <w:szCs w:val="21"/>
                <w:lang w:val="en-US" w:eastAsia="zh-CN"/>
              </w:rPr>
              <w:t>，</w:t>
            </w:r>
            <w:r>
              <w:rPr>
                <w:rFonts w:hint="eastAsia" w:cs="Times New Roman"/>
                <w:color w:val="auto"/>
                <w:kern w:val="0"/>
                <w:sz w:val="21"/>
                <w:szCs w:val="21"/>
                <w:highlight w:val="none"/>
                <w:vertAlign w:val="baseline"/>
                <w:lang w:val="en-US" w:eastAsia="zh-CN" w:bidi="ar"/>
              </w:rPr>
              <w:t>双龙镇污水处理厂扩建完成后，</w:t>
            </w:r>
            <w:r>
              <w:rPr>
                <w:rFonts w:hint="eastAsia" w:ascii="Times New Roman" w:hAnsi="Times New Roman" w:eastAsia="宋体" w:cs="Times New Roman"/>
                <w:snapToGrid w:val="0"/>
                <w:color w:val="auto"/>
                <w:sz w:val="21"/>
                <w:szCs w:val="21"/>
                <w:lang w:val="en-US" w:eastAsia="zh-CN"/>
              </w:rPr>
              <w:t>收集处理后排入双龙镇污水处理厂</w:t>
            </w:r>
            <w:r>
              <w:rPr>
                <w:rFonts w:hint="eastAsia" w:cs="Times New Roman"/>
                <w:snapToGrid w:val="0"/>
                <w:color w:val="auto"/>
                <w:sz w:val="21"/>
                <w:szCs w:val="21"/>
                <w:lang w:val="en-US" w:eastAsia="zh-CN"/>
              </w:rPr>
              <w:t>；双龙镇污水处理厂扩建完成前，含有废水经库区废水处理站处理后用于库区绿化、泼洒抑尘，生活污水经“隔油池+化粪池”处理后定期清掏外运；</w:t>
            </w:r>
            <w:r>
              <w:rPr>
                <w:rFonts w:hint="eastAsia" w:ascii="Times New Roman" w:hAnsi="Times New Roman" w:eastAsia="宋体" w:cs="Times New Roman"/>
                <w:snapToGrid w:val="0"/>
                <w:color w:val="auto"/>
                <w:sz w:val="21"/>
                <w:szCs w:val="21"/>
                <w:lang w:val="en-US" w:eastAsia="zh-CN"/>
              </w:rPr>
              <w:t>废气经处理后达标排放，满足相应的污染物排放要求；通川区为不达标城市，超标因子为</w:t>
            </w:r>
            <w:r>
              <w:rPr>
                <w:rFonts w:hint="default" w:ascii="Times New Roman" w:hAnsi="Times New Roman" w:eastAsia="宋体" w:cs="Times New Roman"/>
                <w:snapToGrid w:val="0"/>
                <w:color w:val="auto"/>
                <w:sz w:val="21"/>
                <w:szCs w:val="21"/>
                <w:lang w:val="en-US" w:eastAsia="zh-CN"/>
              </w:rPr>
              <w:t>PM</w:t>
            </w:r>
            <w:r>
              <w:rPr>
                <w:rFonts w:hint="default" w:ascii="Times New Roman" w:hAnsi="Times New Roman" w:eastAsia="宋体" w:cs="Times New Roman"/>
                <w:snapToGrid w:val="0"/>
                <w:color w:val="auto"/>
                <w:sz w:val="21"/>
                <w:szCs w:val="21"/>
                <w:vertAlign w:val="subscript"/>
                <w:lang w:val="en-US" w:eastAsia="zh-CN"/>
              </w:rPr>
              <w:t>2.5</w:t>
            </w:r>
            <w:r>
              <w:rPr>
                <w:rFonts w:hint="eastAsia" w:ascii="Times New Roman" w:hAnsi="Times New Roman" w:eastAsia="宋体" w:cs="Times New Roman"/>
                <w:snapToGrid w:val="0"/>
                <w:color w:val="auto"/>
                <w:sz w:val="21"/>
                <w:szCs w:val="21"/>
                <w:lang w:val="en-US" w:eastAsia="zh-CN"/>
              </w:rPr>
              <w:t>，本项目不排放</w:t>
            </w:r>
            <w:r>
              <w:rPr>
                <w:rFonts w:hint="default" w:ascii="Times New Roman" w:hAnsi="Times New Roman" w:eastAsia="宋体" w:cs="Times New Roman"/>
                <w:snapToGrid w:val="0"/>
                <w:color w:val="auto"/>
                <w:sz w:val="21"/>
                <w:szCs w:val="21"/>
                <w:lang w:val="en-US" w:eastAsia="zh-CN"/>
              </w:rPr>
              <w:t>PM</w:t>
            </w:r>
            <w:r>
              <w:rPr>
                <w:rFonts w:hint="default" w:ascii="Times New Roman" w:hAnsi="Times New Roman" w:eastAsia="宋体" w:cs="Times New Roman"/>
                <w:snapToGrid w:val="0"/>
                <w:color w:val="auto"/>
                <w:sz w:val="21"/>
                <w:szCs w:val="21"/>
                <w:vertAlign w:val="subscript"/>
                <w:lang w:val="en-US" w:eastAsia="zh-CN"/>
              </w:rPr>
              <w:t>2.5</w:t>
            </w: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环境风险防控</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联防联控要求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强化区域联防联控，严格落实《关于建立跨省流域上下游突发水污染事件联防联控机制的指导意见》</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定期召开区域大气环境形式分析会，强化信息共享和联动合作，实行环境规划，标准，环评，执法，信息公开“六统一”，协力推进大气污染源头防控</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加强川东北区域大气污染防治合作</w:t>
            </w:r>
            <w:r>
              <w:rPr>
                <w:rFonts w:hint="eastAsia" w:ascii="Times New Roman" w:hAnsi="Times New Roman" w:eastAsia="宋体" w:cs="Times New Roman"/>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其他环境风险防控要求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企业环境风险防控要求</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现有涉及五类重金属的企业，不得新增污染物排放，限期退城入园或关停。用地环境风险防控要求</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工业企业退出用地，须经评估、修复满足相应用地功能后，方可改变用途。</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项目不涉及五类重金属排放，建议企业编制《突发环境事件应急预案》，对可能发生的环境事件采取相应的防治措施</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资源开发利用效率要求</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水资源利用总量要求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-到2025年，全国污水收集效能显著提升，县城及城市污水处理能力基本满足当地经济社会发展需要</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水环境敏感地区污水处理基本实现提标升级</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全国地级及以上缺水城市再生水利用率达到25%以上。</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地下水开采要求</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snapToGrid w:val="0"/>
                <w:color w:val="auto"/>
                <w:sz w:val="21"/>
                <w:szCs w:val="21"/>
              </w:rPr>
              <w:t>以省市下发指标为准。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能源利用总量及效率要求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-严控使用燃煤等高污染燃料，禁止焚烧垃圾。</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-全面淘汰每小时10蒸吨以下的燃煤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在供气管网覆盖不到的其他地区，改用电、新能源或洁净煤。</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-地级以上城市建成区禁止新建每小时20蒸吨以下燃煤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对20蒸吨及以上燃煤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实施脱硫改造，建设高效脱硫设施</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对循环流化床</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以外的燃煤发电机组一律安装脱硫设施</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对燃煤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和工业</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现有除尘设施实施升级改造，确保达到新的排放标准和特别排放限值。</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禁燃区要求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-高污染燃料禁燃区内禁止燃用的燃料为《高污染燃料目录》</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2017</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中Ⅲ类（严格）燃料组合，包括</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(一）煤炭及其制品</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(二)石油焦、油页岩、原油、重油、渣油、煤焦油</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(三）非专用</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或未配置高效除尘设施的专用</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燃用的生物质成型燃料。</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-禁燃区内禁止销售、燃用高污染燃料</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禁止新建、改建、扩建燃用高污染燃料的设施和设备。</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-禁燃区内已建成的高污染燃料燃用设施由辖区人民政府制定限期改造计划，改用天然气、页岩气、液化石油气、电或其他清洁能源。</w:t>
            </w:r>
          </w:p>
          <w:p>
            <w:pPr>
              <w:keepNext w:val="0"/>
              <w:keepLines w:val="0"/>
              <w:pageBreakBefore w:val="0"/>
              <w:widowControl w:val="0"/>
              <w:numPr>
                <w:ilvl w:val="0"/>
                <w:numId w:val="8"/>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rPr>
              <w:t>其他资源利用效率要求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暂无。</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项目由市政管网供水，不涉及地下水开采；采用电能，不涉及煤、油等的使用，储存柴油和汽油。</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单元级清单管控要求</w:t>
            </w: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空间布局约束</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禁止开发建设活动的要求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执行达州市城镇重点管控单元总体要求。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限制开发建设活动的要求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城市发展遵循“北控、西扩、南拓、东进、中优”的布局战略其他同达州市城镇重点总体管控要求</w:t>
            </w:r>
            <w:r>
              <w:rPr>
                <w:rFonts w:hint="eastAsia" w:ascii="Times New Roman" w:hAnsi="Times New Roman" w:eastAsia="宋体" w:cs="Times New Roman"/>
                <w:snapToGrid w:val="0"/>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val="0"/>
                <w:bCs w:val="0"/>
                <w:snapToGrid w:val="0"/>
                <w:color w:val="auto"/>
                <w:sz w:val="21"/>
                <w:szCs w:val="21"/>
                <w:lang w:eastAsia="zh-CN"/>
              </w:rPr>
              <w:t>）</w:t>
            </w:r>
            <w:r>
              <w:rPr>
                <w:rFonts w:hint="eastAsia" w:ascii="Times New Roman" w:hAnsi="Times New Roman" w:eastAsia="宋体" w:cs="Times New Roman"/>
                <w:b w:val="0"/>
                <w:bCs w:val="0"/>
                <w:snapToGrid w:val="0"/>
                <w:color w:val="auto"/>
                <w:sz w:val="21"/>
                <w:szCs w:val="21"/>
              </w:rPr>
              <w:t>不符合空间布局要求活动的退出要求</w:t>
            </w:r>
            <w:r>
              <w:rPr>
                <w:rFonts w:hint="eastAsia" w:ascii="Times New Roman" w:hAnsi="Times New Roman" w:eastAsia="宋体" w:cs="Times New Roman"/>
                <w:b w:val="0"/>
                <w:bCs w:val="0"/>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位于城镇空间内的工业园区外工业企业</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具有合法手续的企业，且污染物排放及环境风险满足管理要求的企业，可继续保留，不得新增污染物排放，并进一步加强日常环保监管</w:t>
            </w:r>
            <w:r>
              <w:rPr>
                <w:rFonts w:hint="eastAsia" w:ascii="Times New Roman" w:hAnsi="Times New Roman" w:eastAsia="宋体" w:cs="Times New Roman"/>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如无合法手续，或污染物排放超标、环境风险不可控的企业，限期进行整改提升，通过环保、安全、工艺装备升级等落实整改措施并达到相关标准实现合法生产，整改后仍不能达到要求的，属地政府应按相关要求责令关停并退出</w:t>
            </w:r>
            <w:r>
              <w:rPr>
                <w:rFonts w:hint="eastAsia" w:ascii="Times New Roman" w:hAnsi="Times New Roman" w:eastAsia="宋体" w:cs="Times New Roman"/>
                <w:snapToGrid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尽快创造条件搬迁达钢至经开区第二园区，限制达钢工业用地原地扩展。</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其他同达州市城镇重点总体管控要求。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其他空间布局约束要求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项目不属于禁止、限制开发建设项目，属于鼓励类建设项目；双龙铁路物流园区规划调整且规划环评批复后，符合空间布局要求</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）现有源提标升级改造</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-通川区全域属于四川省大气污染防治重点区域，执行大气污染物特别排放限值</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）新增源等量或倍量替代</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）新增源排放标准限值</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通川区全域属于四川省大气污染防治重点区域，执行大气污染物特别排放限值。其他同达州市城镇重点总体准入要求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）污染物排放绩效水平准入要求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-其他同城镇重点管控单元总体准入要求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5</w:t>
            </w:r>
            <w:r>
              <w:rPr>
                <w:rFonts w:hint="eastAsia" w:ascii="Times New Roman" w:hAnsi="Times New Roman" w:eastAsia="宋体" w:cs="Times New Roman"/>
                <w:b/>
                <w:bCs/>
                <w:snapToGrid w:val="0"/>
                <w:color w:val="auto"/>
                <w:sz w:val="21"/>
                <w:szCs w:val="21"/>
                <w:lang w:eastAsia="zh-CN"/>
              </w:rPr>
              <w:t>）其他污染物排放管控要求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项目主要污染物为</w:t>
            </w:r>
            <w:r>
              <w:rPr>
                <w:rFonts w:hint="eastAsia" w:cs="Times New Roman"/>
                <w:snapToGrid w:val="0"/>
                <w:color w:val="auto"/>
                <w:sz w:val="21"/>
                <w:szCs w:val="21"/>
                <w:lang w:val="en-US" w:eastAsia="zh-CN"/>
              </w:rPr>
              <w:t>非甲烷总烃</w:t>
            </w:r>
            <w:r>
              <w:rPr>
                <w:rFonts w:hint="eastAsia" w:ascii="Times New Roman" w:hAnsi="Times New Roman" w:eastAsia="宋体" w:cs="Times New Roman"/>
                <w:snapToGrid w:val="0"/>
                <w:color w:val="auto"/>
                <w:sz w:val="21"/>
                <w:szCs w:val="21"/>
                <w:lang w:val="en-US" w:eastAsia="zh-CN"/>
              </w:rPr>
              <w:t>、食堂油烟，通过采取措施，均可达标排放；项目废水收集率能达到</w:t>
            </w:r>
            <w:r>
              <w:rPr>
                <w:rFonts w:hint="default" w:ascii="Times New Roman" w:hAnsi="Times New Roman" w:eastAsia="宋体" w:cs="Times New Roman"/>
                <w:snapToGrid w:val="0"/>
                <w:color w:val="auto"/>
                <w:sz w:val="21"/>
                <w:szCs w:val="21"/>
                <w:lang w:val="en-US" w:eastAsia="zh-CN"/>
              </w:rPr>
              <w:t>100%</w:t>
            </w:r>
            <w:r>
              <w:rPr>
                <w:rFonts w:hint="eastAsia" w:ascii="Times New Roman" w:hAnsi="Times New Roman" w:eastAsia="宋体" w:cs="Times New Roman"/>
                <w:snapToGrid w:val="0"/>
                <w:color w:val="auto"/>
                <w:sz w:val="21"/>
                <w:szCs w:val="21"/>
                <w:lang w:val="en-US" w:eastAsia="zh-CN"/>
              </w:rPr>
              <w:t>，</w:t>
            </w:r>
            <w:r>
              <w:rPr>
                <w:rFonts w:hint="eastAsia" w:cs="Times New Roman"/>
                <w:color w:val="auto"/>
                <w:kern w:val="0"/>
                <w:sz w:val="21"/>
                <w:szCs w:val="21"/>
                <w:highlight w:val="none"/>
                <w:vertAlign w:val="baseline"/>
                <w:lang w:val="en-US" w:eastAsia="zh-CN" w:bidi="ar"/>
              </w:rPr>
              <w:t>双龙镇污水处理厂扩建完成后，</w:t>
            </w:r>
            <w:r>
              <w:rPr>
                <w:rFonts w:hint="eastAsia" w:ascii="Times New Roman" w:hAnsi="Times New Roman" w:eastAsia="宋体" w:cs="Times New Roman"/>
                <w:snapToGrid w:val="0"/>
                <w:color w:val="auto"/>
                <w:sz w:val="21"/>
                <w:szCs w:val="21"/>
                <w:lang w:val="en-US" w:eastAsia="zh-CN"/>
              </w:rPr>
              <w:t>收集处理后排入双龙镇污水处理厂</w:t>
            </w:r>
            <w:r>
              <w:rPr>
                <w:rFonts w:hint="eastAsia" w:cs="Times New Roman"/>
                <w:snapToGrid w:val="0"/>
                <w:color w:val="auto"/>
                <w:sz w:val="21"/>
                <w:szCs w:val="21"/>
                <w:lang w:val="en-US" w:eastAsia="zh-CN"/>
              </w:rPr>
              <w:t>；双龙镇污水处理厂扩建完成前，含有废水经库区废水处理站处理后用于库区绿化、泼洒抑尘，生活污水经“隔油池+化粪池”处理后定期清掏外运</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严格管控类农用地管控要求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pPr>
              <w:keepNext w:val="0"/>
              <w:keepLines w:val="0"/>
              <w:pageBreakBefore w:val="0"/>
              <w:widowControl w:val="0"/>
              <w:numPr>
                <w:ilvl w:val="0"/>
                <w:numId w:val="9"/>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安全利用类农用地管控要求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有一定危险性仓库用地远离市区，按有关规范选址和建设，留够防护距离，原则上安排在铁山山谷。其他同达州市城镇重点总体准入要求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）污染地块管控要求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）园区环境风险防控要求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5</w:t>
            </w:r>
            <w:r>
              <w:rPr>
                <w:rFonts w:hint="eastAsia" w:ascii="Times New Roman" w:hAnsi="Times New Roman" w:eastAsia="宋体" w:cs="Times New Roman"/>
                <w:b/>
                <w:bCs/>
                <w:snapToGrid w:val="0"/>
                <w:color w:val="auto"/>
                <w:sz w:val="21"/>
                <w:szCs w:val="21"/>
                <w:lang w:eastAsia="zh-CN"/>
              </w:rPr>
              <w:t>）企业环境风险防控要求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6</w:t>
            </w:r>
            <w:r>
              <w:rPr>
                <w:rFonts w:hint="eastAsia" w:ascii="Times New Roman" w:hAnsi="Times New Roman" w:eastAsia="宋体" w:cs="Times New Roman"/>
                <w:b/>
                <w:bCs/>
                <w:snapToGrid w:val="0"/>
                <w:color w:val="auto"/>
                <w:sz w:val="21"/>
                <w:szCs w:val="21"/>
                <w:lang w:eastAsia="zh-CN"/>
              </w:rPr>
              <w:t>）其他环境风险防控要求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项目为油气仓储项目，环境风险防控措施满足达州市城镇重点管控单元总体要求。</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（1）水资源利用效率要求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执行达州市城镇重点管控单元总体要求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（2）地下水开采要求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执行达州市城镇重点管控单元总体要求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（3）能源利用效率要求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执行达州市城镇重点管控单元总体要求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（4）其他资源利用效率要求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禁燃区要求：同达州市城镇重点总体准入要求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资源开发利用效率满足达州市城镇重点管控单元总体要求。</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r>
              <w:rPr>
                <w:rFonts w:hint="eastAsia"/>
                <w:color w:val="auto"/>
              </w:rPr>
              <w:t>水环境城镇生活污染重点管控区YS5117022220001州河通川区车家河控制单元</w:t>
            </w:r>
          </w:p>
        </w:tc>
        <w:tc>
          <w:tcPr>
            <w:tcW w:w="1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color w:val="auto"/>
                <w:lang w:val="en-US" w:eastAsia="zh-CN"/>
              </w:rPr>
            </w:pPr>
            <w:r>
              <w:rPr>
                <w:rFonts w:hint="eastAsia"/>
                <w:color w:val="auto"/>
                <w:lang w:val="en-US" w:eastAsia="zh-CN"/>
              </w:rPr>
              <w:t>单元级清单管控要求</w:t>
            </w: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空间布局约束</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禁止开发建设活动的要求限制开发建设活动的要求允许开发建设活动的要求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不符合空间布局要求活动的退出要求其他空间布局约束要求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不属于禁止、限制开发建设项目，属于鼓励类建设项目，符合空</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间布局要求。</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（1）城镇污水污染控制措施要求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（2）工业废水污染控制措施要求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（3）农业面源水污染控制措施要求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（4）船舶港口水污染控制措施要求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（5）饮用水水源和其它特殊水体保护要求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项目属于城镇污水管网覆盖区域，建成后将完善排污许可手续。</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建议企业编制《突发环境事件应急预案》并报当地生态环境主管部门备案，严格按照要求建设应急设施</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大气环境受体敏感重点管控区YS5117022340005通川区中心城区</w:t>
            </w:r>
          </w:p>
        </w:tc>
        <w:tc>
          <w:tcPr>
            <w:tcW w:w="1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单元级清单管控要求</w:t>
            </w: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空间布局约束</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禁止开发建设活动的要求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限制开发建设活动的要求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允许开发建设活动的要求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不符合空间布局要求活动的退出要求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其他空间布局约束要求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不属于禁止、限制开发建设项目，属于鼓励类建设项目，符合空间布局要求。</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（1）大气环境质量执行标准</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《环境空气质量标准》(GB3095-2012)：二级</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（2）区域大气污染物削减/替代要求</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新增大气污染物排放的建设项目实施总量削减替代。</w:t>
            </w:r>
          </w:p>
          <w:p>
            <w:pPr>
              <w:keepNext w:val="0"/>
              <w:keepLines w:val="0"/>
              <w:pageBreakBefore w:val="0"/>
              <w:widowControl w:val="0"/>
              <w:numPr>
                <w:ilvl w:val="0"/>
                <w:numId w:val="9"/>
              </w:numPr>
              <w:kinsoku/>
              <w:wordWrap/>
              <w:overflowPunct/>
              <w:topLinePunct w:val="0"/>
              <w:autoSpaceDE/>
              <w:autoSpaceDN/>
              <w:bidi w:val="0"/>
              <w:adjustRightInd/>
              <w:snapToGrid/>
              <w:spacing w:line="340" w:lineRule="exact"/>
              <w:ind w:left="0" w:leftChars="0" w:firstLine="0" w:firstLineChars="0"/>
              <w:jc w:val="both"/>
              <w:textAlignment w:val="auto"/>
              <w:rPr>
                <w:rFonts w:hint="eastAsia"/>
                <w:color w:val="auto"/>
                <w:lang w:val="en-US" w:eastAsia="zh-CN"/>
              </w:rPr>
            </w:pPr>
            <w:r>
              <w:rPr>
                <w:rFonts w:hint="eastAsia"/>
                <w:color w:val="auto"/>
                <w:lang w:val="en-US" w:eastAsia="zh-CN"/>
              </w:rPr>
              <w:t>燃煤和其他能源大气污染控制要求</w:t>
            </w:r>
          </w:p>
          <w:p>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工业废气污染控制要求</w:t>
            </w:r>
          </w:p>
          <w:p>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机动车船大气污染控制要求</w:t>
            </w:r>
          </w:p>
          <w:p>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扬尘污染控制要求</w:t>
            </w:r>
          </w:p>
          <w:p>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农业生产经营活动大气污染控制要求</w:t>
            </w:r>
          </w:p>
          <w:p>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重点行业企业专项治理要求</w:t>
            </w:r>
          </w:p>
          <w:p>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其他大气污染物排放管控要求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项目区域环境空气除PM</w:t>
            </w:r>
            <w:r>
              <w:rPr>
                <w:rFonts w:hint="eastAsia" w:ascii="Times New Roman" w:hAnsi="Times New Roman" w:eastAsia="宋体" w:cs="Times New Roman"/>
                <w:snapToGrid w:val="0"/>
                <w:color w:val="auto"/>
                <w:sz w:val="21"/>
                <w:szCs w:val="21"/>
                <w:vertAlign w:val="subscript"/>
                <w:lang w:val="en-US" w:eastAsia="zh-CN"/>
              </w:rPr>
              <w:t>2.5</w:t>
            </w:r>
            <w:r>
              <w:rPr>
                <w:rFonts w:hint="eastAsia" w:ascii="Times New Roman" w:hAnsi="Times New Roman" w:eastAsia="宋体" w:cs="Times New Roman"/>
                <w:snapToGrid w:val="0"/>
                <w:color w:val="auto"/>
                <w:sz w:val="21"/>
                <w:szCs w:val="21"/>
                <w:lang w:val="en-US" w:eastAsia="zh-CN"/>
              </w:rPr>
              <w:t>外均满足《环境空气质量标准》(GB3095-2012）二级标准。</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现有涉及五类重金属的企业，不得新增污染物排放，限期退城入园或关停；工业企业退出用地，须经评估、修复满足相应用地功能后，方可改变用途。</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项目为油气仓储项目，不涉及五类重金属，风险可控</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YS5117021410001通川区土壤优先保护区</w:t>
            </w:r>
          </w:p>
        </w:tc>
        <w:tc>
          <w:tcPr>
            <w:tcW w:w="1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单元级清单管控要求</w:t>
            </w: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空间布局约束</w:t>
            </w:r>
          </w:p>
        </w:tc>
        <w:tc>
          <w:tcPr>
            <w:tcW w:w="3158"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禁止开发建设活动的要求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限制开发建设活动的要</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求允许开发建设活动的要求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不符合空间布局要求活动的退出要求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其他空间布局约束要求</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项目符合城市空间布局</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bl>
    <w:p>
      <w:pPr>
        <w:keepNext/>
        <w:keepLines/>
        <w:pageBreakBefore w:val="0"/>
        <w:widowControl w:val="0"/>
        <w:kinsoku/>
        <w:wordWrap/>
        <w:overflowPunct/>
        <w:topLinePunct w:val="0"/>
        <w:autoSpaceDE/>
        <w:autoSpaceDN/>
        <w:bidi w:val="0"/>
        <w:adjustRightInd/>
        <w:snapToGrid/>
        <w:spacing w:before="0" w:after="0" w:line="440" w:lineRule="exact"/>
        <w:ind w:firstLine="480" w:firstLineChars="200"/>
        <w:textAlignment w:val="auto"/>
        <w:outlineLvl w:val="9"/>
        <w:rPr>
          <w:rFonts w:hint="default" w:eastAsia="宋体"/>
          <w:color w:val="auto"/>
          <w:sz w:val="24"/>
          <w:szCs w:val="24"/>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cs="Times New Roman"/>
                <w:b/>
                <w:bCs/>
                <w:color w:val="auto"/>
                <w:kern w:val="0"/>
                <w:sz w:val="24"/>
                <w:szCs w:val="24"/>
                <w:lang w:val="en-US" w:eastAsia="zh-CN"/>
              </w:rPr>
            </w:pPr>
            <w:r>
              <w:rPr>
                <w:rFonts w:hint="eastAsia" w:cs="Times New Roman"/>
                <w:b/>
                <w:bCs/>
                <w:color w:val="auto"/>
                <w:kern w:val="0"/>
                <w:sz w:val="24"/>
                <w:szCs w:val="24"/>
                <w:lang w:val="en-US" w:eastAsia="zh-CN"/>
              </w:rPr>
              <w:t>其他符合性分析</w:t>
            </w:r>
          </w:p>
        </w:tc>
        <w:tc>
          <w:tcPr>
            <w:tcW w:w="4522"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2、环境质量底线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项目选址区域为环境空气功能区二类区，执行二级标准。达州市环境保护局发布的《达州市</w:t>
            </w:r>
            <w:r>
              <w:rPr>
                <w:rFonts w:hint="eastAsia" w:ascii="Times New Roman" w:hAnsi="Times New Roman" w:eastAsia="宋体" w:cs="Times New Roman"/>
                <w:color w:val="auto"/>
                <w:sz w:val="24"/>
                <w:szCs w:val="24"/>
                <w:lang w:eastAsia="zh-CN"/>
              </w:rPr>
              <w:t>主</w:t>
            </w:r>
            <w:r>
              <w:rPr>
                <w:rFonts w:hint="default" w:ascii="Times New Roman" w:hAnsi="Times New Roman" w:eastAsia="宋体" w:cs="Times New Roman"/>
                <w:color w:val="auto"/>
                <w:sz w:val="24"/>
                <w:szCs w:val="24"/>
              </w:rPr>
              <w:t>城区</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年环境空气质量》，</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年达州市城区PM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超标，区域环境质量不达标，区域拟实施“八大战役”新举措。坚持以污染防治“八大战役”为统揽，三次产业首次实现了“231”向“321”的重大转变。立足中心城区划分“五个控制区”，统筹实施“减排、压煤、抑尘、治车、控秸和</w:t>
            </w:r>
            <w:r>
              <w:rPr>
                <w:rFonts w:hint="eastAsia" w:ascii="Times New Roman" w:hAnsi="Times New Roman" w:eastAsia="宋体" w:cs="Times New Roman"/>
                <w:color w:val="auto"/>
                <w:sz w:val="24"/>
                <w:szCs w:val="24"/>
                <w:lang w:val="en-US" w:eastAsia="zh-CN"/>
              </w:rPr>
              <w:t>VOC</w:t>
            </w:r>
            <w:r>
              <w:rPr>
                <w:rFonts w:hint="default" w:ascii="Times New Roman" w:hAnsi="Times New Roman" w:eastAsia="宋体" w:cs="Times New Roman"/>
                <w:color w:val="auto"/>
                <w:sz w:val="24"/>
                <w:szCs w:val="24"/>
              </w:rPr>
              <w:t>治理”六大措施。通过以上措施，区域环境空气质量将得到积极改善。</w:t>
            </w:r>
            <w:r>
              <w:rPr>
                <w:rFonts w:hint="eastAsia" w:cs="Times New Roman"/>
                <w:color w:val="auto"/>
                <w:sz w:val="24"/>
                <w:szCs w:val="24"/>
                <w:lang w:val="en-US" w:eastAsia="zh-CN"/>
              </w:rPr>
              <w:t>项目所在区域双龙河地表水各监测</w:t>
            </w:r>
            <w:r>
              <w:rPr>
                <w:rFonts w:hint="eastAsia" w:ascii="Times New Roman" w:hAnsi="Times New Roman" w:eastAsia="宋体" w:cs="Times New Roman"/>
                <w:color w:val="auto"/>
                <w:sz w:val="24"/>
                <w:szCs w:val="24"/>
                <w:lang w:eastAsia="zh-CN"/>
              </w:rPr>
              <w:t>指标</w:t>
            </w:r>
            <w:r>
              <w:rPr>
                <w:rFonts w:hint="default" w:ascii="Times New Roman" w:hAnsi="Times New Roman" w:eastAsia="宋体" w:cs="Times New Roman"/>
                <w:color w:val="auto"/>
                <w:sz w:val="24"/>
                <w:szCs w:val="24"/>
              </w:rPr>
              <w:t>满足《地表水环境质量标准》（GB3838-2002）中的Ⅲ类水域水质标准。</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kern w:val="0"/>
                <w:sz w:val="24"/>
                <w:lang w:val="en-US" w:eastAsia="zh-CN"/>
              </w:rPr>
              <w:t>评价区潜水水位埋深较浅，包气带厚度小，天然防护能力不强，地面堆积的生活垃圾、农家肥等经雨水林滤渗透进入潜水含水层，造成</w:t>
            </w:r>
            <w:r>
              <w:rPr>
                <w:rFonts w:hint="eastAsia" w:ascii="Times New Roman" w:hAnsi="Times New Roman" w:eastAsia="宋体" w:cs="Times New Roman"/>
                <w:color w:val="auto"/>
                <w:kern w:val="0"/>
                <w:sz w:val="24"/>
                <w:lang w:val="en-US" w:eastAsia="zh-CN"/>
              </w:rPr>
              <w:t>地下水水质</w:t>
            </w:r>
            <w:r>
              <w:rPr>
                <w:rFonts w:hint="default" w:ascii="Times New Roman" w:hAnsi="Times New Roman" w:eastAsia="宋体" w:cs="Times New Roman"/>
                <w:bCs/>
                <w:color w:val="auto"/>
                <w:kern w:val="0"/>
                <w:sz w:val="24"/>
                <w:szCs w:val="24"/>
                <w:highlight w:val="none"/>
                <w:lang w:val="en-US" w:eastAsia="zh-CN"/>
              </w:rPr>
              <w:t>硝酸盐</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i w:val="0"/>
                <w:color w:val="auto"/>
                <w:kern w:val="0"/>
                <w:sz w:val="24"/>
                <w:szCs w:val="24"/>
                <w:u w:val="none"/>
                <w:lang w:val="en-US" w:eastAsia="zh-CN" w:bidi="ar"/>
              </w:rPr>
              <w:t>总大肠菌群、菌落总数</w:t>
            </w:r>
            <w:r>
              <w:rPr>
                <w:rFonts w:hint="default" w:ascii="Times New Roman" w:hAnsi="Times New Roman" w:eastAsia="宋体" w:cs="Times New Roman"/>
                <w:color w:val="auto"/>
                <w:kern w:val="0"/>
                <w:sz w:val="24"/>
                <w:lang w:val="en-US" w:eastAsia="zh-CN"/>
              </w:rPr>
              <w:t>指标含量超标</w:t>
            </w:r>
            <w:r>
              <w:rPr>
                <w:rFonts w:hint="eastAsia" w:ascii="Times New Roman" w:hAnsi="Times New Roman" w:eastAsia="宋体" w:cs="Times New Roman"/>
                <w:color w:val="auto"/>
                <w:kern w:val="0"/>
                <w:sz w:val="24"/>
                <w:lang w:val="en-US" w:eastAsia="zh-CN"/>
              </w:rPr>
              <w:t>，其余指标均满足《地下水质量标准》（GB/T14848-2017）</w:t>
            </w:r>
            <w:r>
              <w:rPr>
                <w:rFonts w:hint="default" w:ascii="Times New Roman" w:hAnsi="Times New Roman" w:eastAsia="宋体" w:cs="Times New Roman"/>
                <w:color w:val="auto"/>
                <w:sz w:val="24"/>
                <w:szCs w:val="18"/>
              </w:rPr>
              <w:t>Ⅲ类标准</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sz w:val="24"/>
                <w:szCs w:val="24"/>
              </w:rPr>
              <w:t>本项目所在区域为</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类声环境功能区，根据环境噪声现状监测结果，项目区域目前能够满足《声环境质量标准》（GB3096-2008）</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类标准要求，本项目建设运行不会改变项目所在入区域的声环境功能，因此项目建设声环境质量是符合要求的。</w:t>
            </w:r>
            <w:r>
              <w:rPr>
                <w:rFonts w:hint="eastAsia" w:cs="Times New Roman"/>
                <w:color w:val="auto"/>
                <w:sz w:val="24"/>
                <w:szCs w:val="24"/>
                <w:lang w:val="en-US" w:eastAsia="zh-CN"/>
              </w:rPr>
              <w:t>本项目建设用地中监测</w:t>
            </w:r>
            <w:r>
              <w:rPr>
                <w:rFonts w:hint="eastAsia" w:ascii="Times New Roman" w:hAnsi="Times New Roman" w:eastAsia="宋体" w:cs="Times New Roman"/>
                <w:color w:val="auto"/>
                <w:sz w:val="24"/>
                <w:szCs w:val="24"/>
                <w:lang w:eastAsia="zh-CN"/>
              </w:rPr>
              <w:t>指标均满足《土壤环境质量</w:t>
            </w:r>
            <w:r>
              <w:rPr>
                <w:rFonts w:hint="eastAsia" w:ascii="Times New Roman" w:hAnsi="Times New Roman" w:eastAsia="宋体" w:cs="Times New Roman"/>
                <w:color w:val="auto"/>
                <w:sz w:val="24"/>
                <w:szCs w:val="24"/>
                <w:lang w:val="en-US" w:eastAsia="zh-CN"/>
              </w:rPr>
              <w:t xml:space="preserve"> 建设用地土壤污染风险管控标准(试行)</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GB36600-2018</w:t>
            </w:r>
            <w:r>
              <w:rPr>
                <w:rFonts w:hint="eastAsia" w:ascii="Times New Roman" w:hAnsi="Times New Roman" w:eastAsia="宋体" w:cs="Times New Roman"/>
                <w:color w:val="auto"/>
                <w:sz w:val="24"/>
                <w:szCs w:val="24"/>
                <w:lang w:eastAsia="zh-CN"/>
              </w:rPr>
              <w:t>）中的</w:t>
            </w:r>
            <w:r>
              <w:rPr>
                <w:rFonts w:hint="default" w:ascii="Times New Roman" w:hAnsi="Times New Roman" w:eastAsia="宋体" w:cs="Times New Roman"/>
                <w:color w:val="auto"/>
                <w:sz w:val="24"/>
                <w:szCs w:val="18"/>
              </w:rPr>
              <w:t>第二类用地筛选值限值要求</w:t>
            </w:r>
            <w:r>
              <w:rPr>
                <w:rFonts w:hint="eastAsia" w:cs="Times New Roman"/>
                <w:color w:val="auto"/>
                <w:sz w:val="24"/>
                <w:szCs w:val="18"/>
                <w:lang w:eastAsia="zh-CN"/>
              </w:rPr>
              <w:t>；</w:t>
            </w:r>
            <w:r>
              <w:rPr>
                <w:rFonts w:hint="eastAsia" w:cs="Times New Roman"/>
                <w:color w:val="auto"/>
                <w:sz w:val="24"/>
                <w:szCs w:val="18"/>
                <w:lang w:val="en-US" w:eastAsia="zh-CN"/>
              </w:rPr>
              <w:t>耕地、林地中监测指标均满足《土壤环境质量 农用地土壤污染风险管控标准（试行）》（GB15618-2018）中表1筛选值限值要求</w:t>
            </w:r>
            <w:r>
              <w:rPr>
                <w:rFonts w:hint="eastAsia" w:ascii="Times New Roman" w:hAnsi="Times New Roman" w:eastAsia="宋体" w:cs="Times New Roman"/>
                <w:color w:val="auto"/>
                <w:sz w:val="24"/>
                <w:szCs w:val="18"/>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3、资源利用上线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本项目，施工期主体工程和辅助工程建设所需的水泥、砂石以及混凝土等原辅材料均为外购，营运期间所交易的货物为外购，涉及的电源、水源、天然气等资源消耗量相对区域资源利用总量较小，故不存在项目区域内资源过度使用的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4、环境准入负面清单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四川省国家重点生态功能区产业准入负面清单(第一批)(试行)》、《四川省国家重点生态功能区产业准入负面清单(第二批)(试行)》和《四川省长江经济带发展负面清单实施细则(试行)》(川长江办[2019]8号）等规定，本项目不在其所列区县或所列行业之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5、生态环境分区管控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达州市人民政府《关于落实生态保护红线、环境质量底线、资源利用上线制定生态环境准入清单实施生态环境分区管控的通知》(达市府发[2021]17号），全市行政区域从生态环境保护角度划分为优先保护、重点管控和一般管控三类环境管控单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对照《达州市环境管控单元分布图》，本项目位于达州市通川区的城镇重点管控单元，对应的管控要求为：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本项目通过技改过程采取有效的环保治理措施及生态保护措施，能够有效减少各项污染物的排放量。区域环境功能类别不会应本项目实施发生改变，能够守住建设区域的环境质量底线。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综上，本项目建设符合“三线一单”管控机制要求，项目建设可行。</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五</w:t>
            </w:r>
            <w:r>
              <w:rPr>
                <w:rFonts w:hint="eastAsia" w:ascii="Times New Roman" w:hAnsi="Times New Roman" w:eastAsia="宋体" w:cs="Times New Roman"/>
                <w:b/>
                <w:bCs/>
                <w:color w:val="auto"/>
                <w:sz w:val="24"/>
                <w:szCs w:val="24"/>
                <w:highlight w:val="none"/>
                <w:lang w:val="en-US" w:eastAsia="zh-CN"/>
              </w:rPr>
              <w:t>、本项目与相关规划符合性分析</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（1）项目与《储油库大气污染物排放标准》(GB 20950-2020)符合性分析</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6</w:t>
            </w:r>
            <w:r>
              <w:rPr>
                <w:rFonts w:hint="eastAsia" w:ascii="Times New Roman" w:hAnsi="Times New Roman" w:eastAsia="宋体" w:cs="Times New Roman"/>
                <w:b/>
                <w:bCs/>
                <w:color w:val="auto"/>
                <w:kern w:val="2"/>
                <w:sz w:val="24"/>
                <w:szCs w:val="24"/>
                <w:lang w:val="en-US" w:eastAsia="zh-CN" w:bidi="ar-SA"/>
              </w:rPr>
              <w:t xml:space="preserve">  项目与《储油库大气污染物排放标准》符合性分析一览表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8"/>
              <w:gridCol w:w="299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文件要求</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本项目情况</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4.1.2通过铁路罐车收油，除拆装灌装鹤管之外的时段，收油鹤管与铁路罐车灌装口(人孔)应密闭。从泵站扫仓罐中产生的油气应密闭收集，并送入油气处理装置进行回收处理。</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收油鹤管与铁路罐车灌装口密闭，</w:t>
                  </w:r>
                  <w:r>
                    <w:rPr>
                      <w:rFonts w:hint="default" w:ascii="Times New Roman" w:hAnsi="Times New Roman" w:eastAsia="宋体" w:cs="Times New Roman"/>
                      <w:color w:val="auto"/>
                      <w:kern w:val="2"/>
                      <w:sz w:val="21"/>
                      <w:szCs w:val="21"/>
                      <w:vertAlign w:val="baseline"/>
                      <w:lang w:val="en-US" w:eastAsia="zh-CN" w:bidi="ar-SA"/>
                    </w:rPr>
                    <w:t>从泵站扫仓罐中产生的油气应密闭收集，并送入油气处理装置进行回收处理</w:t>
                  </w:r>
                  <w:r>
                    <w:rPr>
                      <w:rFonts w:hint="eastAsia" w:cs="Times New Roman"/>
                      <w:color w:val="auto"/>
                      <w:kern w:val="2"/>
                      <w:sz w:val="21"/>
                      <w:szCs w:val="21"/>
                      <w:vertAlign w:val="baseline"/>
                      <w:lang w:val="en-US" w:eastAsia="zh-CN" w:bidi="ar-SA"/>
                    </w:rPr>
                    <w:t>；柴油扫仓废气密闭软管收集后排放。</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4.2.1.1储存真实蒸气压&lt;76.6kPa的油品应采用内浮顶罐、外浮顶罐或其他等效措施。</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4.2.1.2 储存真实蒸气压</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76.6kPa的油品应采用低压罐、压力罐或其他等效措施。</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本项目采用内浮顶罐储存汽油、柴油；</w:t>
                  </w:r>
                  <w:r>
                    <w:rPr>
                      <w:rFonts w:hint="default" w:ascii="Times New Roman" w:hAnsi="Times New Roman" w:eastAsia="宋体" w:cs="Times New Roman"/>
                      <w:color w:val="auto"/>
                      <w:kern w:val="2"/>
                      <w:sz w:val="21"/>
                      <w:szCs w:val="21"/>
                      <w:lang w:val="en-US" w:eastAsia="zh-CN" w:bidi="ar-SA"/>
                    </w:rPr>
                    <w:t>5000m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内浮顶油罐4座、3000m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内浮顶油罐3座、1000m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内浮顶油罐2座</w:t>
                  </w:r>
                  <w:r>
                    <w:rPr>
                      <w:rFonts w:hint="eastAsia" w:ascii="Times New Roman" w:hAnsi="Times New Roman" w:eastAsia="宋体" w:cs="Times New Roman"/>
                      <w:color w:val="auto"/>
                      <w:kern w:val="2"/>
                      <w:sz w:val="21"/>
                      <w:szCs w:val="21"/>
                      <w:lang w:val="en-US" w:eastAsia="zh-CN" w:bidi="ar-SA"/>
                    </w:rPr>
                    <w:t>；油品</w:t>
                  </w:r>
                  <w:r>
                    <w:rPr>
                      <w:rFonts w:hint="eastAsia" w:cs="Times New Roman"/>
                      <w:color w:val="auto"/>
                      <w:kern w:val="2"/>
                      <w:sz w:val="21"/>
                      <w:szCs w:val="21"/>
                      <w:lang w:val="en-US" w:eastAsia="zh-CN" w:bidi="ar-SA"/>
                    </w:rPr>
                    <w:t>储存</w:t>
                  </w:r>
                  <w:r>
                    <w:rPr>
                      <w:rFonts w:hint="eastAsia" w:ascii="Times New Roman" w:hAnsi="Times New Roman" w:eastAsia="宋体" w:cs="Times New Roman"/>
                      <w:color w:val="auto"/>
                      <w:kern w:val="2"/>
                      <w:sz w:val="21"/>
                      <w:szCs w:val="21"/>
                      <w:lang w:val="en-US" w:eastAsia="zh-CN" w:bidi="ar-SA"/>
                    </w:rPr>
                    <w:t>采用“</w:t>
                  </w:r>
                  <w:r>
                    <w:rPr>
                      <w:rFonts w:hint="eastAsia" w:cs="Times New Roman"/>
                      <w:color w:val="auto"/>
                      <w:kern w:val="2"/>
                      <w:sz w:val="21"/>
                      <w:szCs w:val="21"/>
                      <w:lang w:val="en-US" w:eastAsia="zh-CN" w:bidi="ar-SA"/>
                    </w:rPr>
                    <w:t>浮顶罐+高效二次密封</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处理，无组织排放；</w:t>
                  </w:r>
                  <w:r>
                    <w:rPr>
                      <w:rFonts w:hint="eastAsia" w:cs="Times New Roman"/>
                      <w:color w:val="auto"/>
                      <w:spacing w:val="-11"/>
                      <w:sz w:val="21"/>
                      <w:szCs w:val="21"/>
                      <w:highlight w:val="none"/>
                      <w:lang w:val="en-US" w:eastAsia="zh-CN"/>
                    </w:rPr>
                    <w:t>夏季采用自动喷淋降温，减少废气排放</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4.3.1.1向汽车罐车发原油应采用</w:t>
                  </w:r>
                  <w:r>
                    <w:rPr>
                      <w:rFonts w:hint="eastAsia" w:ascii="Times New Roman" w:hAnsi="Times New Roman" w:eastAsia="宋体" w:cs="Times New Roman"/>
                      <w:color w:val="auto"/>
                      <w:kern w:val="2"/>
                      <w:sz w:val="21"/>
                      <w:szCs w:val="21"/>
                      <w:vertAlign w:val="baseline"/>
                      <w:lang w:val="en-US" w:eastAsia="zh-CN" w:bidi="ar-SA"/>
                    </w:rPr>
                    <w:t>顶</w:t>
                  </w:r>
                  <w:r>
                    <w:rPr>
                      <w:rFonts w:hint="default" w:ascii="Times New Roman" w:hAnsi="Times New Roman" w:eastAsia="宋体" w:cs="Times New Roman"/>
                      <w:color w:val="auto"/>
                      <w:kern w:val="2"/>
                      <w:sz w:val="21"/>
                      <w:szCs w:val="21"/>
                      <w:vertAlign w:val="baseline"/>
                      <w:lang w:val="en-US" w:eastAsia="zh-CN" w:bidi="ar-SA"/>
                    </w:rPr>
                    <w:t>部浸没式或底部发油方式，顶部浸没式灌装鹤管出口距离罐底高度应小于200mm。向汽车罐车发其他油品应采用底部发油方式。</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4.3.1.2发油时产生的油气应密闭收集，并送入油气处理装置回收处理。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4.3.1.3底部发油快速接头和油气回收快速接头应采用自封式快速接头。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4.3.1.4向汽车罐车发油时，油气收集系统应为正压，且压力不应超过6.0kPa</w:t>
                  </w:r>
                  <w:r>
                    <w:rPr>
                      <w:rFonts w:hint="eastAsia" w:ascii="Times New Roman" w:hAnsi="Times New Roman" w:eastAsia="宋体" w:cs="Times New Roman"/>
                      <w:color w:val="auto"/>
                      <w:kern w:val="2"/>
                      <w:sz w:val="21"/>
                      <w:szCs w:val="21"/>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4.3.1.5底部发油结束并断开快速接头时，油品滴洒量不应超过10 mL</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滴酒量取连续3次断开操作的平均值。</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汽油装车</w:t>
                  </w:r>
                  <w:r>
                    <w:rPr>
                      <w:rFonts w:hint="eastAsia" w:ascii="Times New Roman" w:hAnsi="Times New Roman" w:eastAsia="宋体" w:cs="Times New Roman"/>
                      <w:color w:val="auto"/>
                      <w:kern w:val="2"/>
                      <w:sz w:val="21"/>
                      <w:szCs w:val="21"/>
                      <w:vertAlign w:val="baseline"/>
                      <w:lang w:val="en-US" w:eastAsia="zh-CN" w:bidi="ar-SA"/>
                    </w:rPr>
                    <w:t>油气密闭收集，收集进入</w:t>
                  </w:r>
                  <w:r>
                    <w:rPr>
                      <w:rFonts w:hint="eastAsia" w:cs="Times New Roman"/>
                      <w:color w:val="auto"/>
                      <w:kern w:val="2"/>
                      <w:sz w:val="21"/>
                      <w:szCs w:val="21"/>
                      <w:vertAlign w:val="baseline"/>
                      <w:lang w:val="en-US" w:eastAsia="zh-CN" w:bidi="ar-SA"/>
                    </w:rPr>
                    <w:t>“三级冷凝+活性炭吸附”</w:t>
                  </w:r>
                  <w:r>
                    <w:rPr>
                      <w:rFonts w:hint="eastAsia" w:ascii="Times New Roman" w:hAnsi="Times New Roman" w:eastAsia="宋体" w:cs="Times New Roman"/>
                      <w:color w:val="auto"/>
                      <w:kern w:val="2"/>
                      <w:sz w:val="21"/>
                      <w:szCs w:val="21"/>
                      <w:vertAlign w:val="baseline"/>
                      <w:lang w:val="en-US" w:eastAsia="zh-CN" w:bidi="ar-SA"/>
                    </w:rPr>
                    <w:t>进行回收处理。</w:t>
                  </w:r>
                  <w:r>
                    <w:rPr>
                      <w:rFonts w:hint="eastAsia" w:cs="Times New Roman"/>
                      <w:color w:val="auto"/>
                      <w:kern w:val="2"/>
                      <w:sz w:val="21"/>
                      <w:szCs w:val="21"/>
                      <w:vertAlign w:val="baseline"/>
                      <w:lang w:val="en-US" w:eastAsia="zh-CN" w:bidi="ar-SA"/>
                    </w:rPr>
                    <w:t>柴油装车废气密闭发油鹤管收集后排放。</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底部发油快速接头和油气回收快速接头均采用自过式快速接头。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项目罐区和装卸区设置自控仪表设备(PLC系统)。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对运行参数如：液位、温度、压力、流量进行监控和报</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4.3.5.1油气处理装置排气筒高度不低于4m，具体高度以及与周围建筑物的距离应根据环境影响评价文件确定。</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4.3.5.2发油时应采用防溢流系统。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4.3.5.3采用红外摄像方式检测油气收集系统密封点时，不应有油气泄漏。</w:t>
                  </w:r>
                </w:p>
              </w:tc>
              <w:tc>
                <w:tcPr>
                  <w:tcW w:w="2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装车时</w:t>
                  </w:r>
                  <w:r>
                    <w:rPr>
                      <w:rFonts w:hint="eastAsia" w:ascii="Times New Roman" w:hAnsi="Times New Roman" w:eastAsia="宋体" w:cs="Times New Roman"/>
                      <w:color w:val="auto"/>
                      <w:kern w:val="2"/>
                      <w:sz w:val="21"/>
                      <w:szCs w:val="21"/>
                      <w:vertAlign w:val="baseline"/>
                      <w:lang w:val="en-US" w:eastAsia="zh-CN" w:bidi="ar-SA"/>
                    </w:rPr>
                    <w:t>采用防溢流系统，</w:t>
                  </w:r>
                  <w:r>
                    <w:rPr>
                      <w:rFonts w:hint="eastAsia" w:cs="Times New Roman"/>
                      <w:color w:val="auto"/>
                      <w:kern w:val="2"/>
                      <w:sz w:val="21"/>
                      <w:szCs w:val="21"/>
                      <w:vertAlign w:val="baseline"/>
                      <w:lang w:val="en-US" w:eastAsia="zh-CN" w:bidi="ar-SA"/>
                    </w:rPr>
                    <w:t>汽油装车废气（含应急汽油卸车废气）</w:t>
                  </w:r>
                  <w:r>
                    <w:rPr>
                      <w:rFonts w:hint="eastAsia" w:ascii="Times New Roman" w:hAnsi="Times New Roman" w:eastAsia="宋体" w:cs="Times New Roman"/>
                      <w:color w:val="auto"/>
                      <w:kern w:val="2"/>
                      <w:sz w:val="21"/>
                      <w:szCs w:val="21"/>
                      <w:vertAlign w:val="baseline"/>
                      <w:lang w:val="en-US" w:eastAsia="zh-CN" w:bidi="ar-SA"/>
                    </w:rPr>
                    <w:t>采用</w:t>
                  </w:r>
                  <w:r>
                    <w:rPr>
                      <w:rFonts w:hint="eastAsia" w:cs="Times New Roman"/>
                      <w:color w:val="auto"/>
                      <w:kern w:val="2"/>
                      <w:sz w:val="21"/>
                      <w:szCs w:val="21"/>
                      <w:vertAlign w:val="baseline"/>
                      <w:lang w:val="en-US" w:eastAsia="zh-CN" w:bidi="ar-SA"/>
                    </w:rPr>
                    <w:t>“三级冷凝+活性炭吸附”</w:t>
                  </w:r>
                  <w:r>
                    <w:rPr>
                      <w:rFonts w:hint="eastAsia" w:ascii="Times New Roman" w:hAnsi="Times New Roman" w:eastAsia="宋体" w:cs="Times New Roman"/>
                      <w:color w:val="auto"/>
                      <w:kern w:val="2"/>
                      <w:sz w:val="21"/>
                      <w:szCs w:val="21"/>
                      <w:vertAlign w:val="baseline"/>
                      <w:lang w:val="en-US" w:eastAsia="zh-CN" w:bidi="ar-SA"/>
                    </w:rPr>
                    <w:t>处理后，由20m排气筒排放</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bl>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由上表可知，本项目符合《储油库大气污染物排放标准》(GB 20950-2020)相关要求。</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（2）项目与《挥发性有机物无组织排放控制标准》(GB37822-2019)符合性分析</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7</w:t>
            </w:r>
            <w:r>
              <w:rPr>
                <w:rFonts w:hint="eastAsia" w:ascii="Times New Roman" w:hAnsi="Times New Roman" w:eastAsia="宋体" w:cs="Times New Roman"/>
                <w:b/>
                <w:bCs/>
                <w:color w:val="auto"/>
                <w:kern w:val="2"/>
                <w:sz w:val="24"/>
                <w:szCs w:val="24"/>
                <w:lang w:val="en-US" w:eastAsia="zh-CN" w:bidi="ar-SA"/>
              </w:rPr>
              <w:t xml:space="preserve">  项目与《挥发性有机物无组织排放控制标准》符合性分析一览表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1"/>
              <w:gridCol w:w="2137"/>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文件要求</w:t>
                  </w:r>
                </w:p>
              </w:tc>
              <w:tc>
                <w:tcPr>
                  <w:tcW w:w="2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本项目情况</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VO</w:t>
                  </w:r>
                  <w:r>
                    <w:rPr>
                      <w:rFonts w:hint="eastAsia" w:ascii="Times New Roman" w:hAnsi="Times New Roman" w:eastAsia="宋体" w:cs="Times New Roman"/>
                      <w:color w:val="auto"/>
                      <w:kern w:val="2"/>
                      <w:sz w:val="21"/>
                      <w:szCs w:val="21"/>
                      <w:vertAlign w:val="baseline"/>
                      <w:lang w:val="en-US" w:eastAsia="zh-CN" w:bidi="ar-SA"/>
                    </w:rPr>
                    <w:t>Cs物料应储存于密闭的容器、包装袋、储罐、储库、料仓中</w:t>
                  </w:r>
                </w:p>
              </w:tc>
              <w:tc>
                <w:tcPr>
                  <w:tcW w:w="2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本项目汽油、柴油等均储存于密闭的内浮顶油罐中</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盛装VOCs物料的容器或包装袋应存放于室内，或存放于设置有雨棚、遮阳和防渗设施的专用场地。盛装VOCs物料的容器或包装袋在非取用状态时应加盖、封口，保持密闭。</w:t>
                  </w:r>
                </w:p>
              </w:tc>
              <w:tc>
                <w:tcPr>
                  <w:tcW w:w="2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本项目油罐均存放于设置有防雨防渗设施的专用场地</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VOCs物料储罐应密封良好</w:t>
                  </w:r>
                </w:p>
              </w:tc>
              <w:tc>
                <w:tcPr>
                  <w:tcW w:w="2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汽、柴油储罐采用立式防渗漏储油罐，密封良好</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储存真实蒸气压≥ 76.6 kPa的挥发性有机液体储罐，应采用低压罐、压力罐或其他等效措施。</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储存真实蒸气压≥27.6kPa但&lt;76.6kPa且储罐容积≥75m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的挥发性有机液体储罐，以及储存真实蒸气压≥5.2kPa但&lt;27.6kPa且储罐容积≥150m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的挥发性有机液体储罐，应符合下列规定</w:t>
                  </w:r>
                  <w:r>
                    <w:rPr>
                      <w:rFonts w:hint="eastAsia" w:ascii="Times New Roman" w:hAnsi="Times New Roman" w:eastAsia="宋体" w:cs="Times New Roman"/>
                      <w:color w:val="auto"/>
                      <w:kern w:val="2"/>
                      <w:sz w:val="21"/>
                      <w:szCs w:val="21"/>
                      <w:vertAlign w:val="baseline"/>
                      <w:lang w:val="en-US" w:eastAsia="zh-CN" w:bidi="ar-SA"/>
                    </w:rPr>
                    <w:t>一：</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a)采用浮顶罐。对于内浮顶罐，浮顶与罐壁之间应采用浸液式密封、机械式鞋形密封等高效密封方式</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对于外浮顶罐，浮项与罐壁之间应采用双重密封，且一次密封应采用浸液式密封、机械式鞋形密封等高效密封方式。b)采用固定顶罐，排放的废气应收集处理并满足相关行业排放标准的要求(无行业排放标准的应满足GB16297的要求)，或者处理效率不低于90%。c)采用气相平衡系统。d)采取其他等效措施。</w:t>
                  </w:r>
                </w:p>
              </w:tc>
              <w:tc>
                <w:tcPr>
                  <w:tcW w:w="2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本项目采用内浮顶罐储存汽油、柴油；</w:t>
                  </w:r>
                  <w:r>
                    <w:rPr>
                      <w:rFonts w:hint="default" w:ascii="Times New Roman" w:hAnsi="Times New Roman" w:eastAsia="宋体" w:cs="Times New Roman"/>
                      <w:color w:val="auto"/>
                      <w:kern w:val="2"/>
                      <w:sz w:val="21"/>
                      <w:szCs w:val="21"/>
                      <w:lang w:val="en-US" w:eastAsia="zh-CN" w:bidi="ar-SA"/>
                    </w:rPr>
                    <w:t>5000m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内浮顶油罐4座、3000m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内浮顶油罐3座、1000m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内浮顶油罐2座</w:t>
                  </w:r>
                  <w:r>
                    <w:rPr>
                      <w:rFonts w:hint="eastAsia" w:ascii="Times New Roman" w:hAnsi="Times New Roman" w:eastAsia="宋体" w:cs="Times New Roman"/>
                      <w:color w:val="auto"/>
                      <w:kern w:val="2"/>
                      <w:sz w:val="21"/>
                      <w:szCs w:val="21"/>
                      <w:lang w:val="en-US" w:eastAsia="zh-CN" w:bidi="ar-SA"/>
                    </w:rPr>
                    <w:t>；油品储存采用“</w:t>
                  </w:r>
                  <w:r>
                    <w:rPr>
                      <w:rFonts w:hint="eastAsia" w:cs="Times New Roman"/>
                      <w:color w:val="auto"/>
                      <w:kern w:val="2"/>
                      <w:sz w:val="21"/>
                      <w:szCs w:val="21"/>
                      <w:lang w:val="en-US" w:eastAsia="zh-CN" w:bidi="ar-SA"/>
                    </w:rPr>
                    <w:t>浮顶罐+高效二次密封</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eastAsia" w:cs="Times New Roman"/>
                      <w:color w:val="auto"/>
                      <w:spacing w:val="-11"/>
                      <w:sz w:val="21"/>
                      <w:szCs w:val="21"/>
                      <w:highlight w:val="none"/>
                      <w:lang w:val="en-US" w:eastAsia="zh-CN"/>
                    </w:rPr>
                    <w:t>夏季采用自动喷淋降温，减少废气排放</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液态VOCs物料应采用密闭管道输送。采用非管道输送方式转移液态VOCs物料时，应采用密闭容器、罐车。</w:t>
                  </w:r>
                </w:p>
                <w:p>
                  <w:pPr>
                    <w:pStyle w:val="10"/>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装载方式：</w:t>
                  </w:r>
                  <w:r>
                    <w:rPr>
                      <w:rFonts w:hint="default"/>
                      <w:color w:val="auto"/>
                      <w:lang w:val="en-US" w:eastAsia="zh-CN"/>
                    </w:rPr>
                    <w:t>挥发性有机液体应采用底部装载方式</w:t>
                  </w:r>
                  <w:r>
                    <w:rPr>
                      <w:rFonts w:hint="eastAsia"/>
                      <w:color w:val="auto"/>
                      <w:lang w:val="en-US" w:eastAsia="zh-CN"/>
                    </w:rPr>
                    <w:t>；</w:t>
                  </w:r>
                  <w:r>
                    <w:rPr>
                      <w:rFonts w:hint="default"/>
                      <w:color w:val="auto"/>
                      <w:lang w:val="en-US" w:eastAsia="zh-CN"/>
                    </w:rPr>
                    <w:t>若采用顶部浸没式装载，出料管口距离槽(罐)底部高度应小于200mm。</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装载物料真实蒸气压≥27.</w:t>
                  </w:r>
                  <w:r>
                    <w:rPr>
                      <w:rFonts w:hint="eastAsia" w:ascii="Times New Roman" w:hAnsi="Times New Roman" w:eastAsia="宋体" w:cs="Times New Roman"/>
                      <w:color w:val="auto"/>
                      <w:kern w:val="2"/>
                      <w:sz w:val="21"/>
                      <w:szCs w:val="21"/>
                      <w:vertAlign w:val="baseline"/>
                      <w:lang w:val="en-US" w:eastAsia="zh-CN" w:bidi="ar-SA"/>
                    </w:rPr>
                    <w:t>6</w:t>
                  </w:r>
                  <w:r>
                    <w:rPr>
                      <w:rFonts w:hint="default" w:ascii="Times New Roman" w:hAnsi="Times New Roman" w:eastAsia="宋体" w:cs="Times New Roman"/>
                      <w:color w:val="auto"/>
                      <w:kern w:val="2"/>
                      <w:sz w:val="21"/>
                      <w:szCs w:val="21"/>
                      <w:vertAlign w:val="baseline"/>
                      <w:lang w:val="en-US" w:eastAsia="zh-CN" w:bidi="ar-SA"/>
                    </w:rPr>
                    <w:t>kPa且单-装载设施的年装载量≥500m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以及装载物料真实蒸气压≥5.2kPa但&lt;27.6kPa且单一装载设施的年装载量≥2500m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的，装载过程应符合下列规定之一</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a)排放的废气应收集处理并满足相关行业排放标准的要求( 无行业排放标准的应满足GB16297的要求)，或者处理效率不低于90%</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b)排放的废气连接至气相平衡系统。</w:t>
                  </w:r>
                </w:p>
              </w:tc>
              <w:tc>
                <w:tcPr>
                  <w:tcW w:w="21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本项目采用无缝钢管链接输送；</w:t>
                  </w:r>
                  <w:r>
                    <w:rPr>
                      <w:rFonts w:hint="eastAsia" w:ascii="Times New Roman" w:hAnsi="Times New Roman" w:eastAsia="宋体" w:cs="Times New Roman"/>
                      <w:color w:val="auto"/>
                      <w:kern w:val="2"/>
                      <w:sz w:val="21"/>
                      <w:szCs w:val="21"/>
                      <w:vertAlign w:val="baseline"/>
                      <w:lang w:val="en-US" w:eastAsia="zh-CN" w:bidi="ar-SA"/>
                    </w:rPr>
                    <w:t>本项目</w:t>
                  </w:r>
                  <w:r>
                    <w:rPr>
                      <w:rFonts w:hint="eastAsia" w:cs="Times New Roman"/>
                      <w:color w:val="auto"/>
                      <w:kern w:val="2"/>
                      <w:sz w:val="21"/>
                      <w:szCs w:val="21"/>
                      <w:vertAlign w:val="baseline"/>
                      <w:lang w:val="en-US" w:eastAsia="zh-CN" w:bidi="ar-SA"/>
                    </w:rPr>
                    <w:t>汽油和柴油均</w:t>
                  </w:r>
                  <w:r>
                    <w:rPr>
                      <w:rFonts w:hint="eastAsia" w:ascii="Times New Roman" w:hAnsi="Times New Roman" w:eastAsia="宋体" w:cs="Times New Roman"/>
                      <w:color w:val="auto"/>
                      <w:kern w:val="2"/>
                      <w:sz w:val="21"/>
                      <w:szCs w:val="21"/>
                      <w:vertAlign w:val="baseline"/>
                      <w:lang w:val="en-US" w:eastAsia="zh-CN" w:bidi="ar-SA"/>
                    </w:rPr>
                    <w:t>采用底部装载方式，</w:t>
                  </w:r>
                  <w:r>
                    <w:rPr>
                      <w:rFonts w:hint="eastAsia" w:cs="Times New Roman"/>
                      <w:color w:val="auto"/>
                      <w:kern w:val="2"/>
                      <w:sz w:val="21"/>
                      <w:szCs w:val="21"/>
                      <w:vertAlign w:val="baseline"/>
                      <w:lang w:val="en-US" w:eastAsia="zh-CN" w:bidi="ar-SA"/>
                    </w:rPr>
                    <w:t>本项目</w:t>
                  </w:r>
                  <w:r>
                    <w:rPr>
                      <w:rFonts w:hint="eastAsia" w:ascii="Times New Roman" w:hAnsi="Times New Roman" w:eastAsia="宋体" w:cs="Times New Roman"/>
                      <w:color w:val="auto"/>
                      <w:kern w:val="2"/>
                      <w:sz w:val="21"/>
                      <w:szCs w:val="21"/>
                      <w:vertAlign w:val="baseline"/>
                      <w:lang w:val="en-US" w:eastAsia="zh-CN" w:bidi="ar-SA"/>
                    </w:rPr>
                    <w:t>油气回收装置系统处理效率</w:t>
                  </w:r>
                  <w:r>
                    <w:rPr>
                      <w:rFonts w:hint="eastAsia" w:cs="Times New Roman"/>
                      <w:color w:val="auto"/>
                      <w:kern w:val="2"/>
                      <w:sz w:val="21"/>
                      <w:szCs w:val="21"/>
                      <w:vertAlign w:val="baseline"/>
                      <w:lang w:val="en-US" w:eastAsia="zh-CN" w:bidi="ar-SA"/>
                    </w:rPr>
                    <w:t>为98</w:t>
                  </w:r>
                  <w:r>
                    <w:rPr>
                      <w:rFonts w:hint="eastAsia" w:ascii="Times New Roman" w:hAnsi="Times New Roman" w:eastAsia="宋体" w:cs="Times New Roman"/>
                      <w:color w:val="auto"/>
                      <w:kern w:val="2"/>
                      <w:sz w:val="21"/>
                      <w:szCs w:val="21"/>
                      <w:vertAlign w:val="baseline"/>
                      <w:lang w:val="en-US" w:eastAsia="zh-CN" w:bidi="ar-SA"/>
                    </w:rPr>
                    <w:t>%。</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bl>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由上表可知，本项目符合《挥发性有机物无组织排放控制标准》(GB37822-2019)相关要求。</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）项目与《挥发性有机物</w:t>
            </w:r>
            <w:r>
              <w:rPr>
                <w:rFonts w:hint="eastAsia" w:cs="Times New Roman"/>
                <w:color w:val="auto"/>
                <w:kern w:val="2"/>
                <w:sz w:val="24"/>
                <w:szCs w:val="24"/>
                <w:lang w:val="en-US" w:eastAsia="zh-CN" w:bidi="ar-SA"/>
              </w:rPr>
              <w:t>污染防治技术政策</w:t>
            </w:r>
            <w:r>
              <w:rPr>
                <w:rFonts w:hint="eastAsia" w:ascii="Times New Roman" w:hAnsi="Times New Roman" w:eastAsia="宋体" w:cs="Times New Roman"/>
                <w:color w:val="auto"/>
                <w:kern w:val="2"/>
                <w:sz w:val="24"/>
                <w:szCs w:val="24"/>
                <w:lang w:val="en-US" w:eastAsia="zh-CN" w:bidi="ar-SA"/>
              </w:rPr>
              <w:t>》符合性分析</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8</w:t>
            </w:r>
            <w:r>
              <w:rPr>
                <w:rFonts w:hint="eastAsia" w:ascii="Times New Roman" w:hAnsi="Times New Roman" w:eastAsia="宋体" w:cs="Times New Roman"/>
                <w:b/>
                <w:bCs/>
                <w:color w:val="auto"/>
                <w:kern w:val="2"/>
                <w:sz w:val="24"/>
                <w:szCs w:val="24"/>
                <w:lang w:val="en-US" w:eastAsia="zh-CN" w:bidi="ar-SA"/>
              </w:rPr>
              <w:t xml:space="preserve">  项目与《挥发性有机物</w:t>
            </w:r>
            <w:r>
              <w:rPr>
                <w:rFonts w:hint="eastAsia" w:cs="Times New Roman"/>
                <w:b/>
                <w:bCs/>
                <w:color w:val="auto"/>
                <w:kern w:val="2"/>
                <w:sz w:val="24"/>
                <w:szCs w:val="24"/>
                <w:lang w:val="en-US" w:eastAsia="zh-CN" w:bidi="ar-SA"/>
              </w:rPr>
              <w:t>污染防治技术政策</w:t>
            </w:r>
            <w:r>
              <w:rPr>
                <w:rFonts w:hint="eastAsia" w:ascii="Times New Roman" w:hAnsi="Times New Roman" w:eastAsia="宋体" w:cs="Times New Roman"/>
                <w:b/>
                <w:bCs/>
                <w:color w:val="auto"/>
                <w:kern w:val="2"/>
                <w:sz w:val="24"/>
                <w:szCs w:val="24"/>
                <w:lang w:val="en-US" w:eastAsia="zh-CN" w:bidi="ar-SA"/>
              </w:rPr>
              <w:t>》符合性分析一览表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2331"/>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文件要求</w:t>
                  </w:r>
                </w:p>
              </w:tc>
              <w:tc>
                <w:tcPr>
                  <w:tcW w:w="23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本项目情况</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储油库、加油站和油罐车宜配备相应的油气收集系统，储油库、加油站宜配备相应的油气回收</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系统</w:t>
                  </w:r>
                </w:p>
              </w:tc>
              <w:tc>
                <w:tcPr>
                  <w:tcW w:w="23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本项目设有相应的油气收集系统、油气回收系统</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油类（燃油、溶剂等）储罐宜采用高效密封的内(外）浮顶罐,当采用固定顶罐时，通过密闭排气系统将含VOCs气体输送至回收设备</w:t>
                  </w:r>
                </w:p>
              </w:tc>
              <w:tc>
                <w:tcPr>
                  <w:tcW w:w="23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本项目设有油气回收系统，通过密闭排气系统将VOCs气体输送至回收设备</w:t>
                  </w:r>
                </w:p>
              </w:tc>
              <w:tc>
                <w:tcPr>
                  <w:tcW w:w="91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bl>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由上表可知，本项目符合《挥发性有机物污染防治技术政策》相关要求。</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六</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项目</w:t>
            </w:r>
            <w:r>
              <w:rPr>
                <w:rFonts w:hint="eastAsia" w:ascii="Times New Roman" w:hAnsi="Times New Roman" w:eastAsia="宋体" w:cs="Times New Roman"/>
                <w:b/>
                <w:bCs/>
                <w:color w:val="auto"/>
                <w:sz w:val="24"/>
                <w:szCs w:val="24"/>
                <w:highlight w:val="none"/>
                <w:lang w:val="en-US" w:eastAsia="zh-CN"/>
              </w:rPr>
              <w:t>选址合理性分析</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本项目位于四川双龙铁路物流园</w:t>
            </w:r>
            <w:r>
              <w:rPr>
                <w:rFonts w:hint="eastAsia" w:ascii="Times New Roman" w:hAnsi="Times New Roman" w:eastAsia="宋体" w:cs="Times New Roman"/>
                <w:color w:val="auto"/>
                <w:kern w:val="2"/>
                <w:sz w:val="24"/>
                <w:szCs w:val="24"/>
                <w:lang w:val="en-US" w:eastAsia="zh-CN" w:bidi="ar-SA"/>
              </w:rPr>
              <w:t>，部分位于现有园区范围外；</w:t>
            </w:r>
            <w:r>
              <w:rPr>
                <w:rFonts w:hint="default" w:ascii="Times New Roman" w:hAnsi="Times New Roman" w:eastAsia="宋体" w:cs="Times New Roman"/>
                <w:bCs/>
                <w:color w:val="auto"/>
                <w:spacing w:val="-2"/>
                <w:kern w:val="2"/>
                <w:sz w:val="24"/>
                <w:szCs w:val="24"/>
                <w:lang w:val="en-US" w:eastAsia="zh-CN" w:bidi="ar-SA"/>
              </w:rPr>
              <w:t>中心地理坐标为北纬31</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spacing w:val="-2"/>
                <w:kern w:val="2"/>
                <w:sz w:val="24"/>
                <w:szCs w:val="24"/>
                <w:lang w:val="en-US" w:eastAsia="zh-CN" w:bidi="ar-SA"/>
              </w:rPr>
              <w:t>17'49.34</w:t>
            </w:r>
            <w:r>
              <w:rPr>
                <w:rFonts w:hint="eastAsia" w:ascii="Times New Roman" w:hAnsi="Times New Roman" w:eastAsia="宋体" w:cs="Times New Roman"/>
                <w:bCs/>
                <w:color w:val="auto"/>
                <w:spacing w:val="-2"/>
                <w:kern w:val="2"/>
                <w:sz w:val="24"/>
                <w:szCs w:val="24"/>
                <w:lang w:val="en-US" w:eastAsia="zh-CN" w:bidi="ar-SA"/>
              </w:rPr>
              <w:t>0</w:t>
            </w:r>
            <w:r>
              <w:rPr>
                <w:rFonts w:hint="default" w:ascii="Times New Roman" w:hAnsi="Times New Roman" w:eastAsia="宋体" w:cs="Times New Roman"/>
                <w:bCs/>
                <w:color w:val="auto"/>
                <w:spacing w:val="-2"/>
                <w:kern w:val="2"/>
                <w:sz w:val="24"/>
                <w:szCs w:val="24"/>
                <w:lang w:val="en-US" w:eastAsia="zh-CN" w:bidi="ar-SA"/>
              </w:rPr>
              <w:t>"，东经107</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spacing w:val="-2"/>
                <w:kern w:val="2"/>
                <w:sz w:val="24"/>
                <w:szCs w:val="24"/>
                <w:lang w:val="en-US" w:eastAsia="zh-CN" w:bidi="ar-SA"/>
              </w:rPr>
              <w:t>26'35.76</w:t>
            </w:r>
            <w:r>
              <w:rPr>
                <w:rFonts w:hint="eastAsia" w:ascii="Times New Roman" w:hAnsi="Times New Roman" w:eastAsia="宋体" w:cs="Times New Roman"/>
                <w:bCs/>
                <w:color w:val="auto"/>
                <w:spacing w:val="-2"/>
                <w:kern w:val="2"/>
                <w:sz w:val="24"/>
                <w:szCs w:val="24"/>
                <w:lang w:val="en-US" w:eastAsia="zh-CN" w:bidi="ar-SA"/>
              </w:rPr>
              <w:t>0</w:t>
            </w:r>
            <w:r>
              <w:rPr>
                <w:rFonts w:hint="default" w:ascii="Times New Roman" w:hAnsi="Times New Roman" w:eastAsia="宋体" w:cs="Times New Roman"/>
                <w:bCs/>
                <w:color w:val="auto"/>
                <w:spacing w:val="-2"/>
                <w:kern w:val="2"/>
                <w:sz w:val="24"/>
                <w:szCs w:val="24"/>
                <w:lang w:val="en-US" w:eastAsia="zh-CN" w:bidi="ar-SA"/>
              </w:rPr>
              <w:t>"。库址位置高程350-470m之间，选择山体坡度较缓地段。项目西北为达州市金博士水业有限公司，南侧为铁路货场和湘渝铁路，东侧为双龙车站，西侧为拟建的规划路和泄洪沟，其他地方为空地。</w:t>
            </w:r>
          </w:p>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cs="Times New Roman"/>
                <w:b w:val="0"/>
                <w:bCs w:val="0"/>
                <w:color w:val="auto"/>
                <w:spacing w:val="-2"/>
                <w:kern w:val="2"/>
                <w:sz w:val="24"/>
                <w:szCs w:val="24"/>
                <w:lang w:val="en-US" w:eastAsia="zh-CN" w:bidi="ar-SA"/>
              </w:rPr>
            </w:pPr>
            <w:r>
              <w:rPr>
                <w:rFonts w:hint="eastAsia" w:cs="Times New Roman"/>
                <w:b w:val="0"/>
                <w:bCs w:val="0"/>
                <w:color w:val="auto"/>
                <w:spacing w:val="-2"/>
                <w:kern w:val="2"/>
                <w:sz w:val="24"/>
                <w:szCs w:val="24"/>
                <w:lang w:val="en-US" w:eastAsia="zh-CN" w:bidi="ar-SA"/>
              </w:rPr>
              <w:t>（1）项目选址与周边环境情况分析</w:t>
            </w:r>
          </w:p>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ascii="Times New Roman" w:hAnsi="Times New Roman" w:eastAsia="宋体" w:cs="Times New Roman"/>
                <w:b w:val="0"/>
                <w:bCs w:val="0"/>
                <w:color w:val="auto"/>
                <w:spacing w:val="-2"/>
                <w:kern w:val="2"/>
                <w:sz w:val="24"/>
                <w:szCs w:val="24"/>
                <w:lang w:val="en-US" w:eastAsia="zh-CN" w:bidi="ar-SA"/>
              </w:rPr>
            </w:pPr>
            <w:r>
              <w:rPr>
                <w:rFonts w:hint="eastAsia" w:cs="Times New Roman"/>
                <w:b w:val="0"/>
                <w:bCs w:val="0"/>
                <w:color w:val="auto"/>
                <w:spacing w:val="-2"/>
                <w:kern w:val="2"/>
                <w:sz w:val="24"/>
                <w:szCs w:val="24"/>
                <w:lang w:val="en-US" w:eastAsia="zh-CN" w:bidi="ar-SA"/>
              </w:rPr>
              <w:t>依据《石油库设计规范》</w:t>
            </w:r>
            <w:r>
              <w:rPr>
                <w:rFonts w:hint="default" w:ascii="Times New Roman" w:hAnsi="Times New Roman" w:eastAsia="宋体" w:cs="Times New Roman"/>
                <w:b w:val="0"/>
                <w:bCs w:val="0"/>
                <w:color w:val="auto"/>
                <w:spacing w:val="-2"/>
                <w:kern w:val="2"/>
                <w:sz w:val="24"/>
                <w:szCs w:val="24"/>
                <w:lang w:val="en-US" w:eastAsia="zh-CN" w:bidi="ar-SA"/>
              </w:rPr>
              <w:t>（GB50074-2014）</w:t>
            </w:r>
            <w:r>
              <w:rPr>
                <w:rFonts w:hint="eastAsia" w:cs="Times New Roman"/>
                <w:b w:val="0"/>
                <w:bCs w:val="0"/>
                <w:color w:val="auto"/>
                <w:spacing w:val="-2"/>
                <w:kern w:val="2"/>
                <w:sz w:val="24"/>
                <w:szCs w:val="24"/>
                <w:lang w:val="en-US" w:eastAsia="zh-CN" w:bidi="ar-SA"/>
              </w:rPr>
              <w:t>中第3.0.1条，石油库储罐计算总容积TV时，汽油属于甲B类液体，储罐容量为1.8万m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；柴油属于丙A类液体，储罐容量乘以系数0.5，储罐容量为1.3万m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，折合储罐容量为0.65万m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，则本项目计算总容量TV为2.45万m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（实际库容3.1万m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）；但根据设计后期会继续建设4座5000m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储罐，折算库区总库容为3.95万m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（实际库容5.1万m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）；故本项目按</w:t>
            </w:r>
            <w:r>
              <w:rPr>
                <w:rFonts w:hint="default" w:ascii="Times New Roman" w:hAnsi="Times New Roman" w:eastAsia="宋体" w:cs="Times New Roman"/>
                <w:b w:val="0"/>
                <w:bCs w:val="0"/>
                <w:color w:val="auto"/>
                <w:spacing w:val="-2"/>
                <w:kern w:val="2"/>
                <w:sz w:val="24"/>
                <w:szCs w:val="24"/>
                <w:lang w:val="en-US" w:eastAsia="zh-CN" w:bidi="ar-SA"/>
              </w:rPr>
              <w:t>二级油库</w:t>
            </w:r>
            <w:r>
              <w:rPr>
                <w:rFonts w:hint="eastAsia" w:cs="Times New Roman"/>
                <w:b w:val="0"/>
                <w:bCs w:val="0"/>
                <w:color w:val="auto"/>
                <w:spacing w:val="-2"/>
                <w:kern w:val="2"/>
                <w:sz w:val="24"/>
                <w:szCs w:val="24"/>
                <w:lang w:val="en-US" w:eastAsia="zh-CN" w:bidi="ar-SA"/>
              </w:rPr>
              <w:t>进行选址符合性分析</w:t>
            </w:r>
            <w:r>
              <w:rPr>
                <w:rFonts w:hint="default" w:ascii="Times New Roman" w:hAnsi="Times New Roman" w:eastAsia="宋体" w:cs="Times New Roman"/>
                <w:b w:val="0"/>
                <w:bCs w:val="0"/>
                <w:color w:val="auto"/>
                <w:spacing w:val="-2"/>
                <w:kern w:val="2"/>
                <w:sz w:val="24"/>
                <w:szCs w:val="24"/>
                <w:lang w:val="en-US" w:eastAsia="zh-CN" w:bidi="ar-SA"/>
              </w:rPr>
              <w:t>，该油库主要负责中国石油在达州市的成品油配送任务，还辐射到重庆万州、巴中平昌、广安</w:t>
            </w:r>
            <w:r>
              <w:rPr>
                <w:rFonts w:hint="eastAsia" w:ascii="Times New Roman" w:hAnsi="Times New Roman" w:eastAsia="宋体" w:cs="Times New Roman"/>
                <w:b w:val="0"/>
                <w:bCs w:val="0"/>
                <w:color w:val="auto"/>
                <w:spacing w:val="-2"/>
                <w:kern w:val="2"/>
                <w:sz w:val="24"/>
                <w:szCs w:val="24"/>
                <w:lang w:val="en-US" w:eastAsia="zh-CN" w:bidi="ar-SA"/>
              </w:rPr>
              <w:t>部分</w:t>
            </w:r>
            <w:r>
              <w:rPr>
                <w:rFonts w:hint="default" w:ascii="Times New Roman" w:hAnsi="Times New Roman" w:eastAsia="宋体" w:cs="Times New Roman"/>
                <w:b w:val="0"/>
                <w:bCs w:val="0"/>
                <w:color w:val="auto"/>
                <w:spacing w:val="-2"/>
                <w:kern w:val="2"/>
                <w:sz w:val="24"/>
                <w:szCs w:val="24"/>
                <w:lang w:val="en-US" w:eastAsia="zh-CN" w:bidi="ar-SA"/>
              </w:rPr>
              <w:t>地区等。</w:t>
            </w:r>
          </w:p>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ascii="Times New Roman" w:hAnsi="Times New Roman" w:eastAsia="宋体" w:cs="Times New Roman"/>
                <w:b w:val="0"/>
                <w:bCs w:val="0"/>
                <w:color w:val="auto"/>
                <w:spacing w:val="-2"/>
                <w:kern w:val="2"/>
                <w:sz w:val="24"/>
                <w:szCs w:val="24"/>
                <w:lang w:val="en-US" w:eastAsia="zh-CN" w:bidi="ar-SA"/>
              </w:rPr>
            </w:pPr>
            <w:r>
              <w:rPr>
                <w:rFonts w:hint="eastAsia" w:cs="Times New Roman"/>
                <w:b w:val="0"/>
                <w:bCs w:val="0"/>
                <w:color w:val="auto"/>
                <w:spacing w:val="-2"/>
                <w:kern w:val="2"/>
                <w:sz w:val="24"/>
                <w:szCs w:val="24"/>
                <w:lang w:val="en-US" w:eastAsia="zh-CN" w:bidi="ar-SA"/>
              </w:rPr>
              <w:t>对照</w:t>
            </w:r>
            <w:r>
              <w:rPr>
                <w:rFonts w:hint="default" w:ascii="Times New Roman" w:hAnsi="Times New Roman" w:eastAsia="宋体" w:cs="Times New Roman"/>
                <w:b w:val="0"/>
                <w:bCs w:val="0"/>
                <w:color w:val="auto"/>
                <w:spacing w:val="-2"/>
                <w:kern w:val="2"/>
                <w:sz w:val="24"/>
                <w:szCs w:val="24"/>
                <w:lang w:val="en-US" w:eastAsia="zh-CN" w:bidi="ar-SA"/>
              </w:rPr>
              <w:t>《石油库设计规范》（GB50074-2014）</w:t>
            </w:r>
            <w:r>
              <w:rPr>
                <w:rFonts w:hint="eastAsia" w:cs="Times New Roman"/>
                <w:b w:val="0"/>
                <w:bCs w:val="0"/>
                <w:color w:val="auto"/>
                <w:spacing w:val="-2"/>
                <w:kern w:val="2"/>
                <w:sz w:val="24"/>
                <w:szCs w:val="24"/>
                <w:lang w:val="en-US" w:eastAsia="zh-CN" w:bidi="ar-SA"/>
              </w:rPr>
              <w:t>，项目选址及周边环境安全距离符合性分析</w:t>
            </w:r>
            <w:r>
              <w:rPr>
                <w:rFonts w:hint="default" w:ascii="Times New Roman" w:hAnsi="Times New Roman" w:eastAsia="宋体" w:cs="Times New Roman"/>
                <w:b w:val="0"/>
                <w:bCs w:val="0"/>
                <w:color w:val="auto"/>
                <w:spacing w:val="-2"/>
                <w:kern w:val="2"/>
                <w:sz w:val="24"/>
                <w:szCs w:val="24"/>
                <w:lang w:val="en-US" w:eastAsia="zh-CN" w:bidi="ar-SA"/>
              </w:rPr>
              <w:t>见下表。</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left"/>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表1-</w:t>
            </w:r>
            <w:r>
              <w:rPr>
                <w:rFonts w:hint="eastAsia" w:cs="Times New Roman"/>
                <w:b/>
                <w:bCs/>
                <w:color w:val="auto"/>
                <w:spacing w:val="-2"/>
                <w:kern w:val="2"/>
                <w:sz w:val="24"/>
                <w:szCs w:val="24"/>
                <w:lang w:val="en-US" w:eastAsia="zh-CN" w:bidi="ar-SA"/>
              </w:rPr>
              <w:t>9</w:t>
            </w:r>
            <w:r>
              <w:rPr>
                <w:rFonts w:hint="default" w:ascii="Times New Roman" w:hAnsi="Times New Roman" w:eastAsia="宋体" w:cs="Times New Roman"/>
                <w:b/>
                <w:bCs/>
                <w:color w:val="auto"/>
                <w:spacing w:val="-2"/>
                <w:kern w:val="2"/>
                <w:sz w:val="24"/>
                <w:szCs w:val="24"/>
                <w:lang w:val="en-US" w:eastAsia="zh-CN" w:bidi="ar-SA"/>
              </w:rPr>
              <w:t xml:space="preserve">    项目油库选址</w:t>
            </w:r>
            <w:r>
              <w:rPr>
                <w:rFonts w:hint="eastAsia" w:cs="Times New Roman"/>
                <w:b/>
                <w:bCs/>
                <w:color w:val="auto"/>
                <w:spacing w:val="-2"/>
                <w:kern w:val="2"/>
                <w:sz w:val="24"/>
                <w:szCs w:val="24"/>
                <w:lang w:val="en-US" w:eastAsia="zh-CN" w:bidi="ar-SA"/>
              </w:rPr>
              <w:t>与周边环境情况一览表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659"/>
              <w:gridCol w:w="3959"/>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序号</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《石油库设计规范》（GB50074-2014）选址要求</w:t>
                  </w:r>
                </w:p>
              </w:tc>
              <w:tc>
                <w:tcPr>
                  <w:tcW w:w="2456"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本项目情况</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1</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符合城镇规划、环保要求、防火要求和职业卫生的要求，且交通运输方便</w:t>
                  </w:r>
                </w:p>
              </w:tc>
              <w:tc>
                <w:tcPr>
                  <w:tcW w:w="2456"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eastAsia" w:ascii="Times New Roman" w:hAnsi="Times New Roman" w:eastAsia="宋体" w:cs="Times New Roman"/>
                      <w:bCs/>
                      <w:color w:val="auto"/>
                      <w:spacing w:val="-2"/>
                      <w:kern w:val="2"/>
                      <w:sz w:val="21"/>
                      <w:szCs w:val="21"/>
                      <w:lang w:val="en-US" w:eastAsia="zh-CN" w:bidi="ar-SA"/>
                    </w:rPr>
                    <w:t>项目符合</w:t>
                  </w:r>
                  <w:r>
                    <w:rPr>
                      <w:rFonts w:hint="eastAsia" w:cs="Times New Roman"/>
                      <w:bCs/>
                      <w:color w:val="auto"/>
                      <w:spacing w:val="-2"/>
                      <w:kern w:val="2"/>
                      <w:sz w:val="21"/>
                      <w:szCs w:val="21"/>
                      <w:lang w:val="en-US" w:eastAsia="zh-CN" w:bidi="ar-SA"/>
                    </w:rPr>
                    <w:t>园区</w:t>
                  </w:r>
                  <w:r>
                    <w:rPr>
                      <w:rFonts w:hint="eastAsia" w:ascii="Times New Roman" w:hAnsi="Times New Roman" w:eastAsia="宋体" w:cs="Times New Roman"/>
                      <w:bCs/>
                      <w:color w:val="auto"/>
                      <w:spacing w:val="-2"/>
                      <w:kern w:val="2"/>
                      <w:sz w:val="21"/>
                      <w:szCs w:val="21"/>
                      <w:lang w:val="en-US" w:eastAsia="zh-CN" w:bidi="ar-SA"/>
                    </w:rPr>
                    <w:t>规划；</w:t>
                  </w:r>
                  <w:r>
                    <w:rPr>
                      <w:rFonts w:hint="default" w:ascii="Times New Roman" w:hAnsi="Times New Roman" w:eastAsia="宋体" w:cs="Times New Roman"/>
                      <w:bCs/>
                      <w:color w:val="auto"/>
                      <w:spacing w:val="-2"/>
                      <w:kern w:val="2"/>
                      <w:sz w:val="21"/>
                      <w:szCs w:val="21"/>
                      <w:lang w:val="en-US" w:eastAsia="zh-CN" w:bidi="ar-SA"/>
                    </w:rPr>
                    <w:t>东南侧为魏复路和相渝铁路，</w:t>
                  </w:r>
                  <w:r>
                    <w:rPr>
                      <w:rFonts w:hint="eastAsia" w:cs="Times New Roman"/>
                      <w:bCs/>
                      <w:color w:val="auto"/>
                      <w:spacing w:val="-2"/>
                      <w:kern w:val="2"/>
                      <w:sz w:val="21"/>
                      <w:szCs w:val="21"/>
                      <w:lang w:val="en-US" w:eastAsia="zh-CN" w:bidi="ar-SA"/>
                    </w:rPr>
                    <w:t>园区外围有双新公路、魏复路等道路对外联系，交通便利</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2</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具备良好地质条件，不得选择在有土崩、断层、滑坡、沼泽、流沙及泥石流的地区和地下矿藏开采后有可能塌陷的地区</w:t>
                  </w:r>
                </w:p>
              </w:tc>
              <w:tc>
                <w:tcPr>
                  <w:tcW w:w="2456"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场区未发现任何土崩、断层、滑坡、沼泽、流沙及泥石流的地区，且项目所在</w:t>
                  </w:r>
                  <w:r>
                    <w:rPr>
                      <w:rFonts w:hint="eastAsia" w:cs="Times New Roman"/>
                      <w:bCs/>
                      <w:color w:val="auto"/>
                      <w:spacing w:val="-2"/>
                      <w:kern w:val="2"/>
                      <w:sz w:val="21"/>
                      <w:szCs w:val="21"/>
                      <w:lang w:val="en-US" w:eastAsia="zh-CN" w:bidi="ar-SA"/>
                    </w:rPr>
                    <w:t>园区为物流园区，</w:t>
                  </w:r>
                  <w:r>
                    <w:rPr>
                      <w:rFonts w:hint="default" w:ascii="Times New Roman" w:hAnsi="Times New Roman" w:eastAsia="宋体" w:cs="Times New Roman"/>
                      <w:bCs/>
                      <w:color w:val="auto"/>
                      <w:spacing w:val="-2"/>
                      <w:kern w:val="2"/>
                      <w:sz w:val="21"/>
                      <w:szCs w:val="21"/>
                      <w:lang w:val="en-US" w:eastAsia="zh-CN" w:bidi="ar-SA"/>
                    </w:rPr>
                    <w:t>不存在矿藏开采</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3</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一、二、三级石油库的库址，不得选在抗震设防烈度为9度以上的地区</w:t>
                  </w:r>
                </w:p>
              </w:tc>
              <w:tc>
                <w:tcPr>
                  <w:tcW w:w="2456"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根据国家标准《建筑抗震设计规范》（GB50011-2010（2016版））的规定，该地抗震设防烈度为6度，设计基本地震加速度值为0.05g，设计地震分组为第一组</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4</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二、三级石油库防洪标准应按重现期不小于50年设计</w:t>
                  </w:r>
                </w:p>
              </w:tc>
              <w:tc>
                <w:tcPr>
                  <w:tcW w:w="2456"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建成后场地标高为380m，厂址2000m范围内无大型河流</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5</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石油库的库址应具备满足生产、消防、生活所需水源和电源的条件，还应具备污水排放的条件</w:t>
                  </w:r>
                </w:p>
              </w:tc>
              <w:tc>
                <w:tcPr>
                  <w:tcW w:w="2456"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eastAsia" w:cs="Times New Roman"/>
                      <w:bCs/>
                      <w:color w:val="auto"/>
                      <w:spacing w:val="-2"/>
                      <w:kern w:val="2"/>
                      <w:sz w:val="21"/>
                      <w:szCs w:val="21"/>
                      <w:lang w:val="en-US" w:eastAsia="zh-CN" w:bidi="ar-SA"/>
                    </w:rPr>
                    <w:t>本项目</w:t>
                  </w:r>
                  <w:r>
                    <w:rPr>
                      <w:rFonts w:hint="default" w:ascii="Times New Roman" w:hAnsi="Times New Roman" w:eastAsia="宋体" w:cs="Times New Roman"/>
                      <w:bCs/>
                      <w:color w:val="auto"/>
                      <w:spacing w:val="-2"/>
                      <w:kern w:val="2"/>
                      <w:sz w:val="21"/>
                      <w:szCs w:val="21"/>
                      <w:lang w:val="en-US" w:eastAsia="zh-CN" w:bidi="ar-SA"/>
                    </w:rPr>
                    <w:t>生产</w:t>
                  </w:r>
                  <w:r>
                    <w:rPr>
                      <w:rFonts w:hint="eastAsia" w:cs="Times New Roman"/>
                      <w:bCs/>
                      <w:color w:val="auto"/>
                      <w:spacing w:val="-2"/>
                      <w:kern w:val="2"/>
                      <w:sz w:val="21"/>
                      <w:szCs w:val="21"/>
                      <w:lang w:val="en-US" w:eastAsia="zh-CN" w:bidi="ar-SA"/>
                    </w:rPr>
                    <w:t>用水</w:t>
                  </w:r>
                  <w:r>
                    <w:rPr>
                      <w:rFonts w:hint="default" w:ascii="Times New Roman" w:hAnsi="Times New Roman" w:eastAsia="宋体" w:cs="Times New Roman"/>
                      <w:bCs/>
                      <w:color w:val="auto"/>
                      <w:spacing w:val="-2"/>
                      <w:kern w:val="2"/>
                      <w:sz w:val="21"/>
                      <w:szCs w:val="21"/>
                      <w:lang w:val="en-US" w:eastAsia="zh-CN" w:bidi="ar-SA"/>
                    </w:rPr>
                    <w:t>、生活用水</w:t>
                  </w:r>
                  <w:r>
                    <w:rPr>
                      <w:rFonts w:hint="eastAsia" w:cs="Times New Roman"/>
                      <w:bCs/>
                      <w:color w:val="auto"/>
                      <w:spacing w:val="-2"/>
                      <w:kern w:val="2"/>
                      <w:sz w:val="21"/>
                      <w:szCs w:val="21"/>
                      <w:lang w:val="en-US" w:eastAsia="zh-CN" w:bidi="ar-SA"/>
                    </w:rPr>
                    <w:t>均由</w:t>
                  </w:r>
                  <w:r>
                    <w:rPr>
                      <w:rFonts w:hint="default" w:ascii="Times New Roman" w:hAnsi="Times New Roman" w:eastAsia="宋体" w:cs="Times New Roman"/>
                      <w:bCs/>
                      <w:color w:val="auto"/>
                      <w:spacing w:val="-2"/>
                      <w:kern w:val="2"/>
                      <w:sz w:val="21"/>
                      <w:szCs w:val="21"/>
                      <w:lang w:val="en-US" w:eastAsia="zh-CN" w:bidi="ar-SA"/>
                    </w:rPr>
                    <w:t>市政管网</w:t>
                  </w:r>
                  <w:r>
                    <w:rPr>
                      <w:rFonts w:hint="eastAsia" w:cs="Times New Roman"/>
                      <w:bCs/>
                      <w:color w:val="auto"/>
                      <w:spacing w:val="-2"/>
                      <w:kern w:val="2"/>
                      <w:sz w:val="21"/>
                      <w:szCs w:val="21"/>
                      <w:lang w:val="en-US" w:eastAsia="zh-CN" w:bidi="ar-SA"/>
                    </w:rPr>
                    <w:t>提供</w:t>
                  </w:r>
                  <w:r>
                    <w:rPr>
                      <w:rFonts w:hint="default" w:ascii="Times New Roman" w:hAnsi="Times New Roman" w:eastAsia="宋体" w:cs="Times New Roman"/>
                      <w:bCs/>
                      <w:color w:val="auto"/>
                      <w:spacing w:val="-2"/>
                      <w:kern w:val="2"/>
                      <w:sz w:val="21"/>
                      <w:szCs w:val="21"/>
                      <w:lang w:val="en-US" w:eastAsia="zh-CN" w:bidi="ar-SA"/>
                    </w:rPr>
                    <w:t>，满足要求；</w:t>
                  </w:r>
                  <w:r>
                    <w:rPr>
                      <w:rFonts w:hint="eastAsia" w:cs="Times New Roman"/>
                      <w:bCs/>
                      <w:color w:val="auto"/>
                      <w:spacing w:val="-2"/>
                      <w:kern w:val="2"/>
                      <w:sz w:val="21"/>
                      <w:szCs w:val="21"/>
                      <w:lang w:val="en-US" w:eastAsia="zh-CN" w:bidi="ar-SA"/>
                    </w:rPr>
                    <w:t>双龙镇污水处理厂扩建完成前，生活污水（食堂废水经隔油池处理）经化粪池处理后定期清掏，初期雨水、地面冲洗水、夏季罐体降温喷淋水经库区废水处理站处理后用于库区绿化和泼洒抑尘；双龙镇污水处理厂扩建完成后，生活污水（食堂废水经隔油池处理）经“化粪池+</w:t>
                  </w:r>
                  <w:r>
                    <w:rPr>
                      <w:rFonts w:hint="default" w:ascii="Times New Roman" w:hAnsi="Times New Roman" w:eastAsia="宋体" w:cs="Times New Roman"/>
                      <w:bCs/>
                      <w:color w:val="auto"/>
                      <w:spacing w:val="-2"/>
                      <w:kern w:val="2"/>
                      <w:sz w:val="21"/>
                      <w:szCs w:val="21"/>
                      <w:lang w:val="en-US" w:eastAsia="zh-CN" w:bidi="ar-SA"/>
                    </w:rPr>
                    <w:t>地埋式生活污水处理装置</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处理后</w:t>
                  </w:r>
                  <w:r>
                    <w:rPr>
                      <w:rFonts w:hint="eastAsia" w:ascii="Times New Roman" w:hAnsi="Times New Roman" w:eastAsia="宋体" w:cs="Times New Roman"/>
                      <w:bCs/>
                      <w:color w:val="auto"/>
                      <w:spacing w:val="-2"/>
                      <w:kern w:val="2"/>
                      <w:sz w:val="21"/>
                      <w:szCs w:val="21"/>
                      <w:lang w:val="en-US" w:eastAsia="zh-CN" w:bidi="ar-SA"/>
                    </w:rPr>
                    <w:t>通过园区管网</w:t>
                  </w:r>
                  <w:r>
                    <w:rPr>
                      <w:rFonts w:hint="default" w:ascii="Times New Roman" w:hAnsi="Times New Roman" w:eastAsia="宋体" w:cs="Times New Roman"/>
                      <w:bCs/>
                      <w:color w:val="auto"/>
                      <w:spacing w:val="-2"/>
                      <w:kern w:val="2"/>
                      <w:sz w:val="21"/>
                      <w:szCs w:val="21"/>
                      <w:lang w:val="en-US" w:eastAsia="zh-CN" w:bidi="ar-SA"/>
                    </w:rPr>
                    <w:t>排至</w:t>
                  </w:r>
                  <w:r>
                    <w:rPr>
                      <w:rFonts w:hint="eastAsia" w:ascii="Times New Roman" w:hAnsi="Times New Roman" w:eastAsia="宋体" w:cs="Times New Roman"/>
                      <w:bCs/>
                      <w:color w:val="auto"/>
                      <w:spacing w:val="-2"/>
                      <w:kern w:val="2"/>
                      <w:sz w:val="21"/>
                      <w:szCs w:val="21"/>
                      <w:lang w:val="en-US" w:eastAsia="zh-CN" w:bidi="ar-SA"/>
                    </w:rPr>
                    <w:t>双龙镇污水处理厂处理</w:t>
                  </w:r>
                  <w:r>
                    <w:rPr>
                      <w:rFonts w:hint="default" w:ascii="Times New Roman" w:hAnsi="Times New Roman" w:eastAsia="宋体" w:cs="Times New Roman"/>
                      <w:bCs/>
                      <w:color w:val="auto"/>
                      <w:spacing w:val="-2"/>
                      <w:kern w:val="2"/>
                      <w:sz w:val="21"/>
                      <w:szCs w:val="21"/>
                      <w:lang w:val="en-US" w:eastAsia="zh-CN" w:bidi="ar-SA"/>
                    </w:rPr>
                    <w:t>；</w:t>
                  </w:r>
                  <w:r>
                    <w:rPr>
                      <w:rFonts w:hint="eastAsia" w:cs="Times New Roman"/>
                      <w:bCs/>
                      <w:color w:val="auto"/>
                      <w:spacing w:val="-2"/>
                      <w:kern w:val="2"/>
                      <w:sz w:val="21"/>
                      <w:szCs w:val="21"/>
                      <w:lang w:val="en-US" w:eastAsia="zh-CN" w:bidi="ar-SA"/>
                    </w:rPr>
                    <w:t>初期雨水、地面冲洗水、夏季罐体降温喷淋水经库区废水处理站处理后</w:t>
                  </w:r>
                  <w:r>
                    <w:rPr>
                      <w:rFonts w:hint="eastAsia" w:ascii="Times New Roman" w:hAnsi="Times New Roman" w:eastAsia="宋体" w:cs="Times New Roman"/>
                      <w:bCs/>
                      <w:color w:val="auto"/>
                      <w:spacing w:val="-2"/>
                      <w:kern w:val="2"/>
                      <w:sz w:val="21"/>
                      <w:szCs w:val="21"/>
                      <w:lang w:val="en-US" w:eastAsia="zh-CN" w:bidi="ar-SA"/>
                    </w:rPr>
                    <w:t>经园区管网同生活污水一起排入双龙镇污水厂处理</w:t>
                  </w:r>
                  <w:r>
                    <w:rPr>
                      <w:rFonts w:hint="default" w:ascii="Times New Roman" w:hAnsi="Times New Roman" w:eastAsia="宋体"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highlight w:val="none"/>
                      <w:lang w:val="en-US" w:eastAsia="zh-CN" w:bidi="ar-SA"/>
                    </w:rPr>
                    <w:t>消防、事故废水</w:t>
                  </w:r>
                  <w:r>
                    <w:rPr>
                      <w:rFonts w:hint="eastAsia" w:cs="Times New Roman"/>
                      <w:bCs/>
                      <w:color w:val="auto"/>
                      <w:spacing w:val="-2"/>
                      <w:kern w:val="2"/>
                      <w:sz w:val="21"/>
                      <w:szCs w:val="21"/>
                      <w:highlight w:val="none"/>
                      <w:lang w:val="en-US" w:eastAsia="zh-CN" w:bidi="ar-SA"/>
                    </w:rPr>
                    <w:t>分批排入污水处理站处理</w:t>
                  </w:r>
                  <w:r>
                    <w:rPr>
                      <w:rFonts w:hint="default" w:ascii="Times New Roman" w:hAnsi="Times New Roman" w:eastAsia="宋体" w:cs="Times New Roman"/>
                      <w:bCs/>
                      <w:color w:val="auto"/>
                      <w:spacing w:val="-2"/>
                      <w:kern w:val="2"/>
                      <w:sz w:val="21"/>
                      <w:szCs w:val="21"/>
                      <w:lang w:val="en-US" w:eastAsia="zh-CN" w:bidi="ar-SA"/>
                    </w:rPr>
                    <w:t>；化验室废酸、碱、化学药剂和废渣由化验室统一收集暂存于化验废液集存池，</w:t>
                  </w:r>
                  <w:r>
                    <w:rPr>
                      <w:rFonts w:hint="eastAsia" w:cs="Times New Roman"/>
                      <w:bCs/>
                      <w:color w:val="auto"/>
                      <w:spacing w:val="-2"/>
                      <w:kern w:val="2"/>
                      <w:sz w:val="21"/>
                      <w:szCs w:val="21"/>
                      <w:lang w:val="en-US" w:eastAsia="zh-CN" w:bidi="ar-SA"/>
                    </w:rPr>
                    <w:t>委托有资质单位处理；储罐清洗废水、罐底切水暂存于危废间，委托有资质单位处理；</w:t>
                  </w:r>
                  <w:r>
                    <w:rPr>
                      <w:rFonts w:hint="default" w:ascii="Times New Roman" w:hAnsi="Times New Roman" w:eastAsia="宋体" w:cs="Times New Roman"/>
                      <w:bCs/>
                      <w:color w:val="auto"/>
                      <w:spacing w:val="-2"/>
                      <w:kern w:val="2"/>
                      <w:sz w:val="21"/>
                      <w:szCs w:val="21"/>
                      <w:lang w:val="en-US" w:eastAsia="zh-CN" w:bidi="ar-SA"/>
                    </w:rPr>
                    <w:t>用电引自双龙物流园配电网。</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6</w:t>
                  </w:r>
                </w:p>
              </w:tc>
              <w:tc>
                <w:tcPr>
                  <w:tcW w:w="1650"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石油库与库外居住区、公共建筑物、工矿企业、交通线的安全距离</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不得小于表</w:t>
                  </w:r>
                  <w:r>
                    <w:rPr>
                      <w:rFonts w:hint="eastAsia" w:cs="Times New Roman"/>
                      <w:bCs/>
                      <w:color w:val="auto"/>
                      <w:spacing w:val="-2"/>
                      <w:kern w:val="2"/>
                      <w:sz w:val="21"/>
                      <w:szCs w:val="21"/>
                      <w:lang w:val="en-US" w:eastAsia="zh-CN" w:bidi="ar-SA"/>
                    </w:rPr>
                    <w:t>4.0.10</w:t>
                  </w:r>
                  <w:r>
                    <w:rPr>
                      <w:rFonts w:hint="default" w:ascii="Times New Roman" w:hAnsi="Times New Roman" w:eastAsia="宋体" w:cs="Times New Roman"/>
                      <w:bCs/>
                      <w:color w:val="auto"/>
                      <w:spacing w:val="-2"/>
                      <w:kern w:val="2"/>
                      <w:sz w:val="21"/>
                      <w:szCs w:val="21"/>
                      <w:lang w:val="en-US" w:eastAsia="zh-CN" w:bidi="ar-SA"/>
                    </w:rPr>
                    <w:t>的规定</w:t>
                  </w:r>
                </w:p>
              </w:tc>
              <w:tc>
                <w:tcPr>
                  <w:tcW w:w="2456"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库区距离现状双龙场镇750米，距离双龙镇场镇规划区范围线750米，距离双龙火车站最近处300米，距离复魏线、湘渝铁路</w:t>
                  </w:r>
                  <w:r>
                    <w:rPr>
                      <w:rFonts w:hint="eastAsia" w:cs="Times New Roman"/>
                      <w:bCs/>
                      <w:color w:val="auto"/>
                      <w:spacing w:val="-2"/>
                      <w:kern w:val="2"/>
                      <w:sz w:val="21"/>
                      <w:szCs w:val="21"/>
                      <w:lang w:val="en-US" w:eastAsia="zh-CN" w:bidi="ar-SA"/>
                    </w:rPr>
                    <w:t>230</w:t>
                  </w:r>
                  <w:r>
                    <w:rPr>
                      <w:rFonts w:hint="default" w:ascii="Times New Roman" w:hAnsi="Times New Roman" w:eastAsia="宋体" w:cs="Times New Roman"/>
                      <w:bCs/>
                      <w:color w:val="auto"/>
                      <w:spacing w:val="-2"/>
                      <w:kern w:val="2"/>
                      <w:sz w:val="21"/>
                      <w:szCs w:val="21"/>
                      <w:lang w:val="en-US" w:eastAsia="zh-CN" w:bidi="ar-SA"/>
                    </w:rPr>
                    <w:t>m，</w:t>
                  </w:r>
                  <w:r>
                    <w:rPr>
                      <w:rFonts w:hint="eastAsia" w:cs="Times New Roman"/>
                      <w:bCs/>
                      <w:color w:val="auto"/>
                      <w:spacing w:val="-2"/>
                      <w:kern w:val="2"/>
                      <w:sz w:val="21"/>
                      <w:szCs w:val="21"/>
                      <w:lang w:val="en-US" w:eastAsia="zh-CN" w:bidi="ar-SA"/>
                    </w:rPr>
                    <w:t>西西北距达州市金博士水也有限公司120m，</w:t>
                  </w:r>
                  <w:r>
                    <w:rPr>
                      <w:rFonts w:hint="default" w:ascii="Times New Roman" w:hAnsi="Times New Roman" w:eastAsia="宋体" w:cs="Times New Roman"/>
                      <w:bCs/>
                      <w:color w:val="auto"/>
                      <w:spacing w:val="-2"/>
                      <w:kern w:val="2"/>
                      <w:sz w:val="21"/>
                      <w:szCs w:val="21"/>
                      <w:lang w:val="en-US" w:eastAsia="zh-CN" w:bidi="ar-SA"/>
                    </w:rPr>
                    <w:t>油库区评价范围内存在居民11户，油库建设前实施搬迁</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进行货币化安置。</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bl>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eastAsia" w:ascii="Times New Roman" w:hAnsi="Times New Roman" w:eastAsia="宋体" w:cs="Times New Roman"/>
                <w:bCs/>
                <w:color w:val="auto"/>
                <w:spacing w:val="-2"/>
                <w:kern w:val="2"/>
                <w:sz w:val="24"/>
                <w:szCs w:val="24"/>
                <w:lang w:val="en-US" w:eastAsia="zh-CN" w:bidi="ar-SA"/>
              </w:rPr>
              <w:t>由上表可知，本项目符合</w:t>
            </w:r>
            <w:r>
              <w:rPr>
                <w:rFonts w:hint="default" w:ascii="Times New Roman" w:hAnsi="Times New Roman" w:eastAsia="宋体" w:cs="Times New Roman"/>
                <w:bCs/>
                <w:color w:val="auto"/>
                <w:spacing w:val="-2"/>
                <w:kern w:val="2"/>
                <w:sz w:val="24"/>
                <w:szCs w:val="24"/>
                <w:lang w:val="en-US" w:eastAsia="zh-CN" w:bidi="ar-SA"/>
              </w:rPr>
              <w:t>《石油库设计规范》（GB50074-2014）选址要求</w:t>
            </w:r>
            <w:r>
              <w:rPr>
                <w:rFonts w:hint="eastAsia" w:ascii="Times New Roman" w:hAnsi="Times New Roman" w:eastAsia="宋体" w:cs="Times New Roman"/>
                <w:bCs/>
                <w:color w:val="auto"/>
                <w:spacing w:val="-2"/>
                <w:kern w:val="2"/>
                <w:sz w:val="24"/>
                <w:szCs w:val="24"/>
                <w:lang w:val="en-US" w:eastAsia="zh-CN" w:bidi="ar-SA"/>
              </w:rPr>
              <w:t>。</w:t>
            </w:r>
          </w:p>
          <w:p>
            <w:pPr>
              <w:keepNext w:val="0"/>
              <w:keepLines w:val="0"/>
              <w:pageBreakBefore w:val="0"/>
              <w:widowControl w:val="0"/>
              <w:kinsoku/>
              <w:wordWrap/>
              <w:overflowPunct/>
              <w:topLinePunct w:val="0"/>
              <w:autoSpaceDE/>
              <w:autoSpaceDN/>
              <w:bidi w:val="0"/>
              <w:spacing w:line="440" w:lineRule="exact"/>
              <w:ind w:firstLine="474" w:firstLineChars="200"/>
              <w:jc w:val="both"/>
              <w:textAlignment w:val="auto"/>
              <w:rPr>
                <w:rFonts w:hint="default" w:ascii="Times New Roman" w:hAnsi="Times New Roman" w:eastAsia="宋体"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（2）外坏境相容性分析</w:t>
            </w:r>
          </w:p>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eastAsia" w:cs="Times New Roman"/>
                <w:bCs/>
                <w:color w:val="auto"/>
                <w:spacing w:val="-2"/>
                <w:kern w:val="2"/>
                <w:sz w:val="24"/>
                <w:szCs w:val="24"/>
                <w:lang w:val="en-US" w:eastAsia="zh-CN" w:bidi="ar-SA"/>
              </w:rPr>
            </w:pPr>
            <w:r>
              <w:rPr>
                <w:rFonts w:hint="eastAsia" w:ascii="Times New Roman" w:hAnsi="Times New Roman" w:eastAsia="宋体" w:cs="Times New Roman"/>
                <w:bCs/>
                <w:color w:val="auto"/>
                <w:spacing w:val="-2"/>
                <w:kern w:val="2"/>
                <w:sz w:val="24"/>
                <w:szCs w:val="24"/>
                <w:lang w:val="en-US" w:eastAsia="zh-CN" w:bidi="ar-SA"/>
              </w:rPr>
              <w:t>项目位于</w:t>
            </w:r>
            <w:r>
              <w:rPr>
                <w:rFonts w:hint="eastAsia" w:cs="Times New Roman"/>
                <w:bCs/>
                <w:color w:val="auto"/>
                <w:spacing w:val="-2"/>
                <w:kern w:val="2"/>
                <w:sz w:val="24"/>
                <w:szCs w:val="24"/>
                <w:lang w:val="en-US" w:eastAsia="zh-CN" w:bidi="ar-SA"/>
              </w:rPr>
              <w:t>四川双龙铁路物流园，该地交通便利，符合园区规划、环境保护和防火安全要求，厂址周边无明显环境制约因素，周围敏感点主要以住户为主。项目西北120m处为达州市金博士水业有限公司，西测900m处为达州市殡仪馆和公墓，南侧为铁路货场、230处为湘渝铁路和魏复线，东侧300m处为双龙火车站，西侧为改线后的双新公路，泄洪沟位于项目西部，北部为空地；</w:t>
            </w:r>
          </w:p>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eastAsia"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项目所在区域占用了原双新公路，拟将双新公路进行改线，改线后的双线公路道路宽15米，双新公路改线完成后，改线线路图见图1-9。</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Cs/>
                <w:color w:val="auto"/>
                <w:spacing w:val="-2"/>
                <w:kern w:val="2"/>
                <w:sz w:val="24"/>
                <w:szCs w:val="24"/>
                <w:lang w:val="en-US" w:eastAsia="zh-CN" w:bidi="ar-SA"/>
              </w:rPr>
            </w:pPr>
            <w:r>
              <w:rPr>
                <w:rFonts w:hint="eastAsia" w:ascii="Times New Roman" w:hAnsi="Times New Roman" w:eastAsia="宋体" w:cs="Times New Roman"/>
                <w:bCs/>
                <w:color w:val="auto"/>
                <w:spacing w:val="-2"/>
                <w:kern w:val="2"/>
                <w:sz w:val="24"/>
                <w:szCs w:val="24"/>
                <w:lang w:val="en-US" w:eastAsia="zh-CN" w:bidi="ar-SA"/>
              </w:rPr>
              <w:drawing>
                <wp:inline distT="0" distB="0" distL="114300" distR="114300">
                  <wp:extent cx="5060950" cy="3100705"/>
                  <wp:effectExtent l="12700" t="12700" r="12700" b="29845"/>
                  <wp:docPr id="38" name="图片 38" descr="双新公路改线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双新公路改线示意图"/>
                          <pic:cNvPicPr>
                            <a:picLocks noChangeAspect="1"/>
                          </pic:cNvPicPr>
                        </pic:nvPicPr>
                        <pic:blipFill>
                          <a:blip r:embed="rId17"/>
                          <a:stretch>
                            <a:fillRect/>
                          </a:stretch>
                        </pic:blipFill>
                        <pic:spPr>
                          <a:xfrm>
                            <a:off x="0" y="0"/>
                            <a:ext cx="5060950" cy="3100705"/>
                          </a:xfrm>
                          <a:prstGeom prst="rect">
                            <a:avLst/>
                          </a:prstGeom>
                          <a:ln w="1270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spacing w:line="440" w:lineRule="exact"/>
              <w:ind w:firstLine="474" w:firstLineChars="200"/>
              <w:jc w:val="center"/>
              <w:textAlignment w:val="auto"/>
              <w:rPr>
                <w:rFonts w:hint="default" w:ascii="Times New Roman" w:hAnsi="Times New Roman" w:eastAsia="宋体" w:cs="Times New Roman"/>
                <w:bCs/>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图1-9  双新公路改线示意图</w:t>
            </w:r>
          </w:p>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根据《烟花爆竹工程设计安全规范GB50161-2009》烟花爆竹生产企业的燃放试验场与危险品仓库及易燃易爆液体库的最小允许距离取最大值为</w:t>
            </w:r>
            <w:r>
              <w:rPr>
                <w:rFonts w:hint="default" w:cs="Times New Roman"/>
                <w:bCs/>
                <w:color w:val="auto"/>
                <w:spacing w:val="-2"/>
                <w:kern w:val="2"/>
                <w:sz w:val="24"/>
                <w:szCs w:val="24"/>
                <w:lang w:val="en-US" w:eastAsia="zh-CN" w:bidi="ar-SA"/>
              </w:rPr>
              <w:t>800</w:t>
            </w:r>
            <w:r>
              <w:rPr>
                <w:rFonts w:hint="eastAsia" w:cs="Times New Roman"/>
                <w:bCs/>
                <w:color w:val="auto"/>
                <w:spacing w:val="-2"/>
                <w:kern w:val="2"/>
                <w:sz w:val="24"/>
                <w:szCs w:val="24"/>
                <w:lang w:val="en-US" w:eastAsia="zh-CN" w:bidi="ar-SA"/>
              </w:rPr>
              <w:t>米，达州市殡仪馆距离库区900米，且中间由一座高程为560m的山脊阻隔，两项目高程相差150m，因此，殡仪馆项目对本项目不会产生不利影响。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drawing>
                <wp:inline distT="0" distB="0" distL="114300" distR="114300">
                  <wp:extent cx="2495550" cy="2160270"/>
                  <wp:effectExtent l="12700" t="12700" r="25400" b="17780"/>
                  <wp:docPr id="51" name="图片 51" descr="本项目与殡仪馆项目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本项目与殡仪馆项目位置关系图"/>
                          <pic:cNvPicPr>
                            <a:picLocks noChangeAspect="1"/>
                          </pic:cNvPicPr>
                        </pic:nvPicPr>
                        <pic:blipFill>
                          <a:blip r:embed="rId18"/>
                          <a:stretch>
                            <a:fillRect/>
                          </a:stretch>
                        </pic:blipFill>
                        <pic:spPr>
                          <a:xfrm>
                            <a:off x="0" y="0"/>
                            <a:ext cx="2495550" cy="2160270"/>
                          </a:xfrm>
                          <a:prstGeom prst="rect">
                            <a:avLst/>
                          </a:prstGeom>
                          <a:ln w="12700">
                            <a:solidFill>
                              <a:schemeClr val="tx1"/>
                            </a:solidFill>
                          </a:ln>
                        </pic:spPr>
                      </pic:pic>
                    </a:graphicData>
                  </a:graphic>
                </wp:inline>
              </w:drawing>
            </w:r>
            <w:r>
              <w:rPr>
                <w:rFonts w:hint="eastAsia" w:cs="Times New Roman"/>
                <w:bCs/>
                <w:color w:val="auto"/>
                <w:spacing w:val="-2"/>
                <w:kern w:val="2"/>
                <w:sz w:val="24"/>
                <w:szCs w:val="24"/>
                <w:lang w:val="en-US" w:eastAsia="zh-CN" w:bidi="ar-SA"/>
              </w:rPr>
              <w:drawing>
                <wp:inline distT="0" distB="0" distL="114300" distR="114300">
                  <wp:extent cx="2458720" cy="2160270"/>
                  <wp:effectExtent l="12700" t="12700" r="24130" b="17780"/>
                  <wp:docPr id="52" name="图片 52" descr="殡仪馆项目高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殡仪馆项目高差分布"/>
                          <pic:cNvPicPr>
                            <a:picLocks noChangeAspect="1"/>
                          </pic:cNvPicPr>
                        </pic:nvPicPr>
                        <pic:blipFill>
                          <a:blip r:embed="rId19"/>
                          <a:stretch>
                            <a:fillRect/>
                          </a:stretch>
                        </pic:blipFill>
                        <pic:spPr>
                          <a:xfrm>
                            <a:off x="0" y="0"/>
                            <a:ext cx="2458720" cy="2160270"/>
                          </a:xfrm>
                          <a:prstGeom prst="rect">
                            <a:avLst/>
                          </a:prstGeom>
                          <a:ln w="1270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spacing w:line="440" w:lineRule="exact"/>
              <w:ind w:firstLine="474" w:firstLineChars="200"/>
              <w:jc w:val="center"/>
              <w:textAlignment w:val="auto"/>
              <w:rPr>
                <w:rFonts w:hint="default"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图1-10  本项目与殡仪馆项目位置图</w:t>
            </w:r>
          </w:p>
          <w:p>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项目所在区域占用了石门河，为减少地质灾害的发生，规划在项目用地西侧现状河沟处设置泄洪沟，本次评价建议针对该项目做行洪论证报告，后续事宜以论证报告为准。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pacing w:val="-2"/>
                <w:kern w:val="2"/>
                <w:sz w:val="24"/>
                <w:szCs w:val="24"/>
                <w:lang w:val="en-US" w:eastAsia="zh-CN" w:bidi="ar-SA"/>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1023620</wp:posOffset>
                      </wp:positionH>
                      <wp:positionV relativeFrom="paragraph">
                        <wp:posOffset>1426845</wp:posOffset>
                      </wp:positionV>
                      <wp:extent cx="684530" cy="349250"/>
                      <wp:effectExtent l="189865" t="12700" r="20955" b="228600"/>
                      <wp:wrapNone/>
                      <wp:docPr id="50" name="圆角矩形标注 50"/>
                      <wp:cNvGraphicFramePr/>
                      <a:graphic xmlns:a="http://schemas.openxmlformats.org/drawingml/2006/main">
                        <a:graphicData uri="http://schemas.microsoft.com/office/word/2010/wordprocessingShape">
                          <wps:wsp>
                            <wps:cNvSpPr/>
                            <wps:spPr>
                              <a:xfrm>
                                <a:off x="0" y="0"/>
                                <a:ext cx="684530" cy="349250"/>
                              </a:xfrm>
                              <a:prstGeom prst="wedgeRoundRectCallout">
                                <a:avLst>
                                  <a:gd name="adj1" fmla="val -75881"/>
                                  <a:gd name="adj2" fmla="val 108545"/>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lang w:val="en-US" w:eastAsia="zh-CN"/>
                                    </w:rPr>
                                  </w:pPr>
                                  <w:r>
                                    <w:rPr>
                                      <w:rFonts w:hint="eastAsia"/>
                                      <w:b/>
                                      <w:bCs/>
                                      <w:lang w:val="en-US" w:eastAsia="zh-CN"/>
                                    </w:rPr>
                                    <w:t>泄洪沟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0.6pt;margin-top:112.35pt;height:27.5pt;width:53.9pt;z-index:251668480;v-text-anchor:middle;mso-width-relative:page;mso-height-relative:page;" fillcolor="#0C1CEA" filled="t" stroked="t" coordsize="21600,21600" o:gfxdata="UEsDBAoAAAAAAIdO4kAAAAAAAAAAAAAAAAAEAAAAZHJzL1BLAwQUAAAACACHTuJAXbdW8doAAAAL&#10;AQAADwAAAGRycy9kb3ducmV2LnhtbE2PTUvDQBCG74L/YRnBm91k0cSk2RQRRBAFbT3Y2zQ7JtHs&#10;bshum/bfO570Ni/z8H5Uq6MdxIGm0HunIV0kIMg13vSu1fC+ebi6BREiOoODd6ThRAFW9flZhaXx&#10;s3ujwzq2gk1cKFFDF+NYShmajiyGhR/J8e/TTxYjy6mVZsKZze0gVZJk0mLvOKHDke47ar7Xe6vh&#10;ZaPoBh+H7Ucx91+n8bW5M0/PWl9epMkSRKRj/IPhtz5Xh5o77fzemSAG1lmqGNWg1HUOggmVFbxu&#10;x0de5CDrSv7fUP8AUEsDBBQAAAAIAIdO4kB56BMmuAIAAH0FAAAOAAAAZHJzL2Uyb0RvYy54bWyt&#10;VM1u1DAQviPxDpbvbTbbZLtdNVutdilCqmjVgjh7HecH+Q/b2Wx5gHLnjATiApw58zgtPAZjJ223&#10;LYceuCQznvE3M994Zv9gLThaMWNrJTMcbw8wYpKqvJZlhl+/OtwaY2QdkTnhSrIMnzOLD6ZPn+y3&#10;esKGqlI8ZwYBiLSTVme4ck5PosjSiglit5VmEoyFMoI4UE0Z5Ya0gC54NBwMRlGrTK6NosxaOF10&#10;RtwjmscAqqKoKVso2ggmXYdqGCcOSrJVrS2ehmyLglF3XBSWOcQzDJW68IUgIC/9N5ruk0lpiK5q&#10;2qdAHpPCvZoEqSUEvYFaEEdQY+oHUKKmRllVuG2qRNQVEhiBKuLBPW7OKqJZqAWotvqGdPv/YOnL&#10;1YlBdZ7hFCiRREDHLz9d/Pn28ffnH5e/vl59+XD18zsCIzDVajuBC2f6xPSaBdGXvS6M8H8oCK0D&#10;u+c37LK1QxQOR+Mk3YEgFEw7yd6ww4xuL2tj3XOmBPJChluWl+xUNTI/hTbOCeeqcYFksjqyLrCd&#10;9ymT/G2MUSE4NG9FONraTcfjuO/uhtNw0ykejNMkfei0c8dpNBrteh9ItI8L0nWqPgmreJ0f1pwH&#10;xZTLOTcIkgAC5vH82ay/fMeNS9RmeJgmA08IgTEq4PmCKDS0wsoSI8JLmE/qTCj5zm37uCA+yQWx&#10;VZdMQOhz4RLq8d3s+uclt16u+6YuVX4Oj8Koblqspoc1QB0R606IAYYhZ1gg7hg+BVdQiOoljCpl&#10;3v/r3PvDqwUrRi2MGxT5riGGYcRfSHjPe3GSAKwLSpLuDkExm5blpkU2Yq6AYOg5ZBdE7+/4tVgY&#10;Jd7Anpn5qGAikkLsjs5embtuDcCmomw2C24wk5q4I3mmqQf3DZVq1jhV1M4/AU9Ux06vwFSGl9Fv&#10;ED/2m3rwut2a0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dt1bx2gAAAAsBAAAPAAAAAAAAAAEA&#10;IAAAACIAAABkcnMvZG93bnJldi54bWxQSwECFAAUAAAACACHTuJAeegTJrgCAAB9BQAADgAAAAAA&#10;AAABACAAAAApAQAAZHJzL2Uyb0RvYy54bWxQSwUGAAAAAAYABgBZAQAAUwYAAAAA&#10;" adj="-5590,34246,14400">
                      <v:fill on="t" focussize="0,0"/>
                      <v:stroke weight="2pt" color="#0C1CEA [3204]" joinstyle="round"/>
                      <v:imagedata o:title=""/>
                      <o:lock v:ext="edit" aspectratio="f"/>
                      <v:textbox>
                        <w:txbxContent>
                          <w:p>
                            <w:pPr>
                              <w:jc w:val="center"/>
                              <w:rPr>
                                <w:rFonts w:hint="default" w:eastAsia="宋体"/>
                                <w:b/>
                                <w:bCs/>
                                <w:lang w:val="en-US" w:eastAsia="zh-CN"/>
                              </w:rPr>
                            </w:pPr>
                            <w:r>
                              <w:rPr>
                                <w:rFonts w:hint="eastAsia"/>
                                <w:b/>
                                <w:bCs/>
                                <w:lang w:val="en-US" w:eastAsia="zh-CN"/>
                              </w:rPr>
                              <w:t>泄洪沟</w:t>
                            </w:r>
                          </w:p>
                        </w:txbxContent>
                      </v:textbox>
                    </v:shape>
                  </w:pict>
                </mc:Fallback>
              </mc:AlternateContent>
            </w:r>
            <w:r>
              <w:rPr>
                <w:rFonts w:hint="eastAsia" w:cs="Times New Roman"/>
                <w:bCs/>
                <w:color w:val="auto"/>
                <w:spacing w:val="-2"/>
                <w:kern w:val="2"/>
                <w:sz w:val="24"/>
                <w:szCs w:val="24"/>
                <w:lang w:val="en-US" w:eastAsia="zh-CN" w:bidi="ar-SA"/>
              </w:rPr>
              <w:drawing>
                <wp:inline distT="0" distB="0" distL="114300" distR="114300">
                  <wp:extent cx="5083175" cy="3237230"/>
                  <wp:effectExtent l="12700" t="12700" r="28575" b="26670"/>
                  <wp:docPr id="49" name="图片 49" descr="泄洪沟位置示意图---泄洪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泄洪沟位置示意图---泄洪沟"/>
                          <pic:cNvPicPr>
                            <a:picLocks noChangeAspect="1"/>
                          </pic:cNvPicPr>
                        </pic:nvPicPr>
                        <pic:blipFill>
                          <a:blip r:embed="rId20"/>
                          <a:stretch>
                            <a:fillRect/>
                          </a:stretch>
                        </pic:blipFill>
                        <pic:spPr>
                          <a:xfrm>
                            <a:off x="0" y="0"/>
                            <a:ext cx="5083175" cy="3237230"/>
                          </a:xfrm>
                          <a:prstGeom prst="rect">
                            <a:avLst/>
                          </a:prstGeom>
                          <a:ln w="12700">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spacing w:line="440" w:lineRule="exact"/>
              <w:ind w:firstLine="474" w:firstLineChars="200"/>
              <w:jc w:val="center"/>
              <w:textAlignment w:val="auto"/>
              <w:rPr>
                <w:rFonts w:hint="default" w:ascii="Times New Roman" w:hAnsi="Times New Roman" w:eastAsia="宋体"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图1-11  泄洪沟设置情况示意图</w:t>
            </w:r>
          </w:p>
          <w:p>
            <w:pPr>
              <w:keepNext w:val="0"/>
              <w:keepLines w:val="0"/>
              <w:pageBreakBefore w:val="0"/>
              <w:widowControl w:val="0"/>
              <w:kinsoku/>
              <w:wordWrap/>
              <w:overflowPunct/>
              <w:topLinePunct w:val="0"/>
              <w:autoSpaceDE/>
              <w:autoSpaceDN/>
              <w:bidi w:val="0"/>
              <w:adjustRightInd/>
              <w:snapToGrid/>
              <w:spacing w:line="440" w:lineRule="exact"/>
              <w:ind w:firstLine="472" w:firstLineChars="200"/>
              <w:jc w:val="both"/>
              <w:textAlignment w:val="auto"/>
              <w:rPr>
                <w:rFonts w:hint="default" w:ascii="Times New Roman" w:hAnsi="Times New Roman" w:eastAsia="宋体" w:cs="Times New Roman"/>
                <w:b w:val="0"/>
                <w:bCs/>
                <w:color w:val="auto"/>
                <w:spacing w:val="-2"/>
                <w:kern w:val="2"/>
                <w:sz w:val="24"/>
                <w:szCs w:val="24"/>
                <w:lang w:val="en-US" w:eastAsia="zh-CN" w:bidi="ar-SA"/>
              </w:rPr>
            </w:pPr>
            <w:r>
              <w:rPr>
                <w:rFonts w:hint="default" w:ascii="Times New Roman" w:hAnsi="Times New Roman" w:eastAsia="宋体" w:cs="Times New Roman"/>
                <w:b w:val="0"/>
                <w:bCs/>
                <w:color w:val="auto"/>
                <w:spacing w:val="-2"/>
                <w:kern w:val="2"/>
                <w:sz w:val="24"/>
                <w:szCs w:val="24"/>
                <w:lang w:val="en-US" w:eastAsia="zh-CN" w:bidi="ar-SA"/>
              </w:rPr>
              <w:t>根据现场调查</w:t>
            </w:r>
            <w:r>
              <w:rPr>
                <w:rFonts w:hint="eastAsia" w:cs="Times New Roman"/>
                <w:b w:val="0"/>
                <w:bCs/>
                <w:color w:val="auto"/>
                <w:spacing w:val="-2"/>
                <w:kern w:val="2"/>
                <w:sz w:val="24"/>
                <w:szCs w:val="24"/>
                <w:lang w:val="en-US" w:eastAsia="zh-CN" w:bidi="ar-SA"/>
              </w:rPr>
              <w:t>，</w:t>
            </w:r>
            <w:r>
              <w:rPr>
                <w:rFonts w:hint="default" w:ascii="Times New Roman" w:hAnsi="Times New Roman" w:eastAsia="宋体" w:cs="Times New Roman"/>
                <w:b w:val="0"/>
                <w:bCs/>
                <w:color w:val="auto"/>
                <w:spacing w:val="-2"/>
                <w:kern w:val="2"/>
                <w:sz w:val="24"/>
                <w:szCs w:val="24"/>
                <w:lang w:val="en-US" w:eastAsia="zh-CN" w:bidi="ar-SA"/>
              </w:rPr>
              <w:t>项目不涉及饮用水源保护区、自然保护区、风景名胜区、文物古迹、生态脆弱敏感区。综上所述，项目外环境关系现状、周边规划与本项目环境相容，无明显的环境制约因素。</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（3）</w:t>
            </w:r>
            <w:r>
              <w:rPr>
                <w:rFonts w:hint="default" w:ascii="Times New Roman" w:hAnsi="Times New Roman" w:eastAsia="宋体" w:cs="Times New Roman"/>
                <w:b/>
                <w:bCs w:val="0"/>
                <w:color w:val="auto"/>
                <w:spacing w:val="-2"/>
                <w:kern w:val="2"/>
                <w:sz w:val="24"/>
                <w:szCs w:val="24"/>
                <w:lang w:val="en-US" w:eastAsia="zh-CN" w:bidi="ar-SA"/>
              </w:rPr>
              <w:t>达州市城乡规划委员会2020年第六次会议</w:t>
            </w:r>
          </w:p>
          <w:p>
            <w:pPr>
              <w:keepNext w:val="0"/>
              <w:keepLines w:val="0"/>
              <w:pageBreakBefore w:val="0"/>
              <w:widowControl w:val="0"/>
              <w:kinsoku/>
              <w:wordWrap/>
              <w:overflowPunct/>
              <w:topLinePunct w:val="0"/>
              <w:autoSpaceDE/>
              <w:autoSpaceDN/>
              <w:bidi w:val="0"/>
              <w:adjustRightInd/>
              <w:snapToGrid/>
              <w:spacing w:line="440" w:lineRule="exact"/>
              <w:ind w:firstLine="472" w:firstLineChars="200"/>
              <w:jc w:val="both"/>
              <w:textAlignment w:val="auto"/>
              <w:rPr>
                <w:rFonts w:hint="default" w:ascii="Times New Roman" w:hAnsi="Times New Roman" w:eastAsia="宋体" w:cs="Times New Roman"/>
                <w:b w:val="0"/>
                <w:bCs/>
                <w:color w:val="auto"/>
                <w:spacing w:val="-2"/>
                <w:kern w:val="2"/>
                <w:sz w:val="24"/>
                <w:szCs w:val="24"/>
                <w:lang w:val="en-US" w:eastAsia="zh-CN" w:bidi="ar-SA"/>
              </w:rPr>
            </w:pPr>
            <w:r>
              <w:rPr>
                <w:rFonts w:hint="default" w:ascii="Times New Roman" w:hAnsi="Times New Roman" w:eastAsia="宋体" w:cs="Times New Roman"/>
                <w:b w:val="0"/>
                <w:bCs/>
                <w:color w:val="auto"/>
                <w:spacing w:val="-2"/>
                <w:kern w:val="2"/>
                <w:sz w:val="24"/>
                <w:szCs w:val="24"/>
                <w:lang w:val="en-US" w:eastAsia="zh-CN" w:bidi="ar-SA"/>
              </w:rPr>
              <w:t>2020年8月27日在市政府召开达州市城乡规划委员会2020年第六次会议，会议中对7101油库迁建项目选址论证方案作出以下内容：</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2"/>
                <w:kern w:val="2"/>
                <w:sz w:val="24"/>
                <w:szCs w:val="24"/>
                <w:lang w:val="en-US" w:eastAsia="zh-CN" w:bidi="ar-SA"/>
              </w:rPr>
              <w:t>会议原则同意项目选址于达州市通川区双龙铁路物流园区中部（野梨树湾，地块编号01-C-01-02），并将项目用地纳入《达州市国土空间总体规划》和《达州市环城路二期及环凤产业大道沿线区域控制性详细规划》中统筹考虑，用地性质为三类仓储用地。同时鉴于油库属于重大高危建设项目，会议要求项目须取得《地质灾害评估报告》、《安全评价报告》、《环境影响评价报告》批复文件后再予以供地建设。</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cs="Times New Roman"/>
                <w:b/>
                <w:bCs w:val="0"/>
                <w:color w:val="auto"/>
                <w:kern w:val="0"/>
                <w:sz w:val="24"/>
                <w:szCs w:val="24"/>
                <w:highlight w:val="none"/>
                <w:lang w:bidi="ar"/>
              </w:rPr>
            </w:pPr>
            <w:r>
              <w:rPr>
                <w:rFonts w:hint="default" w:ascii="Times New Roman" w:hAnsi="Times New Roman" w:eastAsia="宋体" w:cs="Times New Roman"/>
                <w:b/>
                <w:bCs w:val="0"/>
                <w:color w:val="auto"/>
                <w:spacing w:val="-2"/>
                <w:kern w:val="2"/>
                <w:sz w:val="24"/>
                <w:szCs w:val="24"/>
                <w:lang w:val="en-US" w:eastAsia="zh-CN" w:bidi="ar-SA"/>
              </w:rPr>
              <w:t>总体来说，</w:t>
            </w:r>
            <w:r>
              <w:rPr>
                <w:rFonts w:hint="eastAsia" w:ascii="Times New Roman" w:hAnsi="Times New Roman" w:eastAsia="宋体" w:cs="Times New Roman"/>
                <w:b/>
                <w:bCs w:val="0"/>
                <w:color w:val="auto"/>
                <w:spacing w:val="-2"/>
                <w:kern w:val="2"/>
                <w:sz w:val="24"/>
                <w:szCs w:val="24"/>
                <w:lang w:val="en-US" w:eastAsia="zh-CN" w:bidi="ar-SA"/>
              </w:rPr>
              <w:t>项目建成后，</w:t>
            </w:r>
            <w:r>
              <w:rPr>
                <w:rFonts w:hint="default" w:ascii="Times New Roman" w:hAnsi="Times New Roman" w:eastAsia="宋体" w:cs="Times New Roman"/>
                <w:b/>
                <w:bCs w:val="0"/>
                <w:color w:val="auto"/>
                <w:spacing w:val="-2"/>
                <w:kern w:val="2"/>
                <w:sz w:val="24"/>
                <w:szCs w:val="24"/>
                <w:lang w:val="en-US" w:eastAsia="zh-CN" w:bidi="ar-SA"/>
              </w:rPr>
              <w:t>对周边环境的影响不明显，项目选址从环保角度合理。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七</w:t>
            </w:r>
            <w:r>
              <w:rPr>
                <w:rFonts w:hint="eastAsia" w:ascii="Times New Roman" w:hAnsi="Times New Roman" w:eastAsia="宋体" w:cs="Times New Roman"/>
                <w:b/>
                <w:bCs/>
                <w:color w:val="auto"/>
                <w:sz w:val="24"/>
                <w:szCs w:val="24"/>
                <w:highlight w:val="none"/>
                <w:lang w:val="en-US" w:eastAsia="zh-CN"/>
              </w:rPr>
              <w:t>、环境功能区划符合性分析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（1）大气环境功能区划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项目所在区域大气环境功能区划为二类区，执行《环境空气质量标准》（GB3096-2012）的二类区要求。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（2）地下水环境功能区划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区域地下水质量为</w:t>
            </w:r>
            <w:r>
              <w:rPr>
                <w:rFonts w:hint="eastAsia"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sz w:val="24"/>
                <w:szCs w:val="24"/>
                <w:highlight w:val="none"/>
              </w:rPr>
              <w:t>类，执行《地下水质量标准》（GB/T14848-2017）</w:t>
            </w:r>
            <w:r>
              <w:rPr>
                <w:rFonts w:hint="eastAsia"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sz w:val="24"/>
                <w:szCs w:val="24"/>
                <w:highlight w:val="none"/>
              </w:rPr>
              <w:t>类标准。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lang w:eastAsia="zh-CN"/>
              </w:rPr>
              <w:t>声</w:t>
            </w:r>
            <w:r>
              <w:rPr>
                <w:rFonts w:hint="default" w:ascii="Times New Roman" w:hAnsi="Times New Roman" w:eastAsia="宋体" w:cs="Times New Roman"/>
                <w:color w:val="auto"/>
                <w:sz w:val="24"/>
                <w:szCs w:val="24"/>
                <w:highlight w:val="none"/>
              </w:rPr>
              <w:t>环境功能区划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区域环境噪声为</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类功能区域，</w:t>
            </w:r>
            <w:r>
              <w:rPr>
                <w:rFonts w:hint="eastAsia" w:ascii="Times New Roman" w:hAnsi="Times New Roman" w:eastAsia="宋体"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噪声执行《声环境质量标准》（GB3096-2008）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类区标准。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项目建设采取环保措施后各项污染物均能达标排放，对区域环境影响较小，满足区域环境功能区划要求。</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八</w:t>
            </w:r>
            <w:r>
              <w:rPr>
                <w:rFonts w:hint="eastAsia" w:ascii="Times New Roman" w:hAnsi="Times New Roman" w:eastAsia="宋体" w:cs="Times New Roman"/>
                <w:b/>
                <w:bCs/>
                <w:color w:val="auto"/>
                <w:sz w:val="24"/>
                <w:szCs w:val="24"/>
                <w:highlight w:val="none"/>
                <w:lang w:val="en-US" w:eastAsia="zh-CN"/>
              </w:rPr>
              <w:t>、平面布置合理性分析</w:t>
            </w:r>
          </w:p>
          <w:p>
            <w:pPr>
              <w:keepNext w:val="0"/>
              <w:keepLines w:val="0"/>
              <w:pageBreakBefore w:val="0"/>
              <w:widowControl w:val="0"/>
              <w:kinsoku/>
              <w:wordWrap/>
              <w:overflowPunct/>
              <w:topLinePunct w:val="0"/>
              <w:autoSpaceDE/>
              <w:autoSpaceDN/>
              <w:bidi w:val="0"/>
              <w:adjustRightInd/>
              <w:snapToGrid/>
              <w:spacing w:line="440" w:lineRule="exact"/>
              <w:ind w:firstLine="47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pacing w:val="-2"/>
                <w:kern w:val="2"/>
                <w:sz w:val="24"/>
                <w:szCs w:val="24"/>
                <w:lang w:val="en-US" w:eastAsia="zh-CN" w:bidi="ar-SA"/>
              </w:rPr>
              <w:t>本项目</w:t>
            </w:r>
            <w:r>
              <w:rPr>
                <w:rFonts w:hint="eastAsia" w:cs="Times New Roman"/>
                <w:bCs/>
                <w:color w:val="auto"/>
                <w:spacing w:val="-2"/>
                <w:kern w:val="2"/>
                <w:sz w:val="24"/>
                <w:szCs w:val="24"/>
                <w:lang w:val="en-US" w:eastAsia="zh-CN" w:bidi="ar-SA"/>
              </w:rPr>
              <w:t>占地面积</w:t>
            </w:r>
            <w:r>
              <w:rPr>
                <w:rFonts w:hint="eastAsia" w:cs="Times New Roman"/>
                <w:color w:val="auto"/>
                <w:sz w:val="24"/>
                <w:lang w:val="en-US" w:eastAsia="zh-CN"/>
              </w:rPr>
              <w:t>239.12</w:t>
            </w:r>
            <w:r>
              <w:rPr>
                <w:rFonts w:hint="default" w:ascii="Times New Roman" w:hAnsi="Times New Roman" w:eastAsia="宋体" w:cs="Times New Roman"/>
                <w:color w:val="auto"/>
                <w:sz w:val="24"/>
                <w:lang w:val="en-US" w:eastAsia="zh-CN"/>
              </w:rPr>
              <w:t>亩（铁路部分</w:t>
            </w:r>
            <w:r>
              <w:rPr>
                <w:rFonts w:hint="eastAsia" w:cs="Times New Roman"/>
                <w:color w:val="auto"/>
                <w:sz w:val="24"/>
                <w:lang w:val="en-US" w:eastAsia="zh-CN"/>
              </w:rPr>
              <w:t>57.43</w:t>
            </w:r>
            <w:r>
              <w:rPr>
                <w:rFonts w:hint="default" w:ascii="Times New Roman" w:hAnsi="Times New Roman" w:eastAsia="宋体" w:cs="Times New Roman"/>
                <w:color w:val="auto"/>
                <w:sz w:val="24"/>
                <w:lang w:val="en-US" w:eastAsia="zh-CN"/>
              </w:rPr>
              <w:t>亩，库区</w:t>
            </w:r>
            <w:r>
              <w:rPr>
                <w:rFonts w:hint="eastAsia" w:cs="Times New Roman"/>
                <w:color w:val="auto"/>
                <w:sz w:val="24"/>
                <w:lang w:val="en-US" w:eastAsia="zh-CN"/>
              </w:rPr>
              <w:t>82.01</w:t>
            </w:r>
            <w:r>
              <w:rPr>
                <w:rFonts w:hint="default" w:ascii="Times New Roman" w:hAnsi="Times New Roman" w:eastAsia="宋体" w:cs="Times New Roman"/>
                <w:color w:val="auto"/>
                <w:sz w:val="24"/>
                <w:lang w:val="en-US" w:eastAsia="zh-CN"/>
              </w:rPr>
              <w:t>亩</w:t>
            </w:r>
            <w:r>
              <w:rPr>
                <w:rFonts w:hint="eastAsia" w:cs="Times New Roman"/>
                <w:color w:val="auto"/>
                <w:sz w:val="24"/>
                <w:lang w:val="en-US" w:eastAsia="zh-CN"/>
              </w:rPr>
              <w:t>，边坡99.68亩</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Cs/>
                <w:color w:val="auto"/>
                <w:spacing w:val="-2"/>
                <w:kern w:val="2"/>
                <w:sz w:val="24"/>
                <w:szCs w:val="24"/>
                <w:lang w:val="en-US" w:eastAsia="zh-CN" w:bidi="ar-SA"/>
              </w:rPr>
              <w:t>，位于</w:t>
            </w:r>
            <w:r>
              <w:rPr>
                <w:rFonts w:hint="default" w:ascii="Times New Roman" w:hAnsi="Times New Roman" w:eastAsia="宋体" w:cs="Times New Roman"/>
                <w:color w:val="auto"/>
                <w:kern w:val="2"/>
                <w:sz w:val="24"/>
                <w:szCs w:val="24"/>
                <w:lang w:val="en-US" w:eastAsia="zh-CN" w:bidi="ar-SA"/>
              </w:rPr>
              <w:t>四川双龙铁路物流园。以遵循相关规范对安全防火的要求，结合地形地貌、主导风向等自然条件，满足工艺需求，使工艺流程顺畅，功能分区合理，便于管理的原则，尽可能将使用功能相近的建构物合并建设，以提高土地利用率和设备设施的综合利用效率。本项目平面布置由</w:t>
            </w:r>
            <w:r>
              <w:rPr>
                <w:rFonts w:hint="eastAsia" w:ascii="Times New Roman" w:hAnsi="Times New Roman" w:eastAsia="宋体" w:cs="Times New Roman"/>
                <w:color w:val="auto"/>
                <w:kern w:val="2"/>
                <w:sz w:val="24"/>
                <w:szCs w:val="24"/>
                <w:lang w:val="en-US" w:eastAsia="zh-CN" w:bidi="ar-SA"/>
              </w:rPr>
              <w:t>储罐</w:t>
            </w:r>
            <w:r>
              <w:rPr>
                <w:rFonts w:hint="default" w:ascii="Times New Roman" w:hAnsi="Times New Roman" w:eastAsia="宋体" w:cs="Times New Roman"/>
                <w:color w:val="auto"/>
                <w:kern w:val="2"/>
                <w:sz w:val="24"/>
                <w:szCs w:val="24"/>
                <w:lang w:val="en-US" w:eastAsia="zh-CN" w:bidi="ar-SA"/>
              </w:rPr>
              <w:t>区、公路装车区、铁路卸车区、行政管理区及辅助作业区组成。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储罐</w:t>
            </w:r>
            <w:r>
              <w:rPr>
                <w:rFonts w:hint="default" w:ascii="Times New Roman" w:hAnsi="Times New Roman" w:eastAsia="宋体" w:cs="Times New Roman"/>
                <w:color w:val="auto"/>
                <w:kern w:val="2"/>
                <w:sz w:val="24"/>
                <w:szCs w:val="24"/>
                <w:lang w:val="en-US" w:eastAsia="zh-CN" w:bidi="ar-SA"/>
              </w:rPr>
              <w:t>区位于库区东部，设置一个储罐组，设置4座5000m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、3座3000m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和2座1000m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内浮顶储罐，双排布置。</w:t>
            </w:r>
            <w:r>
              <w:rPr>
                <w:rFonts w:hint="eastAsia" w:cs="Times New Roman"/>
                <w:color w:val="auto"/>
                <w:kern w:val="2"/>
                <w:sz w:val="24"/>
                <w:szCs w:val="24"/>
                <w:lang w:val="en-US" w:eastAsia="zh-CN" w:bidi="ar-SA"/>
              </w:rPr>
              <w:t>罐区四周设置防火堤，且布置了跨越防火堤和隔堤的人行过桥。防火堤外侧设置6m宽路面的环形消防道路。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公路装</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区布置在库区西部，设置1座公路发油棚（下设5座装车岛）</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营业控制室，采用铁艺围墙与其他区域分隔，</w:t>
            </w:r>
            <w:r>
              <w:rPr>
                <w:rFonts w:hint="eastAsia" w:cs="Times New Roman"/>
                <w:color w:val="auto"/>
                <w:kern w:val="2"/>
                <w:sz w:val="24"/>
                <w:szCs w:val="24"/>
                <w:lang w:val="en-US" w:eastAsia="zh-CN" w:bidi="ar-SA"/>
              </w:rPr>
              <w:t>单独成区。装车区与库外道路间设置停车场，装车区与停车场之间设置门禁道闸。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铁路卸</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区位于库区南</w:t>
            </w:r>
            <w:r>
              <w:rPr>
                <w:rFonts w:hint="eastAsia" w:cs="Times New Roman"/>
                <w:color w:val="auto"/>
                <w:kern w:val="2"/>
                <w:sz w:val="24"/>
                <w:szCs w:val="24"/>
                <w:lang w:val="en-US" w:eastAsia="zh-CN" w:bidi="ar-SA"/>
              </w:rPr>
              <w:t>部</w:t>
            </w:r>
            <w:r>
              <w:rPr>
                <w:rFonts w:hint="default" w:ascii="Times New Roman" w:hAnsi="Times New Roman" w:eastAsia="宋体" w:cs="Times New Roman"/>
                <w:color w:val="auto"/>
                <w:kern w:val="2"/>
                <w:sz w:val="24"/>
                <w:szCs w:val="24"/>
                <w:lang w:val="en-US" w:eastAsia="zh-CN" w:bidi="ar-SA"/>
              </w:rPr>
              <w:t>，设置</w:t>
            </w:r>
            <w:r>
              <w:rPr>
                <w:rFonts w:hint="eastAsia" w:cs="Times New Roman"/>
                <w:color w:val="auto"/>
                <w:kern w:val="2"/>
                <w:sz w:val="24"/>
                <w:szCs w:val="24"/>
                <w:lang w:val="en-US" w:eastAsia="zh-CN" w:bidi="ar-SA"/>
              </w:rPr>
              <w:t>一</w:t>
            </w:r>
            <w:r>
              <w:rPr>
                <w:rFonts w:hint="default" w:ascii="Times New Roman" w:hAnsi="Times New Roman" w:eastAsia="宋体" w:cs="Times New Roman"/>
                <w:color w:val="auto"/>
                <w:kern w:val="2"/>
                <w:sz w:val="24"/>
                <w:szCs w:val="24"/>
                <w:lang w:val="en-US" w:eastAsia="zh-CN" w:bidi="ar-SA"/>
              </w:rPr>
              <w:t>座铁路卸车栈桥（</w:t>
            </w:r>
            <w:r>
              <w:rPr>
                <w:rFonts w:hint="eastAsia" w:ascii="Times New Roman" w:hAnsi="Times New Roman" w:eastAsia="宋体" w:cs="Times New Roman"/>
                <w:color w:val="auto"/>
                <w:kern w:val="2"/>
                <w:sz w:val="24"/>
                <w:szCs w:val="24"/>
                <w:lang w:val="en-US" w:eastAsia="zh-CN" w:bidi="ar-SA"/>
              </w:rPr>
              <w:t>24</w:t>
            </w:r>
            <w:r>
              <w:rPr>
                <w:rFonts w:hint="default" w:ascii="Times New Roman" w:hAnsi="Times New Roman" w:eastAsia="宋体" w:cs="Times New Roman"/>
                <w:color w:val="auto"/>
                <w:kern w:val="2"/>
                <w:sz w:val="24"/>
                <w:szCs w:val="24"/>
                <w:lang w:val="en-US" w:eastAsia="zh-CN" w:bidi="ar-SA"/>
              </w:rPr>
              <w:t>套鹤管、双侧卸车）、双股铁路卸车专用线，</w:t>
            </w:r>
            <w:r>
              <w:rPr>
                <w:rFonts w:hint="eastAsia" w:cs="Times New Roman"/>
                <w:color w:val="auto"/>
                <w:kern w:val="2"/>
                <w:sz w:val="24"/>
                <w:szCs w:val="24"/>
                <w:lang w:val="en-US" w:eastAsia="zh-CN" w:bidi="ar-SA"/>
              </w:rPr>
              <w:t>铁路卸车专用线北侧为铁路卸车泵棚、扫仓罐区、2160m</w:t>
            </w:r>
            <w:r>
              <w:rPr>
                <w:rFonts w:hint="eastAsia"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漏油及事故污水收集池、密闭隔油池、含油污水处理装置、油气回收装置、危废间</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行政管理区位于库区西北，设有综合办公楼、门卫，</w:t>
            </w:r>
            <w:r>
              <w:rPr>
                <w:rFonts w:hint="eastAsia" w:cs="Times New Roman"/>
                <w:color w:val="auto"/>
                <w:kern w:val="2"/>
                <w:sz w:val="24"/>
                <w:szCs w:val="24"/>
                <w:lang w:val="en-US" w:eastAsia="zh-CN" w:bidi="ar-SA"/>
              </w:rPr>
              <w:t>该区独立成区。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辅助作业区位于库区中部，设有化验室、消防泵房、变配电间、2座</w:t>
            </w:r>
            <w:r>
              <w:rPr>
                <w:rFonts w:hint="eastAsia" w:ascii="Times New Roman" w:hAnsi="Times New Roman" w:eastAsia="宋体" w:cs="Times New Roman"/>
                <w:color w:val="auto"/>
                <w:kern w:val="2"/>
                <w:sz w:val="24"/>
                <w:szCs w:val="24"/>
                <w:lang w:val="en-US" w:eastAsia="zh-CN" w:bidi="ar-SA"/>
              </w:rPr>
              <w:t>800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消防水罐</w:t>
            </w:r>
            <w:r>
              <w:rPr>
                <w:rFonts w:hint="eastAsia"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综上，项目总图已实现优化布置，采取环评要求的治理措施，则对外环境无明显影响，项目场区总图从环保角度总体可行。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pStyle w:val="23"/>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p>
        </w:tc>
      </w:tr>
    </w:tbl>
    <w:p>
      <w:pPr>
        <w:pStyle w:val="8"/>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7"/>
        <w:jc w:val="center"/>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2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 w:type="dxa"/>
            <w:noWrap w:val="0"/>
            <w:vAlign w:val="center"/>
          </w:tcPr>
          <w:p>
            <w:pPr>
              <w:pStyle w:val="17"/>
              <w:adjustRightInd w:val="0"/>
              <w:snapToGrid w:val="0"/>
              <w:spacing w:before="0" w:beforeAutospacing="0" w:after="0" w:afterAutospacing="0"/>
              <w:jc w:val="center"/>
              <w:rPr>
                <w:rFonts w:cs="宋体"/>
                <w:b/>
                <w:bCs/>
                <w:color w:val="auto"/>
                <w:sz w:val="24"/>
                <w:szCs w:val="24"/>
              </w:rPr>
            </w:pPr>
            <w:r>
              <w:rPr>
                <w:rFonts w:hint="eastAsia" w:cs="宋体"/>
                <w:b/>
                <w:bCs/>
                <w:color w:val="auto"/>
                <w:sz w:val="24"/>
                <w:szCs w:val="24"/>
              </w:rPr>
              <w:t>建设内容</w:t>
            </w:r>
          </w:p>
        </w:tc>
        <w:tc>
          <w:tcPr>
            <w:tcW w:w="8221"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7101油库地处达州市通川区西外镇白庙社区，距离市区5km，占地105亩。始建于1971年</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1982年投入使用，油库经2003年和2011年技改，目前总容量3100立方米，为二级石油库。</w:t>
            </w:r>
            <w:r>
              <w:rPr>
                <w:rFonts w:hint="eastAsia" w:cs="Times New Roman"/>
                <w:color w:val="auto"/>
                <w:kern w:val="0"/>
                <w:sz w:val="24"/>
                <w:szCs w:val="24"/>
                <w:lang w:val="en-US" w:eastAsia="zh-CN" w:bidi="ar"/>
              </w:rPr>
              <w:t>现有立式油罐9个，其中5000立方米2个、3000立方米7个，储量分别是0#车用柴油16000立方米、92#车用汽油9000立方米、95#车用汽油3000立方米、98#车用汽油3000立方米。铁路专用线1280米，卸油鹤管14组，公路发油台5个，其中上装鹤管1个，下装发油鹤管6个，其它弃用。均为铁路槽车入库，公路出库。油库主要辐射重庆万州、巴中平昌、广安部分地区等地，平均运距65公里，是川东地区最大的成品油中转油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2013年，根据省政府批准的《达州市城市总体规划》(2011-2030)，7101油库所在区域已规划为发展现代服务业为主的城市功能区，按照控制性详细规划，油库所在地土地用途已发生改变，需要整体搬迁。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2019年6月，经中国石油四川销售公司同意，达州公司与达州市政府授权的达州发展公司，签订了《7101油库拆除还建框架协议》。</w:t>
            </w:r>
            <w:r>
              <w:rPr>
                <w:rFonts w:hint="default" w:ascii="Times New Roman" w:hAnsi="Times New Roman" w:eastAsia="宋体" w:cs="Times New Roman"/>
                <w:color w:val="auto"/>
                <w:kern w:val="0"/>
                <w:sz w:val="24"/>
                <w:szCs w:val="24"/>
                <w:lang w:val="en-US" w:eastAsia="zh-CN" w:bidi="ar"/>
              </w:rPr>
              <w:t>根据达州市人民政府与达州分公司达成的协议，7101油库采用“先建后拆、异地还建”的置换原则，还建一座同规模、同功能、同时具有公路及铁路收发油功能的自动化油库。因此</w:t>
            </w:r>
            <w:r>
              <w:rPr>
                <w:rFonts w:hint="default" w:ascii="Times New Roman" w:hAnsi="Times New Roman" w:eastAsia="宋体" w:cs="Times New Roman"/>
                <w:color w:val="auto"/>
                <w:kern w:val="0"/>
                <w:sz w:val="24"/>
                <w:szCs w:val="24"/>
              </w:rPr>
              <w:t>达州发展（控股）有限责任公司拟</w:t>
            </w:r>
            <w:r>
              <w:rPr>
                <w:rFonts w:hint="default" w:ascii="Times New Roman" w:hAnsi="Times New Roman" w:eastAsia="宋体" w:cs="Times New Roman"/>
                <w:color w:val="auto"/>
                <w:kern w:val="0"/>
                <w:sz w:val="24"/>
                <w:szCs w:val="24"/>
                <w:lang w:eastAsia="zh-CN"/>
              </w:rPr>
              <w:t>在</w:t>
            </w:r>
            <w:r>
              <w:rPr>
                <w:rFonts w:hint="default" w:ascii="Times New Roman" w:hAnsi="Times New Roman" w:eastAsia="宋体" w:cs="Times New Roman"/>
                <w:color w:val="auto"/>
                <w:sz w:val="24"/>
                <w:szCs w:val="24"/>
              </w:rPr>
              <w:t>四川双龙铁路物流园</w:t>
            </w:r>
            <w:r>
              <w:rPr>
                <w:rFonts w:hint="default" w:ascii="Times New Roman" w:hAnsi="Times New Roman" w:eastAsia="宋体" w:cs="Times New Roman"/>
                <w:color w:val="auto"/>
                <w:kern w:val="0"/>
                <w:sz w:val="24"/>
                <w:szCs w:val="24"/>
              </w:rPr>
              <w:t>建</w:t>
            </w:r>
            <w:r>
              <w:rPr>
                <w:rFonts w:hint="default" w:ascii="Times New Roman" w:hAnsi="Times New Roman" w:eastAsia="宋体" w:cs="Times New Roman"/>
                <w:color w:val="auto"/>
                <w:kern w:val="0"/>
                <w:sz w:val="24"/>
                <w:szCs w:val="24"/>
                <w:lang w:eastAsia="zh-CN"/>
              </w:rPr>
              <w:t>设</w:t>
            </w:r>
            <w:r>
              <w:rPr>
                <w:rFonts w:hint="default" w:ascii="Times New Roman" w:hAnsi="Times New Roman" w:eastAsia="宋体" w:cs="Times New Roman"/>
                <w:color w:val="auto"/>
                <w:kern w:val="0"/>
                <w:sz w:val="24"/>
                <w:szCs w:val="24"/>
              </w:rPr>
              <w:t>达州市中石油7101油库迁建项目。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项目总投资</w:t>
            </w:r>
            <w:r>
              <w:rPr>
                <w:rFonts w:hint="default" w:ascii="Times New Roman" w:hAnsi="Times New Roman" w:eastAsia="宋体" w:cs="Times New Roman"/>
                <w:color w:val="auto"/>
                <w:kern w:val="0"/>
                <w:sz w:val="24"/>
                <w:szCs w:val="24"/>
                <w:lang w:eastAsia="zh-CN"/>
              </w:rPr>
              <w:t>29000</w:t>
            </w:r>
            <w:r>
              <w:rPr>
                <w:rFonts w:hint="default" w:ascii="Times New Roman" w:hAnsi="Times New Roman" w:eastAsia="宋体" w:cs="Times New Roman"/>
                <w:color w:val="auto"/>
                <w:kern w:val="0"/>
                <w:sz w:val="24"/>
                <w:szCs w:val="24"/>
              </w:rPr>
              <w:t>万元，总占地面积为</w:t>
            </w:r>
            <w:r>
              <w:rPr>
                <w:rFonts w:hint="eastAsia" w:ascii="Times New Roman" w:hAnsi="Times New Roman" w:eastAsia="宋体" w:cs="Times New Roman"/>
                <w:color w:val="auto"/>
                <w:sz w:val="24"/>
                <w:lang w:val="en-US" w:eastAsia="zh-CN"/>
              </w:rPr>
              <w:t>163.98</w:t>
            </w:r>
            <w:r>
              <w:rPr>
                <w:rFonts w:hint="default" w:ascii="Times New Roman" w:hAnsi="Times New Roman" w:eastAsia="宋体" w:cs="Times New Roman"/>
                <w:color w:val="auto"/>
                <w:sz w:val="24"/>
                <w:lang w:val="en-US" w:eastAsia="zh-CN"/>
              </w:rPr>
              <w:t>亩（铁路部分</w:t>
            </w:r>
            <w:r>
              <w:rPr>
                <w:rFonts w:hint="eastAsia" w:ascii="Times New Roman" w:hAnsi="Times New Roman" w:eastAsia="宋体" w:cs="Times New Roman"/>
                <w:color w:val="auto"/>
                <w:sz w:val="24"/>
                <w:lang w:val="en-US" w:eastAsia="zh-CN"/>
              </w:rPr>
              <w:t>72</w:t>
            </w:r>
            <w:r>
              <w:rPr>
                <w:rFonts w:hint="default" w:ascii="Times New Roman" w:hAnsi="Times New Roman" w:eastAsia="宋体" w:cs="Times New Roman"/>
                <w:color w:val="auto"/>
                <w:sz w:val="24"/>
                <w:lang w:val="en-US" w:eastAsia="zh-CN"/>
              </w:rPr>
              <w:t>亩，库区</w:t>
            </w:r>
            <w:r>
              <w:rPr>
                <w:rFonts w:hint="eastAsia" w:ascii="Times New Roman" w:hAnsi="Times New Roman" w:eastAsia="宋体" w:cs="Times New Roman"/>
                <w:color w:val="auto"/>
                <w:sz w:val="24"/>
                <w:lang w:val="en-US" w:eastAsia="zh-CN"/>
              </w:rPr>
              <w:t>91.98</w:t>
            </w:r>
            <w:r>
              <w:rPr>
                <w:rFonts w:hint="default" w:ascii="Times New Roman" w:hAnsi="Times New Roman" w:eastAsia="宋体" w:cs="Times New Roman"/>
                <w:color w:val="auto"/>
                <w:sz w:val="24"/>
                <w:lang w:val="en-US" w:eastAsia="zh-CN"/>
              </w:rPr>
              <w:t>亩）</w:t>
            </w:r>
            <w:r>
              <w:rPr>
                <w:rFonts w:hint="default" w:ascii="Times New Roman" w:hAnsi="Times New Roman" w:eastAsia="宋体" w:cs="Times New Roman"/>
                <w:color w:val="auto"/>
                <w:kern w:val="0"/>
                <w:sz w:val="24"/>
                <w:szCs w:val="24"/>
              </w:rPr>
              <w:t>，总建筑面积3436.5m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，本项目建设油库总库容3.1万m</w:t>
            </w:r>
            <w:r>
              <w:rPr>
                <w:rFonts w:hint="default" w:ascii="Times New Roman" w:hAnsi="Times New Roman" w:eastAsia="宋体" w:cs="Times New Roman"/>
                <w:color w:val="auto"/>
                <w:kern w:val="0"/>
                <w:sz w:val="24"/>
                <w:szCs w:val="24"/>
                <w:vertAlign w:val="superscript"/>
              </w:rPr>
              <w:t>3</w:t>
            </w:r>
            <w:r>
              <w:rPr>
                <w:rFonts w:hint="eastAsia"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规划库容5.1万m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rPr>
              <w:t>，包括车用柴油1.3万m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，车用汽油1.8万m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，属于二级油库。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rPr>
              <w:t>主要建设内容：新建5000立方米内浮顶油罐4座、3000立方米内浮顶油罐3座、1000立方米内浮顶油罐2座、800立方米消防水罐2座、5岛公路装卸车棚1座</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设15套汽车下装鹤管。铁路装卸车栈桥1座，24套汽柴油卸车鹤管</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双侧卸车</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综合楼、化验室、及变配电间、门卫室、配电间等建构筑物和配套的公用工程。年周转量约为</w:t>
            </w:r>
            <w:r>
              <w:rPr>
                <w:rFonts w:hint="eastAsia" w:cs="Times New Roman"/>
                <w:color w:val="auto"/>
                <w:kern w:val="0"/>
                <w:sz w:val="24"/>
                <w:szCs w:val="24"/>
                <w:lang w:val="en-US" w:eastAsia="zh-CN"/>
              </w:rPr>
              <w:t>39.36</w:t>
            </w:r>
            <w:r>
              <w:rPr>
                <w:rFonts w:hint="default" w:ascii="Times New Roman" w:hAnsi="Times New Roman" w:eastAsia="宋体" w:cs="Times New Roman"/>
                <w:color w:val="auto"/>
                <w:kern w:val="0"/>
                <w:sz w:val="24"/>
                <w:szCs w:val="24"/>
              </w:rPr>
              <w:t>万吨</w:t>
            </w:r>
            <w:r>
              <w:rPr>
                <w:rFonts w:hint="eastAsia" w:cs="Times New Roman"/>
                <w:color w:val="auto"/>
                <w:kern w:val="0"/>
                <w:sz w:val="24"/>
                <w:szCs w:val="24"/>
                <w:lang w:eastAsia="zh-CN"/>
              </w:rPr>
              <w:t>（</w:t>
            </w:r>
            <w:r>
              <w:rPr>
                <w:rFonts w:hint="eastAsia" w:cs="Times New Roman"/>
                <w:color w:val="auto"/>
                <w:kern w:val="0"/>
                <w:sz w:val="24"/>
                <w:szCs w:val="24"/>
                <w:lang w:val="en-US" w:eastAsia="zh-CN"/>
              </w:rPr>
              <w:t>合计吞吐量78.72万吨</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
                <w:bCs/>
                <w:color w:val="auto"/>
                <w:kern w:val="0"/>
                <w:sz w:val="24"/>
                <w:szCs w:val="24"/>
                <w:lang w:eastAsia="zh-CN"/>
              </w:rPr>
              <w:t>本次环评</w:t>
            </w:r>
            <w:r>
              <w:rPr>
                <w:rFonts w:hint="eastAsia" w:ascii="Times New Roman" w:hAnsi="Times New Roman" w:eastAsia="宋体" w:cs="Times New Roman"/>
                <w:b/>
                <w:bCs/>
                <w:color w:val="auto"/>
                <w:kern w:val="0"/>
                <w:sz w:val="24"/>
                <w:szCs w:val="24"/>
                <w:lang w:eastAsia="zh-CN"/>
              </w:rPr>
              <w:t>为</w:t>
            </w:r>
            <w:r>
              <w:rPr>
                <w:rFonts w:hint="eastAsia" w:ascii="Times New Roman" w:hAnsi="Times New Roman" w:eastAsia="宋体" w:cs="Times New Roman"/>
                <w:b/>
                <w:bCs/>
                <w:color w:val="auto"/>
                <w:kern w:val="0"/>
                <w:sz w:val="24"/>
                <w:szCs w:val="24"/>
                <w:lang w:val="en-US" w:eastAsia="zh-CN"/>
              </w:rPr>
              <w:t>迁建</w:t>
            </w:r>
            <w:r>
              <w:rPr>
                <w:rFonts w:hint="eastAsia" w:ascii="Times New Roman" w:hAnsi="Times New Roman" w:eastAsia="宋体" w:cs="Times New Roman"/>
                <w:b/>
                <w:bCs/>
                <w:color w:val="auto"/>
                <w:kern w:val="0"/>
                <w:sz w:val="24"/>
                <w:szCs w:val="24"/>
                <w:lang w:eastAsia="zh-CN"/>
              </w:rPr>
              <w:t>项目，</w:t>
            </w:r>
            <w:r>
              <w:rPr>
                <w:rFonts w:hint="default" w:ascii="Times New Roman" w:hAnsi="Times New Roman" w:eastAsia="宋体" w:cs="Times New Roman"/>
                <w:b/>
                <w:bCs/>
                <w:color w:val="auto"/>
                <w:kern w:val="0"/>
                <w:sz w:val="24"/>
                <w:szCs w:val="24"/>
                <w:lang w:eastAsia="zh-CN"/>
              </w:rPr>
              <w:t>不包括铁路专用线建设内容。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1、项目名称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lang w:val="en-US" w:eastAsia="zh-CN" w:bidi="ar-SA"/>
              </w:rPr>
              <w:t>达州市中石油7101油库迁建项目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2、建设单位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达州发展（控股）有限责任公司</w:t>
            </w:r>
          </w:p>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项目性质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新建迁建</w:t>
            </w:r>
          </w:p>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7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Cs/>
                <w:color w:val="auto"/>
                <w:spacing w:val="-2"/>
                <w:kern w:val="0"/>
                <w:sz w:val="24"/>
                <w:szCs w:val="24"/>
              </w:rPr>
              <w:t>本项目位于</w:t>
            </w:r>
            <w:r>
              <w:rPr>
                <w:rFonts w:hint="default" w:ascii="Times New Roman" w:hAnsi="Times New Roman" w:eastAsia="宋体" w:cs="Times New Roman"/>
                <w:color w:val="auto"/>
                <w:kern w:val="0"/>
                <w:sz w:val="24"/>
                <w:szCs w:val="24"/>
              </w:rPr>
              <w:t>四川双龙铁路物流园</w:t>
            </w:r>
            <w:r>
              <w:rPr>
                <w:rFonts w:hint="eastAsia" w:ascii="Times New Roman" w:hAnsi="Times New Roman" w:eastAsia="宋体" w:cs="Times New Roman"/>
                <w:bCs/>
                <w:color w:val="auto"/>
                <w:spacing w:val="-2"/>
                <w:kern w:val="0"/>
                <w:sz w:val="24"/>
                <w:szCs w:val="24"/>
                <w:lang w:eastAsia="zh-CN"/>
              </w:rPr>
              <w:t>；</w:t>
            </w:r>
            <w:r>
              <w:rPr>
                <w:rFonts w:hint="default" w:ascii="Times New Roman" w:hAnsi="Times New Roman" w:eastAsia="宋体" w:cs="Times New Roman"/>
                <w:bCs/>
                <w:color w:val="auto"/>
                <w:spacing w:val="-2"/>
                <w:kern w:val="0"/>
                <w:sz w:val="24"/>
              </w:rPr>
              <w:t>中心地理坐标为北纬31</w:t>
            </w:r>
            <w:r>
              <w:rPr>
                <w:rFonts w:hint="default" w:ascii="Times New Roman" w:hAnsi="Times New Roman" w:eastAsia="宋体" w:cs="Times New Roman"/>
                <w:bCs/>
                <w:color w:val="auto"/>
                <w:kern w:val="0"/>
                <w:sz w:val="24"/>
              </w:rPr>
              <w:t>°</w:t>
            </w:r>
            <w:r>
              <w:rPr>
                <w:rFonts w:hint="default" w:ascii="Times New Roman" w:hAnsi="Times New Roman" w:eastAsia="宋体" w:cs="Times New Roman"/>
                <w:bCs/>
                <w:color w:val="auto"/>
                <w:spacing w:val="-2"/>
                <w:kern w:val="0"/>
                <w:sz w:val="24"/>
              </w:rPr>
              <w:t>17'49.34"，东经107</w:t>
            </w:r>
            <w:r>
              <w:rPr>
                <w:rFonts w:hint="default" w:ascii="Times New Roman" w:hAnsi="Times New Roman" w:eastAsia="宋体" w:cs="Times New Roman"/>
                <w:bCs/>
                <w:color w:val="auto"/>
                <w:kern w:val="0"/>
                <w:sz w:val="24"/>
              </w:rPr>
              <w:t>°</w:t>
            </w:r>
            <w:r>
              <w:rPr>
                <w:rFonts w:hint="default" w:ascii="Times New Roman" w:hAnsi="Times New Roman" w:eastAsia="宋体" w:cs="Times New Roman"/>
                <w:bCs/>
                <w:color w:val="auto"/>
                <w:spacing w:val="-2"/>
                <w:kern w:val="0"/>
                <w:sz w:val="24"/>
              </w:rPr>
              <w:t>26'35.76"。项目西北为</w:t>
            </w:r>
            <w:r>
              <w:rPr>
                <w:rFonts w:hint="eastAsia" w:cs="Times New Roman"/>
                <w:bCs/>
                <w:color w:val="auto"/>
                <w:spacing w:val="-2"/>
                <w:kern w:val="0"/>
                <w:sz w:val="24"/>
                <w:lang w:val="en-US" w:eastAsia="zh-CN"/>
              </w:rPr>
              <w:t>120m处</w:t>
            </w:r>
            <w:r>
              <w:rPr>
                <w:rFonts w:hint="default" w:ascii="Times New Roman" w:hAnsi="Times New Roman" w:eastAsia="宋体" w:cs="Times New Roman"/>
                <w:bCs/>
                <w:color w:val="auto"/>
                <w:spacing w:val="-2"/>
                <w:kern w:val="0"/>
                <w:sz w:val="24"/>
              </w:rPr>
              <w:t>达州市金博士水业有限公司，南侧为铁路货场</w:t>
            </w:r>
            <w:r>
              <w:rPr>
                <w:rFonts w:hint="eastAsia" w:cs="Times New Roman"/>
                <w:bCs/>
                <w:color w:val="auto"/>
                <w:spacing w:val="-2"/>
                <w:kern w:val="0"/>
                <w:sz w:val="24"/>
                <w:lang w:eastAsia="zh-CN"/>
              </w:rPr>
              <w:t>、</w:t>
            </w:r>
            <w:r>
              <w:rPr>
                <w:rFonts w:hint="eastAsia" w:cs="Times New Roman"/>
                <w:bCs/>
                <w:color w:val="auto"/>
                <w:spacing w:val="-2"/>
                <w:kern w:val="0"/>
                <w:sz w:val="24"/>
                <w:lang w:val="en-US" w:eastAsia="zh-CN"/>
              </w:rPr>
              <w:t>230m处为</w:t>
            </w:r>
            <w:r>
              <w:rPr>
                <w:rFonts w:hint="default" w:ascii="Times New Roman" w:hAnsi="Times New Roman" w:eastAsia="宋体" w:cs="Times New Roman"/>
                <w:bCs/>
                <w:color w:val="auto"/>
                <w:spacing w:val="-2"/>
                <w:kern w:val="0"/>
                <w:sz w:val="24"/>
              </w:rPr>
              <w:t>湘渝铁路</w:t>
            </w:r>
            <w:r>
              <w:rPr>
                <w:rFonts w:hint="eastAsia" w:cs="Times New Roman"/>
                <w:bCs/>
                <w:color w:val="auto"/>
                <w:spacing w:val="-2"/>
                <w:kern w:val="0"/>
                <w:sz w:val="24"/>
                <w:lang w:val="en-US" w:eastAsia="zh-CN"/>
              </w:rPr>
              <w:t>和魏复线</w:t>
            </w:r>
            <w:r>
              <w:rPr>
                <w:rFonts w:hint="default" w:ascii="Times New Roman" w:hAnsi="Times New Roman" w:eastAsia="宋体" w:cs="Times New Roman"/>
                <w:bCs/>
                <w:color w:val="auto"/>
                <w:spacing w:val="-2"/>
                <w:kern w:val="0"/>
                <w:sz w:val="24"/>
              </w:rPr>
              <w:t>，东侧</w:t>
            </w:r>
            <w:r>
              <w:rPr>
                <w:rFonts w:hint="eastAsia" w:cs="Times New Roman"/>
                <w:bCs/>
                <w:color w:val="auto"/>
                <w:spacing w:val="-2"/>
                <w:kern w:val="0"/>
                <w:sz w:val="24"/>
                <w:lang w:val="en-US" w:eastAsia="zh-CN"/>
              </w:rPr>
              <w:t>300m处</w:t>
            </w:r>
            <w:r>
              <w:rPr>
                <w:rFonts w:hint="default" w:ascii="Times New Roman" w:hAnsi="Times New Roman" w:eastAsia="宋体" w:cs="Times New Roman"/>
                <w:bCs/>
                <w:color w:val="auto"/>
                <w:spacing w:val="-2"/>
                <w:kern w:val="0"/>
                <w:sz w:val="24"/>
              </w:rPr>
              <w:t>为双龙车站，</w:t>
            </w:r>
            <w:r>
              <w:rPr>
                <w:rFonts w:hint="eastAsia" w:cs="Times New Roman"/>
                <w:bCs/>
                <w:color w:val="auto"/>
                <w:spacing w:val="-2"/>
                <w:kern w:val="2"/>
                <w:sz w:val="24"/>
                <w:szCs w:val="24"/>
                <w:lang w:val="en-US" w:eastAsia="zh-CN" w:bidi="ar-SA"/>
              </w:rPr>
              <w:t>西侧为改线后的双新公路，泄洪沟位于项目西部，北部为空地</w:t>
            </w:r>
            <w:r>
              <w:rPr>
                <w:rFonts w:hint="default" w:ascii="Times New Roman" w:hAnsi="Times New Roman" w:eastAsia="宋体" w:cs="Times New Roman"/>
                <w:bCs/>
                <w:color w:val="auto"/>
                <w:spacing w:val="-2"/>
                <w:kern w:val="0"/>
                <w:sz w:val="24"/>
              </w:rPr>
              <w:t>。</w:t>
            </w:r>
            <w:r>
              <w:rPr>
                <w:rFonts w:hint="default" w:ascii="Times New Roman" w:hAnsi="Times New Roman" w:eastAsia="宋体" w:cs="Times New Roman"/>
                <w:bCs/>
                <w:color w:val="auto"/>
                <w:spacing w:val="-2"/>
                <w:kern w:val="0"/>
                <w:sz w:val="24"/>
                <w:szCs w:val="24"/>
              </w:rPr>
              <w:t>距项目最近敏感点为项目厂址内及南侧的张家沟</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Cs/>
                <w:color w:val="auto"/>
                <w:spacing w:val="-2"/>
                <w:kern w:val="0"/>
                <w:sz w:val="24"/>
                <w:szCs w:val="24"/>
              </w:rPr>
              <w:t>项目地理位置图见附图1，周边关系图见附图2。</w:t>
            </w:r>
          </w:p>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项目投资</w:t>
            </w:r>
          </w:p>
          <w:p>
            <w:pPr>
              <w:widowControl w:val="0"/>
              <w:tabs>
                <w:tab w:val="left" w:pos="3465"/>
              </w:tabs>
              <w:spacing w:line="460" w:lineRule="exact"/>
              <w:ind w:firstLine="472"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default" w:ascii="Times New Roman" w:hAnsi="Times New Roman" w:eastAsia="宋体" w:cs="Times New Roman"/>
                <w:bCs/>
                <w:color w:val="auto"/>
                <w:spacing w:val="-2"/>
                <w:kern w:val="2"/>
                <w:sz w:val="24"/>
                <w:szCs w:val="24"/>
                <w:lang w:val="en-US" w:eastAsia="zh-CN" w:bidi="ar-SA"/>
              </w:rPr>
              <w:t>项目总投资为</w:t>
            </w:r>
            <w:r>
              <w:rPr>
                <w:rFonts w:hint="default" w:ascii="Times New Roman" w:hAnsi="Times New Roman" w:eastAsia="宋体" w:cs="Times New Roman"/>
                <w:color w:val="auto"/>
                <w:kern w:val="2"/>
                <w:sz w:val="24"/>
                <w:szCs w:val="24"/>
                <w:lang w:val="en-US" w:eastAsia="zh-CN" w:bidi="ar-SA"/>
              </w:rPr>
              <w:t>29000</w:t>
            </w:r>
            <w:r>
              <w:rPr>
                <w:rFonts w:hint="default" w:ascii="Times New Roman" w:hAnsi="Times New Roman" w:eastAsia="宋体" w:cs="Times New Roman"/>
                <w:bCs/>
                <w:color w:val="auto"/>
                <w:spacing w:val="-2"/>
                <w:kern w:val="2"/>
                <w:sz w:val="24"/>
                <w:szCs w:val="24"/>
                <w:lang w:val="en-US" w:eastAsia="zh-CN" w:bidi="ar-SA"/>
              </w:rPr>
              <w:t>万元，其中环保投资为</w:t>
            </w:r>
            <w:r>
              <w:rPr>
                <w:rFonts w:hint="eastAsia" w:cs="Times New Roman"/>
                <w:bCs/>
                <w:color w:val="auto"/>
                <w:spacing w:val="-2"/>
                <w:kern w:val="2"/>
                <w:sz w:val="24"/>
                <w:szCs w:val="24"/>
                <w:lang w:val="en-US" w:eastAsia="zh-CN" w:bidi="ar-SA"/>
              </w:rPr>
              <w:t>428</w:t>
            </w:r>
            <w:r>
              <w:rPr>
                <w:rFonts w:hint="default" w:ascii="Times New Roman" w:hAnsi="Times New Roman" w:eastAsia="宋体" w:cs="Times New Roman"/>
                <w:bCs/>
                <w:color w:val="auto"/>
                <w:spacing w:val="-2"/>
                <w:kern w:val="2"/>
                <w:sz w:val="24"/>
                <w:szCs w:val="24"/>
                <w:lang w:val="en-US" w:eastAsia="zh-CN" w:bidi="ar-SA"/>
              </w:rPr>
              <w:t>万元，占总投资的</w:t>
            </w:r>
            <w:r>
              <w:rPr>
                <w:rFonts w:hint="eastAsia" w:cs="Times New Roman"/>
                <w:bCs/>
                <w:color w:val="auto"/>
                <w:spacing w:val="-2"/>
                <w:kern w:val="2"/>
                <w:sz w:val="24"/>
                <w:szCs w:val="24"/>
                <w:lang w:val="en-US" w:eastAsia="zh-CN" w:bidi="ar-SA"/>
              </w:rPr>
              <w:t>1.48</w:t>
            </w:r>
            <w:r>
              <w:rPr>
                <w:rFonts w:hint="default" w:ascii="Times New Roman" w:hAnsi="Times New Roman" w:eastAsia="宋体" w:cs="Times New Roman"/>
                <w:bCs/>
                <w:color w:val="auto"/>
                <w:spacing w:val="-2"/>
                <w:kern w:val="2"/>
                <w:sz w:val="24"/>
                <w:szCs w:val="24"/>
                <w:lang w:val="en-US" w:eastAsia="zh-CN" w:bidi="ar-SA"/>
              </w:rPr>
              <w:t>%。</w:t>
            </w:r>
          </w:p>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工程占地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7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Cs/>
                <w:color w:val="auto"/>
                <w:spacing w:val="-2"/>
                <w:kern w:val="0"/>
                <w:sz w:val="24"/>
                <w:szCs w:val="24"/>
              </w:rPr>
              <w:t>本项目占地面积</w:t>
            </w:r>
            <w:r>
              <w:rPr>
                <w:rFonts w:hint="eastAsia" w:cs="Times New Roman"/>
                <w:color w:val="auto"/>
                <w:sz w:val="24"/>
                <w:lang w:val="en-US" w:eastAsia="zh-CN"/>
              </w:rPr>
              <w:t>239.12</w:t>
            </w:r>
            <w:r>
              <w:rPr>
                <w:rFonts w:hint="default" w:ascii="Times New Roman" w:hAnsi="Times New Roman" w:eastAsia="宋体" w:cs="Times New Roman"/>
                <w:color w:val="auto"/>
                <w:sz w:val="24"/>
                <w:lang w:val="en-US" w:eastAsia="zh-CN"/>
              </w:rPr>
              <w:t>亩（铁路部分</w:t>
            </w:r>
            <w:r>
              <w:rPr>
                <w:rFonts w:hint="eastAsia" w:cs="Times New Roman"/>
                <w:color w:val="auto"/>
                <w:sz w:val="24"/>
                <w:lang w:val="en-US" w:eastAsia="zh-CN"/>
              </w:rPr>
              <w:t>57.43</w:t>
            </w:r>
            <w:r>
              <w:rPr>
                <w:rFonts w:hint="default" w:ascii="Times New Roman" w:hAnsi="Times New Roman" w:eastAsia="宋体" w:cs="Times New Roman"/>
                <w:color w:val="auto"/>
                <w:sz w:val="24"/>
                <w:lang w:val="en-US" w:eastAsia="zh-CN"/>
              </w:rPr>
              <w:t>亩，库区</w:t>
            </w:r>
            <w:r>
              <w:rPr>
                <w:rFonts w:hint="eastAsia" w:cs="Times New Roman"/>
                <w:color w:val="auto"/>
                <w:sz w:val="24"/>
                <w:lang w:val="en-US" w:eastAsia="zh-CN"/>
              </w:rPr>
              <w:t>82.01</w:t>
            </w:r>
            <w:r>
              <w:rPr>
                <w:rFonts w:hint="default" w:ascii="Times New Roman" w:hAnsi="Times New Roman" w:eastAsia="宋体" w:cs="Times New Roman"/>
                <w:color w:val="auto"/>
                <w:sz w:val="24"/>
                <w:lang w:val="en-US" w:eastAsia="zh-CN"/>
              </w:rPr>
              <w:t>亩</w:t>
            </w:r>
            <w:r>
              <w:rPr>
                <w:rFonts w:hint="eastAsia" w:cs="Times New Roman"/>
                <w:color w:val="auto"/>
                <w:sz w:val="24"/>
                <w:lang w:val="en-US" w:eastAsia="zh-CN"/>
              </w:rPr>
              <w:t>，边坡99.68亩</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Cs/>
                <w:color w:val="auto"/>
                <w:spacing w:val="-2"/>
                <w:kern w:val="0"/>
                <w:sz w:val="24"/>
                <w:szCs w:val="24"/>
              </w:rPr>
              <w:t>，地类用途为仓储用地。</w:t>
            </w:r>
          </w:p>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建设规模及建设内容</w:t>
            </w:r>
          </w:p>
          <w:p>
            <w:pPr>
              <w:widowControl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项目总投资29000万元，本项目建设油库总库容3.1万m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，包括车用柴油1.3万m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，车用汽油1.8万m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，属于二级油库。</w:t>
            </w:r>
          </w:p>
          <w:p>
            <w:pPr>
              <w:widowControl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主要建设内容：</w:t>
            </w:r>
            <w:r>
              <w:rPr>
                <w:rFonts w:hint="default" w:ascii="Times New Roman" w:hAnsi="Times New Roman" w:eastAsia="宋体" w:cs="Times New Roman"/>
                <w:color w:val="auto"/>
                <w:kern w:val="0"/>
                <w:sz w:val="24"/>
                <w:szCs w:val="24"/>
              </w:rPr>
              <w:t>新建5000立方米内浮顶油罐4座、3000立方米内浮顶油罐3座、1000立方米内浮顶油罐2座、800立方米消防水罐2座、5岛公路装卸车棚1座</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设15套汽车下装鹤管。铁路装卸车栈桥1座，24套汽柴油卸车鹤管</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双侧卸车</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综合楼、化验室、及变配电间、门卫室、配电间等</w:t>
            </w:r>
            <w:r>
              <w:rPr>
                <w:rFonts w:hint="default" w:ascii="Times New Roman" w:hAnsi="Times New Roman" w:eastAsia="宋体" w:cs="Times New Roman"/>
                <w:color w:val="auto"/>
                <w:kern w:val="2"/>
                <w:sz w:val="24"/>
                <w:szCs w:val="24"/>
                <w:lang w:val="en-US" w:eastAsia="zh-CN" w:bidi="ar-SA"/>
              </w:rPr>
              <w:t>年周转量约为</w:t>
            </w:r>
            <w:r>
              <w:rPr>
                <w:rFonts w:hint="eastAsia" w:cs="Times New Roman"/>
                <w:color w:val="auto"/>
                <w:kern w:val="2"/>
                <w:sz w:val="24"/>
                <w:szCs w:val="24"/>
                <w:lang w:val="en-US" w:eastAsia="zh-CN" w:bidi="ar-SA"/>
              </w:rPr>
              <w:t>39.36</w:t>
            </w:r>
            <w:r>
              <w:rPr>
                <w:rFonts w:hint="default" w:ascii="Times New Roman" w:hAnsi="Times New Roman" w:eastAsia="宋体" w:cs="Times New Roman"/>
                <w:color w:val="auto"/>
                <w:kern w:val="2"/>
                <w:sz w:val="24"/>
                <w:szCs w:val="24"/>
                <w:lang w:val="en-US" w:eastAsia="zh-CN" w:bidi="ar-SA"/>
              </w:rPr>
              <w:t>万吨</w:t>
            </w:r>
            <w:r>
              <w:rPr>
                <w:rFonts w:hint="eastAsia" w:cs="Times New Roman"/>
                <w:color w:val="auto"/>
                <w:kern w:val="2"/>
                <w:sz w:val="24"/>
                <w:szCs w:val="24"/>
                <w:lang w:val="en-US" w:eastAsia="zh-CN" w:bidi="ar-SA"/>
              </w:rPr>
              <w:t>（合计吞吐量78.72万吨）</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default" w:eastAsia="宋体" w:cs="Times New Roman"/>
                <w:b w:val="0"/>
                <w:bCs w:val="0"/>
                <w:color w:val="auto"/>
                <w:kern w:val="0"/>
                <w:sz w:val="24"/>
                <w:szCs w:val="24"/>
                <w:highlight w:val="none"/>
                <w:lang w:val="en-US" w:eastAsia="zh-CN" w:bidi="ar"/>
              </w:rPr>
            </w:pPr>
            <w:r>
              <w:rPr>
                <w:rFonts w:hint="eastAsia" w:cs="Times New Roman"/>
                <w:b w:val="0"/>
                <w:bCs w:val="0"/>
                <w:color w:val="auto"/>
                <w:kern w:val="0"/>
                <w:sz w:val="24"/>
                <w:szCs w:val="24"/>
                <w:highlight w:val="none"/>
                <w:lang w:eastAsia="zh-CN" w:bidi="ar"/>
              </w:rPr>
              <w:t>项目主要建设内容见表</w:t>
            </w:r>
            <w:r>
              <w:rPr>
                <w:rFonts w:hint="eastAsia" w:cs="Times New Roman"/>
                <w:b w:val="0"/>
                <w:bCs w:val="0"/>
                <w:color w:val="auto"/>
                <w:kern w:val="0"/>
                <w:sz w:val="24"/>
                <w:szCs w:val="24"/>
                <w:highlight w:val="none"/>
                <w:lang w:val="en-US" w:eastAsia="zh-CN" w:bidi="ar"/>
              </w:rPr>
              <w:t>2-1。</w:t>
            </w:r>
          </w:p>
          <w:p>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pPr>
              <w:keepNext w:val="0"/>
              <w:keepLines w:val="0"/>
              <w:pageBreakBefore w:val="0"/>
              <w:widowControl/>
              <w:kinsoku/>
              <w:wordWrap/>
              <w:overflowPunct/>
              <w:topLinePunct w:val="0"/>
              <w:autoSpaceDE/>
              <w:autoSpaceDN/>
              <w:bidi w:val="0"/>
              <w:spacing w:line="440" w:lineRule="exact"/>
              <w:ind w:firstLine="482" w:firstLineChars="200"/>
              <w:textAlignment w:val="auto"/>
              <w:rPr>
                <w:rFonts w:cs="Times New Roman"/>
                <w:b/>
                <w:bCs/>
                <w:color w:val="auto"/>
                <w:kern w:val="0"/>
                <w:sz w:val="24"/>
                <w:szCs w:val="24"/>
                <w:highlight w:val="none"/>
                <w:lang w:bidi="ar"/>
              </w:rPr>
            </w:pPr>
            <w:r>
              <w:rPr>
                <w:rFonts w:hint="eastAsia" w:cs="Times New Roman"/>
                <w:b/>
                <w:bCs/>
                <w:color w:val="auto"/>
                <w:kern w:val="0"/>
                <w:sz w:val="24"/>
                <w:szCs w:val="24"/>
                <w:highlight w:val="none"/>
                <w:lang w:bidi="ar"/>
              </w:rPr>
              <w:t>表</w:t>
            </w:r>
            <w:r>
              <w:rPr>
                <w:rFonts w:hint="eastAsia" w:cs="Times New Roman"/>
                <w:b/>
                <w:bCs/>
                <w:color w:val="auto"/>
                <w:kern w:val="0"/>
                <w:sz w:val="24"/>
                <w:szCs w:val="24"/>
                <w:highlight w:val="none"/>
                <w:lang w:val="en-US" w:eastAsia="zh-CN" w:bidi="ar"/>
              </w:rPr>
              <w:t>2-1</w:t>
            </w:r>
            <w:r>
              <w:rPr>
                <w:rFonts w:hint="eastAsia" w:cs="Times New Roman"/>
                <w:b/>
                <w:bCs/>
                <w:color w:val="auto"/>
                <w:kern w:val="0"/>
                <w:sz w:val="24"/>
                <w:szCs w:val="24"/>
                <w:highlight w:val="none"/>
                <w:lang w:bidi="ar"/>
              </w:rPr>
              <w:t xml:space="preserve">   </w:t>
            </w:r>
            <w:r>
              <w:rPr>
                <w:rFonts w:hint="eastAsia" w:cs="Times New Roman"/>
                <w:b/>
                <w:bCs/>
                <w:color w:val="auto"/>
                <w:kern w:val="0"/>
                <w:sz w:val="24"/>
                <w:szCs w:val="24"/>
                <w:highlight w:val="none"/>
                <w:lang w:val="en-US" w:eastAsia="zh-CN" w:bidi="ar"/>
              </w:rPr>
              <w:t>项目组成</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
              <w:gridCol w:w="447"/>
              <w:gridCol w:w="447"/>
              <w:gridCol w:w="4279"/>
              <w:gridCol w:w="1141"/>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工程分类</w:t>
                  </w:r>
                </w:p>
              </w:tc>
              <w:tc>
                <w:tcPr>
                  <w:tcW w:w="565" w:type="pct"/>
                  <w:gridSpan w:val="3"/>
                  <w:vMerge w:val="restar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2676"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建设内容</w:t>
                  </w:r>
                </w:p>
              </w:tc>
              <w:tc>
                <w:tcPr>
                  <w:tcW w:w="133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可能产生的环境影响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2676"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施工期</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主体工程</w:t>
                  </w:r>
                </w:p>
              </w:tc>
              <w:tc>
                <w:tcPr>
                  <w:tcW w:w="56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储罐</w:t>
                  </w:r>
                  <w:r>
                    <w:rPr>
                      <w:rFonts w:hint="default" w:ascii="Times New Roman" w:hAnsi="Times New Roman" w:eastAsia="宋体" w:cs="Times New Roman"/>
                      <w:color w:val="auto"/>
                      <w:kern w:val="0"/>
                      <w:sz w:val="21"/>
                      <w:szCs w:val="21"/>
                      <w:lang w:eastAsia="zh-CN"/>
                    </w:rPr>
                    <w:t>区</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位于库区东部，</w:t>
                  </w:r>
                  <w:r>
                    <w:rPr>
                      <w:rFonts w:hint="default" w:ascii="Times New Roman" w:hAnsi="Times New Roman" w:eastAsia="宋体" w:cs="Times New Roman"/>
                      <w:color w:val="auto"/>
                      <w:kern w:val="0"/>
                      <w:sz w:val="21"/>
                      <w:szCs w:val="21"/>
                    </w:rPr>
                    <w:t>油库总库容3.1万m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，建设</w:t>
                  </w:r>
                  <w:r>
                    <w:rPr>
                      <w:rFonts w:hint="default" w:ascii="Times New Roman" w:hAnsi="Times New Roman" w:eastAsia="宋体" w:cs="Times New Roman"/>
                      <w:color w:val="auto"/>
                      <w:kern w:val="0"/>
                      <w:sz w:val="21"/>
                      <w:szCs w:val="21"/>
                      <w:lang w:val="en-US" w:eastAsia="zh-CN"/>
                    </w:rPr>
                    <w:t>9</w:t>
                  </w:r>
                  <w:r>
                    <w:rPr>
                      <w:rFonts w:hint="default" w:ascii="Times New Roman" w:hAnsi="Times New Roman" w:eastAsia="宋体" w:cs="Times New Roman"/>
                      <w:color w:val="auto"/>
                      <w:kern w:val="0"/>
                      <w:sz w:val="21"/>
                      <w:szCs w:val="21"/>
                    </w:rPr>
                    <w:t>座油罐，5000m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内浮顶油罐4座、3000m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内浮顶油罐3座、1000m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内浮顶油罐2座，设置防火堤，且布置了跨越防火堤和隔堤的人行过桥，防火堤外侧设置6m宽环形消防道路。</w:t>
                  </w:r>
                </w:p>
              </w:tc>
              <w:tc>
                <w:tcPr>
                  <w:tcW w:w="71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施工噪声、废水、扬尘、废弃包装材料、弃渣、弃土</w:t>
                  </w:r>
                </w:p>
              </w:tc>
              <w:tc>
                <w:tcPr>
                  <w:tcW w:w="6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废气、废水、噪声、固废、环境风险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rPr>
                    <w:t>公路装</w:t>
                  </w:r>
                  <w:r>
                    <w:rPr>
                      <w:rFonts w:hint="eastAsia" w:cs="Times New Roman"/>
                      <w:color w:val="auto"/>
                      <w:kern w:val="0"/>
                      <w:sz w:val="21"/>
                      <w:szCs w:val="21"/>
                      <w:lang w:val="en-US" w:eastAsia="zh-CN"/>
                    </w:rPr>
                    <w:t>车区</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lang w:val="en-US" w:eastAsia="zh-CN"/>
                    </w:rPr>
                    <w:t>位于库区西部，占地面积7257m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rPr>
                    <w:t>设置公路发油棚1座，</w:t>
                  </w:r>
                  <w:r>
                    <w:rPr>
                      <w:rFonts w:hint="eastAsia" w:cs="Times New Roman"/>
                      <w:color w:val="auto"/>
                      <w:kern w:val="0"/>
                      <w:sz w:val="21"/>
                      <w:szCs w:val="21"/>
                      <w:lang w:val="en-US" w:eastAsia="zh-CN"/>
                    </w:rPr>
                    <w:t>面积506m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（投影面积1012m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eastAsia"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rPr>
                    <w:t>下设5座装车岛，5个装车位；设置15套汽车下装鹤管，采用铁艺围墙与其他区域分隔</w:t>
                  </w:r>
                  <w:r>
                    <w:rPr>
                      <w:rFonts w:hint="eastAsia" w:cs="Times New Roman"/>
                      <w:color w:val="auto"/>
                      <w:kern w:val="0"/>
                      <w:sz w:val="21"/>
                      <w:szCs w:val="21"/>
                      <w:lang w:eastAsia="zh-CN"/>
                    </w:rPr>
                    <w:t>。</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油品输油管线</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3条，总长度</w:t>
                  </w:r>
                  <w:r>
                    <w:rPr>
                      <w:rFonts w:hint="default" w:ascii="Times New Roman" w:hAnsi="Times New Roman" w:eastAsia="宋体" w:cs="Times New Roman"/>
                      <w:color w:val="auto"/>
                      <w:kern w:val="0"/>
                      <w:sz w:val="21"/>
                      <w:szCs w:val="21"/>
                      <w:lang w:val="en-US" w:eastAsia="zh-CN"/>
                    </w:rPr>
                    <w:t>6562</w:t>
                  </w:r>
                  <w:r>
                    <w:rPr>
                      <w:rFonts w:hint="default" w:ascii="Times New Roman" w:hAnsi="Times New Roman" w:eastAsia="宋体" w:cs="Times New Roman"/>
                      <w:color w:val="auto"/>
                      <w:kern w:val="0"/>
                      <w:sz w:val="21"/>
                      <w:szCs w:val="21"/>
                    </w:rPr>
                    <w:t>m的DN</w:t>
                  </w:r>
                  <w:r>
                    <w:rPr>
                      <w:rFonts w:hint="default" w:ascii="Times New Roman" w:hAnsi="Times New Roman" w:eastAsia="宋体" w:cs="Times New Roman"/>
                      <w:color w:val="auto"/>
                      <w:kern w:val="0"/>
                      <w:sz w:val="21"/>
                      <w:szCs w:val="21"/>
                      <w:lang w:val="en-US" w:eastAsia="zh-CN"/>
                    </w:rPr>
                    <w:t>15~350</w:t>
                  </w:r>
                  <w:r>
                    <w:rPr>
                      <w:rFonts w:hint="default" w:ascii="Times New Roman" w:hAnsi="Times New Roman" w:eastAsia="宋体" w:cs="Times New Roman"/>
                      <w:color w:val="auto"/>
                      <w:kern w:val="0"/>
                      <w:sz w:val="21"/>
                      <w:szCs w:val="21"/>
                    </w:rPr>
                    <w:t>输油管线。</w:t>
                  </w:r>
                  <w:r>
                    <w:rPr>
                      <w:rFonts w:hint="eastAsia" w:ascii="Times New Roman" w:hAnsi="Times New Roman" w:eastAsia="宋体" w:cs="Times New Roman"/>
                      <w:color w:val="auto"/>
                      <w:kern w:val="0"/>
                      <w:sz w:val="21"/>
                      <w:szCs w:val="21"/>
                      <w:lang w:eastAsia="zh-CN"/>
                    </w:rPr>
                    <w:t>主要用于汽柴油于各单元转运。工艺管道罐区内地上管墩敷设，罐区外至公路装车区埋地敷设。管道穿越道路、挡土墙、围墙、防火堤时加设大两级套管保护，套管缝隙处采用非燃烧材料填实。</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铁路卸车区</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位于库区南部，设置1座铁路卸车栈桥（24套鹤管、双侧卸车）、铁路卸车泵棚、扫仓罐区；铁路卸车栈桥长288m、宽2m；</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铁路卸车泵棚：占地面积220m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eastAsia="zh-CN"/>
                    </w:rPr>
                    <w:t>设置</w:t>
                  </w:r>
                  <w:r>
                    <w:rPr>
                      <w:rFonts w:hint="eastAsia" w:ascii="Times New Roman" w:hAnsi="Times New Roman" w:eastAsia="宋体" w:cs="Times New Roman"/>
                      <w:color w:val="auto"/>
                      <w:kern w:val="0"/>
                      <w:sz w:val="21"/>
                      <w:szCs w:val="21"/>
                      <w:lang w:val="en-US" w:eastAsia="zh-CN"/>
                    </w:rPr>
                    <w:t>4台铁路卸车泵和两台</w:t>
                  </w:r>
                  <w:r>
                    <w:rPr>
                      <w:rFonts w:hint="eastAsia" w:cs="Times New Roman"/>
                      <w:color w:val="auto"/>
                      <w:kern w:val="0"/>
                      <w:sz w:val="21"/>
                      <w:szCs w:val="21"/>
                      <w:lang w:val="en-US" w:eastAsia="zh-CN"/>
                    </w:rPr>
                    <w:t>扫仓</w:t>
                  </w:r>
                  <w:r>
                    <w:rPr>
                      <w:rFonts w:hint="eastAsia" w:ascii="Times New Roman" w:hAnsi="Times New Roman" w:eastAsia="宋体" w:cs="Times New Roman"/>
                      <w:color w:val="auto"/>
                      <w:kern w:val="0"/>
                      <w:sz w:val="21"/>
                      <w:szCs w:val="21"/>
                      <w:lang w:val="en-US" w:eastAsia="zh-CN"/>
                    </w:rPr>
                    <w:t>泵。</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扫仓罐区：</w:t>
                  </w:r>
                  <w:r>
                    <w:rPr>
                      <w:rFonts w:hint="eastAsia" w:ascii="Times New Roman" w:hAnsi="Times New Roman" w:eastAsia="宋体" w:cs="Times New Roman"/>
                      <w:color w:val="auto"/>
                      <w:kern w:val="0"/>
                      <w:sz w:val="21"/>
                      <w:szCs w:val="21"/>
                      <w:lang w:eastAsia="zh-CN"/>
                    </w:rPr>
                    <w:t>设置</w:t>
                  </w:r>
                  <w:r>
                    <w:rPr>
                      <w:rFonts w:hint="eastAsia" w:cs="Times New Roman"/>
                      <w:color w:val="auto"/>
                      <w:kern w:val="0"/>
                      <w:sz w:val="21"/>
                      <w:szCs w:val="21"/>
                      <w:lang w:val="en-US" w:eastAsia="zh-CN"/>
                    </w:rPr>
                    <w:t>3座扫仓罐</w:t>
                  </w:r>
                  <w:r>
                    <w:rPr>
                      <w:rFonts w:hint="eastAsia" w:ascii="Times New Roman" w:hAnsi="Times New Roman" w:eastAsia="宋体" w:cs="Times New Roman"/>
                      <w:color w:val="auto"/>
                      <w:kern w:val="0"/>
                      <w:sz w:val="21"/>
                      <w:szCs w:val="21"/>
                      <w:lang w:val="en-US" w:eastAsia="zh-CN"/>
                    </w:rPr>
                    <w:t>（1柴油、</w:t>
                  </w:r>
                  <w:r>
                    <w:rPr>
                      <w:rFonts w:hint="eastAsia"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汽油）</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辅助工程</w:t>
                  </w: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综合办公楼</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位于库区西北部，3F，框架结构，建筑面积1585.56m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，设置倒班公寓，用于职工休息；设置食堂、餐厅，用于做饭及职工就餐；设置办公室，用于职工办公；设置配电间、电信机房，用于办公楼配电、通讯。</w:t>
                  </w:r>
                </w:p>
              </w:tc>
              <w:tc>
                <w:tcPr>
                  <w:tcW w:w="71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施工噪声、废水、扬尘、废弃包装材料、弃渣、弃土</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生活垃圾、生活污水</w:t>
                  </w:r>
                  <w:r>
                    <w:rPr>
                      <w:rFonts w:hint="eastAsia" w:cs="Times New Roman"/>
                      <w:color w:val="auto"/>
                      <w:kern w:val="0"/>
                      <w:sz w:val="21"/>
                      <w:szCs w:val="21"/>
                      <w:lang w:val="en-US" w:eastAsia="zh-CN"/>
                    </w:rPr>
                    <w:t>、食堂废水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化验室</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位于公路装车区东北侧，1F，框架结构，建筑面积232.36m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，设置化验室、器材间、样品间等，</w:t>
                  </w:r>
                  <w:r>
                    <w:rPr>
                      <w:rFonts w:hint="default" w:ascii="Times New Roman" w:hAnsi="Times New Roman" w:eastAsia="宋体" w:cs="Times New Roman"/>
                      <w:color w:val="auto"/>
                      <w:kern w:val="0"/>
                      <w:sz w:val="21"/>
                      <w:szCs w:val="21"/>
                      <w:lang w:val="en-US" w:eastAsia="zh-CN"/>
                    </w:rPr>
                    <w:t>用于进出油库的车用汽油、车用柴油的质量检验和质量评定，及时掌握油品性质变化，做好质量控制。</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废气、废水、固废、噪声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营业控制室</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位于公路装车区西南部，2F，框架结构，建筑面积271.04m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，设置机柜间、中心控制室、配电室等，用于控制油库收发油等。</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废气、噪声、环境风险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消防泵房及配电间</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位于化验室东侧，1F，框架结构，建筑面积564.48m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，设置机柜间、高压配电室、变配电间、发电间、消防泵房；</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消防泵房内设置消防冷却水泵2台，一电一柴，泡沫消防泵</w:t>
                  </w:r>
                  <w:r>
                    <w:rPr>
                      <w:rFonts w:hint="default" w:cs="Times New Roman"/>
                      <w:color w:val="auto"/>
                      <w:kern w:val="0"/>
                      <w:sz w:val="21"/>
                      <w:szCs w:val="21"/>
                      <w:lang w:val="en-US" w:eastAsia="zh-CN"/>
                    </w:rPr>
                    <w:t>2</w:t>
                  </w:r>
                  <w:r>
                    <w:rPr>
                      <w:rFonts w:hint="eastAsia" w:cs="Times New Roman"/>
                      <w:color w:val="auto"/>
                      <w:kern w:val="0"/>
                      <w:sz w:val="21"/>
                      <w:szCs w:val="21"/>
                      <w:lang w:val="en-US" w:eastAsia="zh-CN"/>
                    </w:rPr>
                    <w:t>台，一电一柴；</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发电间内设置1台300kW柴油发电机组，用作停电时备用电源。</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废气、废水、固废、噪声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消防水罐</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位于消防泵房及配电间东南侧，设置2座800m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lang w:val="en-US" w:eastAsia="zh-CN"/>
                    </w:rPr>
                    <w:t>消防水罐，置1套</w:t>
                  </w:r>
                  <w:r>
                    <w:rPr>
                      <w:rFonts w:hint="default" w:cs="Times New Roman"/>
                      <w:color w:val="auto"/>
                      <w:kern w:val="0"/>
                      <w:sz w:val="21"/>
                      <w:szCs w:val="21"/>
                      <w:lang w:val="en-US" w:eastAsia="zh-CN"/>
                    </w:rPr>
                    <w:t>PHYM48/50</w:t>
                  </w:r>
                  <w:r>
                    <w:rPr>
                      <w:rFonts w:hint="eastAsia" w:cs="Times New Roman"/>
                      <w:color w:val="auto"/>
                      <w:kern w:val="0"/>
                      <w:sz w:val="21"/>
                      <w:szCs w:val="21"/>
                      <w:lang w:val="en-US" w:eastAsia="zh-CN"/>
                    </w:rPr>
                    <w:t>型压力式空气泡沫比例混合灭火装置</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门卫</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位于综合办公楼西南部，1F，框架结构，建筑面积15m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，用于警卫人员使用。</w:t>
                  </w:r>
                </w:p>
              </w:tc>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w:t>
                  </w: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供电</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项目用电引自双龙铁路物流园区配电网单回路10KV电源。</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eastAsia" w:cs="Times New Roman"/>
                      <w:snapToGrid w:val="0"/>
                      <w:color w:val="auto"/>
                      <w:kern w:val="0"/>
                      <w:sz w:val="21"/>
                      <w:szCs w:val="21"/>
                      <w:lang w:val="en-US" w:eastAsia="zh-CN"/>
                    </w:rPr>
                    <w:t>设置</w:t>
                  </w:r>
                  <w:r>
                    <w:rPr>
                      <w:rFonts w:hint="default" w:ascii="Times New Roman" w:hAnsi="Times New Roman" w:eastAsia="宋体" w:cs="Times New Roman"/>
                      <w:snapToGrid w:val="0"/>
                      <w:color w:val="auto"/>
                      <w:kern w:val="0"/>
                      <w:sz w:val="21"/>
                      <w:szCs w:val="21"/>
                    </w:rPr>
                    <w:t>1座发电间，内设1台300kW柴油发电机组，作为备用电源。</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供水</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项目用水来自市政管网。</w:t>
                  </w:r>
                </w:p>
              </w:tc>
              <w:tc>
                <w:tcPr>
                  <w:tcW w:w="713"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排水</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采取雨污分流制，初期雨水作为含油废水处理，后期雨水作为清净水直接外排；</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eastAsia" w:cs="Times New Roman"/>
                      <w:bCs/>
                      <w:color w:val="auto"/>
                      <w:spacing w:val="-2"/>
                      <w:kern w:val="2"/>
                      <w:sz w:val="21"/>
                      <w:szCs w:val="21"/>
                      <w:lang w:val="en-US" w:eastAsia="zh-CN" w:bidi="ar-SA"/>
                    </w:rPr>
                    <w:t>双龙镇污水处理厂扩建完成前，生活污水（食堂废水经隔油池处理）经化粪池处理后定期清掏，初期雨水、地面冲洗水、夏季罐体降温喷淋水经库区废水处理站处理后用于库区绿化和泼洒抑尘；双龙镇污水处理厂扩建完成后，生活污水（食堂废水经隔油池处理）经“化粪池+</w:t>
                  </w:r>
                  <w:r>
                    <w:rPr>
                      <w:rFonts w:hint="default" w:ascii="Times New Roman" w:hAnsi="Times New Roman" w:eastAsia="宋体" w:cs="Times New Roman"/>
                      <w:bCs/>
                      <w:color w:val="auto"/>
                      <w:spacing w:val="-2"/>
                      <w:kern w:val="2"/>
                      <w:sz w:val="21"/>
                      <w:szCs w:val="21"/>
                      <w:lang w:val="en-US" w:eastAsia="zh-CN" w:bidi="ar-SA"/>
                    </w:rPr>
                    <w:t>地埋式生活污水处理装置</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处理后</w:t>
                  </w:r>
                  <w:r>
                    <w:rPr>
                      <w:rFonts w:hint="eastAsia" w:ascii="Times New Roman" w:hAnsi="Times New Roman" w:eastAsia="宋体" w:cs="Times New Roman"/>
                      <w:bCs/>
                      <w:color w:val="auto"/>
                      <w:spacing w:val="-2"/>
                      <w:kern w:val="2"/>
                      <w:sz w:val="21"/>
                      <w:szCs w:val="21"/>
                      <w:lang w:val="en-US" w:eastAsia="zh-CN" w:bidi="ar-SA"/>
                    </w:rPr>
                    <w:t>通过园区管网</w:t>
                  </w:r>
                  <w:r>
                    <w:rPr>
                      <w:rFonts w:hint="default" w:ascii="Times New Roman" w:hAnsi="Times New Roman" w:eastAsia="宋体" w:cs="Times New Roman"/>
                      <w:bCs/>
                      <w:color w:val="auto"/>
                      <w:spacing w:val="-2"/>
                      <w:kern w:val="2"/>
                      <w:sz w:val="21"/>
                      <w:szCs w:val="21"/>
                      <w:lang w:val="en-US" w:eastAsia="zh-CN" w:bidi="ar-SA"/>
                    </w:rPr>
                    <w:t>排至</w:t>
                  </w:r>
                  <w:r>
                    <w:rPr>
                      <w:rFonts w:hint="eastAsia" w:ascii="Times New Roman" w:hAnsi="Times New Roman" w:eastAsia="宋体" w:cs="Times New Roman"/>
                      <w:bCs/>
                      <w:color w:val="auto"/>
                      <w:spacing w:val="-2"/>
                      <w:kern w:val="2"/>
                      <w:sz w:val="21"/>
                      <w:szCs w:val="21"/>
                      <w:lang w:val="en-US" w:eastAsia="zh-CN" w:bidi="ar-SA"/>
                    </w:rPr>
                    <w:t>双龙镇污水处理厂处理</w:t>
                  </w:r>
                  <w:r>
                    <w:rPr>
                      <w:rFonts w:hint="default" w:ascii="Times New Roman" w:hAnsi="Times New Roman" w:eastAsia="宋体" w:cs="Times New Roman"/>
                      <w:bCs/>
                      <w:color w:val="auto"/>
                      <w:spacing w:val="-2"/>
                      <w:kern w:val="2"/>
                      <w:sz w:val="21"/>
                      <w:szCs w:val="21"/>
                      <w:lang w:val="en-US" w:eastAsia="zh-CN" w:bidi="ar-SA"/>
                    </w:rPr>
                    <w:t>；</w:t>
                  </w:r>
                  <w:r>
                    <w:rPr>
                      <w:rFonts w:hint="eastAsia" w:cs="Times New Roman"/>
                      <w:bCs/>
                      <w:color w:val="auto"/>
                      <w:spacing w:val="-2"/>
                      <w:kern w:val="2"/>
                      <w:sz w:val="21"/>
                      <w:szCs w:val="21"/>
                      <w:lang w:val="en-US" w:eastAsia="zh-CN" w:bidi="ar-SA"/>
                    </w:rPr>
                    <w:t>初期雨水、地面冲洗水、夏季罐体降温喷淋水经库区废水处理站处理后</w:t>
                  </w:r>
                  <w:r>
                    <w:rPr>
                      <w:rFonts w:hint="eastAsia" w:ascii="Times New Roman" w:hAnsi="Times New Roman" w:eastAsia="宋体" w:cs="Times New Roman"/>
                      <w:bCs/>
                      <w:color w:val="auto"/>
                      <w:spacing w:val="-2"/>
                      <w:kern w:val="2"/>
                      <w:sz w:val="21"/>
                      <w:szCs w:val="21"/>
                      <w:lang w:val="en-US" w:eastAsia="zh-CN" w:bidi="ar-SA"/>
                    </w:rPr>
                    <w:t>经园区管网同生活污水一起排入双龙镇污水厂处理</w:t>
                  </w:r>
                  <w:r>
                    <w:rPr>
                      <w:rFonts w:hint="default" w:ascii="Times New Roman" w:hAnsi="Times New Roman" w:eastAsia="宋体"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highlight w:val="none"/>
                      <w:lang w:val="en-US" w:eastAsia="zh-CN" w:bidi="ar-SA"/>
                    </w:rPr>
                    <w:t>消防、事故废水</w:t>
                  </w:r>
                  <w:r>
                    <w:rPr>
                      <w:rFonts w:hint="eastAsia" w:cs="Times New Roman"/>
                      <w:bCs/>
                      <w:color w:val="auto"/>
                      <w:spacing w:val="-2"/>
                      <w:kern w:val="2"/>
                      <w:sz w:val="21"/>
                      <w:szCs w:val="21"/>
                      <w:highlight w:val="none"/>
                      <w:lang w:val="en-US" w:eastAsia="zh-CN" w:bidi="ar-SA"/>
                    </w:rPr>
                    <w:t>分批排入污水处理站处理</w:t>
                  </w:r>
                  <w:r>
                    <w:rPr>
                      <w:rFonts w:hint="eastAsia" w:cs="Times New Roman"/>
                      <w:bCs/>
                      <w:color w:val="auto"/>
                      <w:spacing w:val="-2"/>
                      <w:kern w:val="2"/>
                      <w:sz w:val="21"/>
                      <w:szCs w:val="21"/>
                      <w:lang w:val="en-US" w:eastAsia="zh-CN" w:bidi="ar-SA"/>
                    </w:rPr>
                    <w:t>。</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生活污水、含油污水</w:t>
                  </w:r>
                  <w:r>
                    <w:rPr>
                      <w:rFonts w:hint="eastAsia" w:cs="Times New Roman"/>
                      <w:color w:val="auto"/>
                      <w:kern w:val="0"/>
                      <w:sz w:val="21"/>
                      <w:szCs w:val="21"/>
                      <w:lang w:val="en-US" w:eastAsia="zh-CN"/>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消防系统</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新建2座</w:t>
                  </w:r>
                  <w:r>
                    <w:rPr>
                      <w:rFonts w:hint="eastAsia" w:ascii="Times New Roman" w:hAnsi="Times New Roman" w:eastAsia="宋体" w:cs="Times New Roman"/>
                      <w:color w:val="auto"/>
                      <w:kern w:val="0"/>
                      <w:sz w:val="21"/>
                      <w:szCs w:val="21"/>
                      <w:lang w:val="en-US" w:eastAsia="zh-CN"/>
                    </w:rPr>
                    <w:t>800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消防水罐作为消防水源，建设消防泵房（与变配电间共用车间），在储油罐上设置固定式泡沫灭火系统，在管网上设置地上泡沫栓。库区按要求配置灭火器、灭火沙及灭火毯。</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通信工程</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通信接市政管网，设有自动电话系统、计算机局域网络、无线对讲系统、有线电视系统、火灾报警系统、视频监控系统、电子巡查系统、门禁管理系统。</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restart"/>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559" w:type="pct"/>
                  <w:gridSpan w:val="2"/>
                  <w:vMerge w:val="restart"/>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火车卸油废气：“鹤管+软管”密闭卸车，罐车顶部气相口关闭，卸车过程无废气产生。应急汽油卸油废气：与汽油装车废气共用1套油气回收装置+1根20m排气筒。</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汽油装车废气（含已经汽油卸油废气）、汽油扫仓废气：密闭鹤管/密闭软管+1套油气回收装置（三级冷凝+活性炭吸附）+1根20m排气筒。</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柴油扫仓废气：密闭软管收集后无组织排放</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柴油发油废气：密闭发油鹤管收集后无组织排放；</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储罐废气（含卸油废气）：浮顶罐+高效二次密封，无组织排放。</w:t>
                  </w:r>
                  <w:r>
                    <w:rPr>
                      <w:rFonts w:hint="eastAsia" w:ascii="Times New Roman" w:hAnsi="Times New Roman" w:eastAsia="宋体" w:cs="Times New Roman"/>
                      <w:color w:val="auto"/>
                      <w:kern w:val="0"/>
                      <w:sz w:val="21"/>
                      <w:szCs w:val="21"/>
                      <w:lang w:val="en-US" w:eastAsia="zh-CN"/>
                    </w:rPr>
                    <w:t>夏季高温采用自动喷淋装置对油罐进行降温，减少油罐小呼吸，</w:t>
                  </w:r>
                  <w:r>
                    <w:rPr>
                      <w:rFonts w:hint="eastAsia" w:ascii="Times New Roman" w:hAnsi="Times New Roman" w:eastAsia="宋体" w:cs="Times New Roman"/>
                      <w:color w:val="auto"/>
                      <w:kern w:val="0"/>
                      <w:sz w:val="21"/>
                      <w:szCs w:val="21"/>
                      <w:highlight w:val="none"/>
                      <w:lang w:val="en-US" w:eastAsia="zh-CN"/>
                    </w:rPr>
                    <w:t>无组织排放。</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食堂油烟：油烟净化器处理后引至综合楼楼顶排放。</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化验室废气：经通风柜收集后无组织排放</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污水处理站废气：加盖密闭，无组织排放</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柴油发电机废气：</w:t>
                  </w:r>
                  <w:r>
                    <w:rPr>
                      <w:rFonts w:hint="eastAsia" w:cs="Times New Roman"/>
                      <w:color w:val="auto"/>
                      <w:sz w:val="21"/>
                      <w:szCs w:val="21"/>
                      <w:highlight w:val="none"/>
                      <w:lang w:eastAsia="zh-CN"/>
                    </w:rPr>
                    <w:t>设置机械排风系统，加强管理；</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车辆尾气：缩短车辆在库内的怠速时间，降低运输车辆车速，减少每辆车运输量，减少废气排放</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restar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559" w:type="pct"/>
                  <w:gridSpan w:val="2"/>
                  <w:vMerge w:val="restart"/>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bCs/>
                      <w:color w:val="auto"/>
                      <w:spacing w:val="-2"/>
                      <w:kern w:val="0"/>
                      <w:sz w:val="21"/>
                      <w:szCs w:val="21"/>
                      <w:lang w:val="en-US" w:eastAsia="zh-CN"/>
                    </w:rPr>
                  </w:pPr>
                  <w:r>
                    <w:rPr>
                      <w:rFonts w:hint="default" w:ascii="Times New Roman" w:hAnsi="Times New Roman" w:eastAsia="宋体" w:cs="Times New Roman"/>
                      <w:bCs/>
                      <w:color w:val="auto"/>
                      <w:spacing w:val="-2"/>
                      <w:kern w:val="0"/>
                      <w:sz w:val="21"/>
                      <w:szCs w:val="21"/>
                    </w:rPr>
                    <w:t>生活污水</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食堂废水：双龙镇污水处理厂扩建完成前，</w:t>
                  </w:r>
                  <w:r>
                    <w:rPr>
                      <w:rFonts w:hint="default" w:ascii="Times New Roman" w:hAnsi="Times New Roman" w:eastAsia="宋体" w:cs="Times New Roman"/>
                      <w:bCs/>
                      <w:color w:val="auto"/>
                      <w:spacing w:val="-2"/>
                      <w:kern w:val="0"/>
                      <w:sz w:val="21"/>
                      <w:szCs w:val="21"/>
                    </w:rPr>
                    <w:t>经化粪池</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食堂废水经隔油池处理</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后</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定期清掏；双龙镇污水处理厂扩建完成后，</w:t>
                  </w:r>
                  <w:r>
                    <w:rPr>
                      <w:rFonts w:hint="default" w:ascii="Times New Roman" w:hAnsi="Times New Roman" w:eastAsia="宋体" w:cs="Times New Roman"/>
                      <w:bCs/>
                      <w:color w:val="auto"/>
                      <w:spacing w:val="-2"/>
                      <w:kern w:val="0"/>
                      <w:sz w:val="21"/>
                      <w:szCs w:val="21"/>
                    </w:rPr>
                    <w:t>经化粪池</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食堂废水经隔油池处理</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w:t>
                  </w:r>
                  <w:r>
                    <w:rPr>
                      <w:rFonts w:hint="default" w:ascii="Times New Roman" w:hAnsi="Times New Roman" w:eastAsia="宋体" w:cs="Times New Roman"/>
                      <w:bCs/>
                      <w:color w:val="auto"/>
                      <w:spacing w:val="-2"/>
                      <w:kern w:val="0"/>
                      <w:sz w:val="21"/>
                      <w:szCs w:val="21"/>
                    </w:rPr>
                    <w:t>地埋式生活污水处理装置（</w:t>
                  </w:r>
                  <w:r>
                    <w:rPr>
                      <w:rFonts w:hint="eastAsia" w:cs="Times New Roman"/>
                      <w:bCs/>
                      <w:color w:val="auto"/>
                      <w:spacing w:val="-2"/>
                      <w:kern w:val="0"/>
                      <w:sz w:val="21"/>
                      <w:szCs w:val="21"/>
                      <w:lang w:val="en-US" w:eastAsia="zh-CN"/>
                    </w:rPr>
                    <w:t>1.0</w:t>
                  </w:r>
                  <w:r>
                    <w:rPr>
                      <w:rFonts w:hint="default" w:ascii="Times New Roman" w:hAnsi="Times New Roman" w:eastAsia="宋体" w:cs="Times New Roman"/>
                      <w:bCs/>
                      <w:color w:val="auto"/>
                      <w:spacing w:val="-2"/>
                      <w:kern w:val="0"/>
                      <w:sz w:val="21"/>
                      <w:szCs w:val="21"/>
                    </w:rPr>
                    <w:t>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w:t>
                  </w:r>
                  <w:r>
                    <w:rPr>
                      <w:rFonts w:hint="eastAsia" w:cs="Times New Roman"/>
                      <w:bCs/>
                      <w:color w:val="auto"/>
                      <w:spacing w:val="-2"/>
                      <w:kern w:val="0"/>
                      <w:sz w:val="21"/>
                      <w:szCs w:val="21"/>
                      <w:lang w:val="en-US" w:eastAsia="zh-CN"/>
                    </w:rPr>
                    <w:t>h</w:t>
                  </w:r>
                  <w:r>
                    <w:rPr>
                      <w:rFonts w:hint="default" w:ascii="Times New Roman" w:hAnsi="Times New Roman" w:eastAsia="宋体" w:cs="Times New Roman"/>
                      <w:bCs/>
                      <w:color w:val="auto"/>
                      <w:spacing w:val="-2"/>
                      <w:kern w:val="0"/>
                      <w:sz w:val="21"/>
                      <w:szCs w:val="21"/>
                    </w:rPr>
                    <w:t>）</w:t>
                  </w:r>
                  <w:r>
                    <w:rPr>
                      <w:rFonts w:hint="eastAsia" w:cs="Times New Roman"/>
                      <w:bCs/>
                      <w:color w:val="auto"/>
                      <w:spacing w:val="-2"/>
                      <w:kern w:val="0"/>
                      <w:sz w:val="21"/>
                      <w:szCs w:val="21"/>
                      <w:lang w:val="en-US" w:eastAsia="zh-CN"/>
                    </w:rPr>
                    <w:t>处理达标后排入双龙镇污水处理厂处理。</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废气、噪声、固废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pPr>
                    <w:keepNext w:val="0"/>
                    <w:keepLines w:val="0"/>
                    <w:pageBreakBefore w:val="0"/>
                    <w:widowControl w:val="0"/>
                    <w:kinsoku/>
                    <w:wordWrap/>
                    <w:overflowPunct/>
                    <w:topLinePunct w:val="0"/>
                    <w:bidi w:val="0"/>
                    <w:snapToGrid/>
                    <w:spacing w:line="360" w:lineRule="exact"/>
                    <w:jc w:val="both"/>
                    <w:textAlignment w:val="auto"/>
                    <w:rPr>
                      <w:color w:val="auto"/>
                      <w:sz w:val="21"/>
                      <w:szCs w:val="21"/>
                    </w:rPr>
                  </w:pPr>
                </w:p>
              </w:tc>
              <w:tc>
                <w:tcPr>
                  <w:tcW w:w="559" w:type="pct"/>
                  <w:gridSpan w:val="2"/>
                  <w:vMerge w:val="continue"/>
                  <w:noWrap/>
                  <w:vAlign w:val="center"/>
                </w:tcPr>
                <w:p>
                  <w:pPr>
                    <w:keepNext w:val="0"/>
                    <w:keepLines w:val="0"/>
                    <w:pageBreakBefore w:val="0"/>
                    <w:widowControl w:val="0"/>
                    <w:kinsoku/>
                    <w:wordWrap/>
                    <w:overflowPunct/>
                    <w:topLinePunct w:val="0"/>
                    <w:bidi w:val="0"/>
                    <w:snapToGrid/>
                    <w:spacing w:line="360" w:lineRule="exact"/>
                    <w:jc w:val="both"/>
                    <w:textAlignment w:val="auto"/>
                    <w:rPr>
                      <w:color w:val="auto"/>
                      <w:sz w:val="21"/>
                      <w:szCs w:val="21"/>
                    </w:rPr>
                  </w:pP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初期雨水、地面冲洗废水、夏季罐体降温喷淋排水：双龙镇污水处理厂扩建完成前，经厂内废水处理站处理达标后用于库区绿化、泼洒抑尘；双龙镇污水处理厂扩建完成后，经库区废水处理站处理达标后排入双龙镇污水处理厂处理。</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lang w:val="en-US" w:eastAsia="zh-CN"/>
                    </w:rPr>
                  </w:pPr>
                  <w:r>
                    <w:rPr>
                      <w:rFonts w:hint="default" w:ascii="Times New Roman" w:hAnsi="Times New Roman" w:eastAsia="宋体" w:cs="Times New Roman"/>
                      <w:color w:val="auto"/>
                      <w:kern w:val="0"/>
                      <w:sz w:val="21"/>
                      <w:szCs w:val="21"/>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rPr>
                  </w:pPr>
                  <w:r>
                    <w:rPr>
                      <w:rFonts w:hint="eastAsia" w:cs="Times New Roman"/>
                      <w:color w:val="auto"/>
                      <w:kern w:val="0"/>
                      <w:sz w:val="21"/>
                      <w:szCs w:val="21"/>
                      <w:lang w:val="en-US" w:eastAsia="zh-CN"/>
                    </w:rPr>
                    <w:t>废气、噪声、固废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u w:val="none"/>
                      <w:lang w:eastAsia="zh-CN"/>
                    </w:rPr>
                    <w:t>选用低噪声设备</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泵采用泵棚密闭安装隔声，做好基础减震措施，泵进出口加柔性软连接</w:t>
                  </w:r>
                  <w:r>
                    <w:rPr>
                      <w:rFonts w:hint="default" w:ascii="Times New Roman" w:hAnsi="Times New Roman" w:cs="Times New Roman"/>
                      <w:color w:val="auto"/>
                      <w:sz w:val="21"/>
                      <w:szCs w:val="21"/>
                      <w:u w:val="none"/>
                      <w:lang w:eastAsia="zh-CN"/>
                    </w:rPr>
                    <w:t>；车辆减速、禁止鸣笛。</w:t>
                  </w:r>
                </w:p>
              </w:tc>
              <w:tc>
                <w:tcPr>
                  <w:tcW w:w="71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619"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279" w:type="pct"/>
                  <w:vMerge w:val="restart"/>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279" w:type="pct"/>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危险废物</w:t>
                  </w: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Cs/>
                      <w:color w:val="auto"/>
                      <w:spacing w:val="-2"/>
                      <w:kern w:val="0"/>
                      <w:sz w:val="21"/>
                      <w:szCs w:val="21"/>
                      <w:lang w:eastAsia="zh-CN"/>
                    </w:rPr>
                    <w:t>储罐油泥，每三年清理一次，由第三方专业单位清洗后直接带走；废水处理站污泥清理后直接交由有资质单位处理；</w:t>
                  </w:r>
                  <w:r>
                    <w:rPr>
                      <w:rFonts w:hint="eastAsia" w:cs="Times New Roman"/>
                      <w:bCs/>
                      <w:color w:val="auto"/>
                      <w:spacing w:val="-2"/>
                      <w:kern w:val="0"/>
                      <w:sz w:val="21"/>
                      <w:szCs w:val="21"/>
                      <w:lang w:eastAsia="zh-CN"/>
                    </w:rPr>
                    <w:t>降质油，</w:t>
                  </w:r>
                  <w:r>
                    <w:rPr>
                      <w:rFonts w:hint="eastAsia" w:ascii="Times New Roman" w:hAnsi="Times New Roman" w:eastAsia="宋体" w:cs="Times New Roman"/>
                      <w:bCs/>
                      <w:color w:val="auto"/>
                      <w:spacing w:val="-2"/>
                      <w:kern w:val="0"/>
                      <w:sz w:val="21"/>
                      <w:szCs w:val="21"/>
                      <w:lang w:eastAsia="zh-CN"/>
                    </w:rPr>
                    <w:t>污水处理设施废油</w:t>
                  </w:r>
                  <w:r>
                    <w:rPr>
                      <w:rFonts w:hint="eastAsia" w:cs="Times New Roman"/>
                      <w:bCs/>
                      <w:color w:val="auto"/>
                      <w:spacing w:val="-2"/>
                      <w:kern w:val="0"/>
                      <w:sz w:val="21"/>
                      <w:szCs w:val="21"/>
                      <w:lang w:eastAsia="zh-CN"/>
                    </w:rPr>
                    <w:t>，</w:t>
                  </w:r>
                  <w:r>
                    <w:rPr>
                      <w:rFonts w:hint="eastAsia" w:ascii="Times New Roman" w:hAnsi="Times New Roman" w:eastAsia="宋体" w:cs="Times New Roman"/>
                      <w:bCs/>
                      <w:color w:val="auto"/>
                      <w:spacing w:val="-2"/>
                      <w:kern w:val="0"/>
                      <w:sz w:val="21"/>
                      <w:szCs w:val="21"/>
                      <w:lang w:eastAsia="zh-CN"/>
                    </w:rPr>
                    <w:t>废活性炭</w:t>
                  </w:r>
                  <w:r>
                    <w:rPr>
                      <w:rFonts w:hint="eastAsia" w:cs="Times New Roman"/>
                      <w:bCs/>
                      <w:color w:val="auto"/>
                      <w:spacing w:val="-2"/>
                      <w:kern w:val="0"/>
                      <w:sz w:val="21"/>
                      <w:szCs w:val="21"/>
                      <w:lang w:eastAsia="zh-CN"/>
                    </w:rPr>
                    <w:t>，</w:t>
                  </w:r>
                  <w:r>
                    <w:rPr>
                      <w:rFonts w:hint="eastAsia" w:ascii="Times New Roman" w:hAnsi="Times New Roman" w:eastAsia="宋体" w:cs="Times New Roman"/>
                      <w:bCs/>
                      <w:color w:val="auto"/>
                      <w:spacing w:val="-2"/>
                      <w:kern w:val="0"/>
                      <w:sz w:val="21"/>
                      <w:szCs w:val="21"/>
                      <w:lang w:eastAsia="zh-CN"/>
                    </w:rPr>
                    <w:t>废含油抹布及劳保用品</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油罐切水、油罐清洗废水</w:t>
                  </w:r>
                  <w:r>
                    <w:rPr>
                      <w:rFonts w:hint="eastAsia" w:ascii="Times New Roman" w:hAnsi="Times New Roman" w:eastAsia="宋体" w:cs="Times New Roman"/>
                      <w:bCs/>
                      <w:color w:val="auto"/>
                      <w:spacing w:val="-2"/>
                      <w:kern w:val="0"/>
                      <w:sz w:val="21"/>
                      <w:szCs w:val="21"/>
                      <w:lang w:eastAsia="zh-CN"/>
                    </w:rPr>
                    <w:t>暂存于危废间</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35m</w:t>
                  </w:r>
                  <w:r>
                    <w:rPr>
                      <w:rFonts w:hint="eastAsia" w:cs="Times New Roman"/>
                      <w:bCs/>
                      <w:color w:val="auto"/>
                      <w:spacing w:val="-2"/>
                      <w:kern w:val="0"/>
                      <w:sz w:val="21"/>
                      <w:szCs w:val="21"/>
                      <w:vertAlign w:val="superscript"/>
                      <w:lang w:val="en-US" w:eastAsia="zh-CN"/>
                    </w:rPr>
                    <w:t>2</w:t>
                  </w:r>
                  <w:r>
                    <w:rPr>
                      <w:rFonts w:hint="eastAsia"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，委托有资质单位处理；化验室废酸、碱、化学药剂和废渣</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暂存于化验废液集存池，委托有资质单位处理；</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废气、噪声、环境风险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79" w:type="pct"/>
                  <w:vMerge w:val="continue"/>
                  <w:noWrap/>
                  <w:vAlign w:val="center"/>
                </w:tcPr>
                <w:p>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79" w:type="pct"/>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eastAsia="宋体"/>
                      <w:color w:val="auto"/>
                      <w:sz w:val="21"/>
                      <w:szCs w:val="21"/>
                      <w:lang w:val="en-US" w:eastAsia="zh-CN"/>
                    </w:rPr>
                  </w:pPr>
                  <w:r>
                    <w:rPr>
                      <w:rFonts w:hint="eastAsia"/>
                      <w:color w:val="auto"/>
                      <w:sz w:val="21"/>
                      <w:szCs w:val="21"/>
                      <w:lang w:val="en-US" w:eastAsia="zh-CN"/>
                    </w:rPr>
                    <w:t>一般固废</w:t>
                  </w: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eastAsia" w:ascii="Times New Roman" w:hAnsi="Times New Roman" w:eastAsia="宋体" w:cs="Times New Roman"/>
                      <w:bCs/>
                      <w:color w:val="auto"/>
                      <w:spacing w:val="-2"/>
                      <w:kern w:val="0"/>
                      <w:sz w:val="21"/>
                      <w:szCs w:val="21"/>
                      <w:lang w:eastAsia="zh-CN"/>
                    </w:rPr>
                  </w:pPr>
                  <w:r>
                    <w:rPr>
                      <w:rFonts w:hint="eastAsia" w:ascii="Times New Roman" w:hAnsi="Times New Roman" w:eastAsia="宋体" w:cs="Times New Roman"/>
                      <w:bCs/>
                      <w:color w:val="auto"/>
                      <w:spacing w:val="-2"/>
                      <w:kern w:val="0"/>
                      <w:sz w:val="21"/>
                      <w:szCs w:val="21"/>
                      <w:lang w:eastAsia="zh-CN"/>
                    </w:rPr>
                    <w:t>化粪池污泥，定期清掏，由环卫部门填埋处理；</w:t>
                  </w:r>
                  <w:r>
                    <w:rPr>
                      <w:rFonts w:hint="default" w:ascii="Times New Roman" w:hAnsi="Times New Roman" w:eastAsia="宋体" w:cs="Times New Roman"/>
                      <w:color w:val="auto"/>
                      <w:kern w:val="0"/>
                      <w:sz w:val="21"/>
                      <w:szCs w:val="21"/>
                    </w:rPr>
                    <w:t>生活垃圾，专人收集，日产日清，由环卫部门</w:t>
                  </w:r>
                  <w:r>
                    <w:rPr>
                      <w:rFonts w:hint="eastAsia" w:ascii="Times New Roman" w:hAnsi="Times New Roman" w:eastAsia="宋体" w:cs="Times New Roman"/>
                      <w:color w:val="auto"/>
                      <w:kern w:val="0"/>
                      <w:sz w:val="21"/>
                      <w:szCs w:val="21"/>
                      <w:lang w:eastAsia="zh-CN"/>
                    </w:rPr>
                    <w:t>清运处理；</w:t>
                  </w:r>
                  <w:r>
                    <w:rPr>
                      <w:rFonts w:hint="eastAsia" w:cs="Times New Roman"/>
                      <w:color w:val="auto"/>
                      <w:sz w:val="21"/>
                      <w:szCs w:val="21"/>
                      <w:highlight w:val="none"/>
                      <w:lang w:val="en-US" w:eastAsia="zh-CN"/>
                    </w:rPr>
                    <w:t>生活污水处理站污泥：及时清理污泥，由环卫部门填埋处理；食堂废水隔油池废油：定期清掏，交由废油脂回收单位处理。</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防渗</w:t>
                  </w:r>
                </w:p>
              </w:tc>
              <w:tc>
                <w:tcPr>
                  <w:tcW w:w="2676" w:type="pct"/>
                  <w:noWrap/>
                  <w:vAlign w:val="center"/>
                </w:tcPr>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snapToGrid w:val="0"/>
                      <w:color w:val="auto"/>
                      <w:kern w:val="0"/>
                      <w:sz w:val="21"/>
                      <w:szCs w:val="21"/>
                      <w:highlight w:val="none"/>
                    </w:rPr>
                  </w:pPr>
                  <w:r>
                    <w:rPr>
                      <w:rFonts w:hint="default" w:ascii="Times New Roman" w:hAnsi="Times New Roman" w:eastAsia="宋体" w:cs="Times New Roman"/>
                      <w:color w:val="auto"/>
                      <w:kern w:val="2"/>
                      <w:sz w:val="21"/>
                      <w:szCs w:val="21"/>
                      <w:u w:val="none"/>
                      <w:lang w:val="en-US" w:eastAsia="zh-CN" w:bidi="ar-SA"/>
                    </w:rPr>
                    <w:t>储罐区、</w:t>
                  </w:r>
                  <w:r>
                    <w:rPr>
                      <w:rFonts w:hint="default" w:ascii="Times New Roman" w:hAnsi="Times New Roman" w:eastAsia="宋体" w:cs="Times New Roman"/>
                      <w:bCs/>
                      <w:color w:val="auto"/>
                      <w:spacing w:val="-2"/>
                      <w:kern w:val="0"/>
                      <w:sz w:val="21"/>
                      <w:szCs w:val="21"/>
                    </w:rPr>
                    <w:t>储罐组及扫仓罐区内地面、油气回收装置</w:t>
                  </w:r>
                  <w:r>
                    <w:rPr>
                      <w:rFonts w:hint="eastAsia" w:ascii="Times New Roman" w:hAnsi="Times New Roman" w:eastAsia="宋体" w:cs="Times New Roman"/>
                      <w:bCs/>
                      <w:color w:val="auto"/>
                      <w:spacing w:val="-2"/>
                      <w:kern w:val="0"/>
                      <w:sz w:val="21"/>
                      <w:szCs w:val="21"/>
                      <w:lang w:eastAsia="zh-CN"/>
                    </w:rPr>
                    <w:t>区</w:t>
                  </w:r>
                  <w:r>
                    <w:rPr>
                      <w:rFonts w:hint="default" w:ascii="Times New Roman" w:hAnsi="Times New Roman" w:eastAsia="宋体" w:cs="Times New Roman"/>
                      <w:color w:val="auto"/>
                      <w:kern w:val="2"/>
                      <w:sz w:val="21"/>
                      <w:szCs w:val="21"/>
                      <w:u w:val="none"/>
                      <w:lang w:val="en-US" w:eastAsia="zh-CN" w:bidi="ar-SA"/>
                    </w:rPr>
                    <w:t>、危废暂存间、隔油池、化粪池、</w:t>
                  </w:r>
                  <w:r>
                    <w:rPr>
                      <w:rFonts w:hint="eastAsia" w:ascii="Times New Roman" w:hAnsi="Times New Roman" w:eastAsia="宋体" w:cs="Times New Roman"/>
                      <w:color w:val="auto"/>
                      <w:spacing w:val="0"/>
                      <w:szCs w:val="21"/>
                      <w:lang w:val="en-US" w:eastAsia="zh-CN"/>
                    </w:rPr>
                    <w:t>漏油及事故污水收集池</w:t>
                  </w:r>
                  <w:r>
                    <w:rPr>
                      <w:rFonts w:hint="default" w:ascii="Times New Roman" w:hAnsi="Times New Roman" w:eastAsia="宋体" w:cs="Times New Roman"/>
                      <w:color w:val="auto"/>
                      <w:kern w:val="2"/>
                      <w:sz w:val="21"/>
                      <w:szCs w:val="21"/>
                      <w:u w:val="none"/>
                      <w:lang w:val="en-US" w:eastAsia="zh-CN" w:bidi="ar-SA"/>
                    </w:rPr>
                    <w:t>、废水处理站、物料输送管线</w:t>
                  </w:r>
                  <w:r>
                    <w:rPr>
                      <w:rFonts w:hint="eastAsia" w:cs="Times New Roman"/>
                      <w:color w:val="auto"/>
                      <w:kern w:val="2"/>
                      <w:sz w:val="21"/>
                      <w:szCs w:val="21"/>
                      <w:u w:val="none"/>
                      <w:lang w:val="en-US" w:eastAsia="zh-CN" w:bidi="ar-SA"/>
                    </w:rPr>
                    <w:t>、</w:t>
                  </w:r>
                  <w:r>
                    <w:rPr>
                      <w:rFonts w:hint="eastAsia" w:cs="Times New Roman"/>
                      <w:bCs/>
                      <w:color w:val="auto"/>
                      <w:spacing w:val="-2"/>
                      <w:kern w:val="0"/>
                      <w:sz w:val="21"/>
                      <w:szCs w:val="21"/>
                      <w:lang w:val="en-US" w:eastAsia="zh-CN"/>
                    </w:rPr>
                    <w:t>化验废液集存池、</w:t>
                  </w:r>
                  <w:r>
                    <w:rPr>
                      <w:rFonts w:hint="eastAsia" w:ascii="Times New Roman" w:hAnsi="Times New Roman" w:eastAsia="宋体" w:cs="Times New Roman"/>
                      <w:bCs/>
                      <w:color w:val="auto"/>
                      <w:spacing w:val="-2"/>
                      <w:kern w:val="0"/>
                      <w:sz w:val="21"/>
                      <w:szCs w:val="21"/>
                      <w:lang w:val="en-US" w:eastAsia="zh-CN"/>
                    </w:rPr>
                    <w:t>生活污</w:t>
                  </w:r>
                  <w:r>
                    <w:rPr>
                      <w:rFonts w:hint="eastAsia" w:ascii="Times New Roman" w:hAnsi="Times New Roman" w:eastAsia="宋体" w:cs="Times New Roman"/>
                      <w:color w:val="auto"/>
                      <w:kern w:val="2"/>
                      <w:sz w:val="21"/>
                      <w:szCs w:val="21"/>
                      <w:u w:val="none"/>
                      <w:lang w:val="en-US" w:eastAsia="zh-CN" w:bidi="ar-SA"/>
                    </w:rPr>
                    <w:t>水处理站</w:t>
                  </w:r>
                  <w:r>
                    <w:rPr>
                      <w:rFonts w:hint="default" w:ascii="Times New Roman" w:hAnsi="Times New Roman" w:eastAsia="宋体" w:cs="Times New Roman"/>
                      <w:color w:val="auto"/>
                      <w:kern w:val="2"/>
                      <w:sz w:val="21"/>
                      <w:szCs w:val="21"/>
                      <w:u w:val="none"/>
                      <w:lang w:val="en-US" w:eastAsia="zh-CN" w:bidi="ar-SA"/>
                    </w:rPr>
                    <w:t>进行重点防渗，</w:t>
                  </w:r>
                  <w:r>
                    <w:rPr>
                      <w:rFonts w:hint="default" w:ascii="Times New Roman" w:hAnsi="Times New Roman" w:cs="Times New Roman"/>
                      <w:snapToGrid w:val="0"/>
                      <w:color w:val="auto"/>
                      <w:kern w:val="0"/>
                      <w:sz w:val="21"/>
                      <w:szCs w:val="21"/>
                      <w:highlight w:val="none"/>
                    </w:rPr>
                    <w:t>等效黏土防渗层Mb≥6.0m，K≤1×10</w:t>
                  </w:r>
                  <w:r>
                    <w:rPr>
                      <w:rFonts w:hint="default" w:ascii="Times New Roman" w:hAnsi="Times New Roman" w:cs="Times New Roman"/>
                      <w:snapToGrid w:val="0"/>
                      <w:color w:val="auto"/>
                      <w:kern w:val="0"/>
                      <w:sz w:val="21"/>
                      <w:szCs w:val="21"/>
                      <w:highlight w:val="none"/>
                      <w:vertAlign w:val="superscript"/>
                    </w:rPr>
                    <w:t>-7</w:t>
                  </w:r>
                  <w:r>
                    <w:rPr>
                      <w:rFonts w:hint="default" w:ascii="Times New Roman" w:hAnsi="Times New Roman" w:cs="Times New Roman"/>
                      <w:snapToGrid w:val="0"/>
                      <w:color w:val="auto"/>
                      <w:kern w:val="0"/>
                      <w:sz w:val="21"/>
                      <w:szCs w:val="21"/>
                      <w:highlight w:val="none"/>
                    </w:rPr>
                    <w:t>cm/s</w:t>
                  </w:r>
                  <w:r>
                    <w:rPr>
                      <w:rFonts w:hint="default" w:ascii="Times New Roman" w:hAnsi="Times New Roman" w:cs="Times New Roman"/>
                      <w:snapToGrid w:val="0"/>
                      <w:color w:val="auto"/>
                      <w:kern w:val="0"/>
                      <w:sz w:val="21"/>
                      <w:szCs w:val="21"/>
                      <w:highlight w:val="none"/>
                      <w:lang w:eastAsia="zh-CN"/>
                    </w:rPr>
                    <w:t>，危废暂存间</w:t>
                  </w:r>
                  <w:r>
                    <w:rPr>
                      <w:rFonts w:hint="default" w:ascii="Times New Roman" w:hAnsi="Times New Roman" w:cs="Times New Roman"/>
                      <w:color w:val="auto"/>
                      <w:sz w:val="21"/>
                      <w:szCs w:val="21"/>
                    </w:rPr>
                    <w:t>渗透系数低于10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default" w:ascii="Times New Roman" w:hAnsi="Times New Roman" w:cs="Times New Roman"/>
                      <w:snapToGrid w:val="0"/>
                      <w:color w:val="auto"/>
                      <w:kern w:val="0"/>
                      <w:sz w:val="21"/>
                      <w:szCs w:val="21"/>
                      <w:highlight w:val="none"/>
                    </w:rPr>
                    <w:t>；</w:t>
                  </w:r>
                </w:p>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kern w:val="0"/>
                      <w:sz w:val="21"/>
                      <w:szCs w:val="21"/>
                      <w:highlight w:val="none"/>
                      <w:lang w:eastAsia="zh-CN"/>
                    </w:rPr>
                    <w:t>装卸车棚地面、</w:t>
                  </w:r>
                  <w:r>
                    <w:rPr>
                      <w:rFonts w:hint="eastAsia" w:eastAsia="宋体"/>
                      <w:snapToGrid w:val="0"/>
                      <w:color w:val="auto"/>
                      <w:kern w:val="0"/>
                      <w:sz w:val="21"/>
                      <w:szCs w:val="21"/>
                      <w:highlight w:val="none"/>
                      <w:lang w:val="en-US" w:eastAsia="zh-CN"/>
                    </w:rPr>
                    <w:t>含油污水处理装置棚地面、</w:t>
                  </w:r>
                  <w:r>
                    <w:rPr>
                      <w:rFonts w:hint="default" w:ascii="Times New Roman" w:hAnsi="Times New Roman" w:cs="Times New Roman"/>
                      <w:snapToGrid w:val="0"/>
                      <w:color w:val="auto"/>
                      <w:kern w:val="0"/>
                      <w:sz w:val="21"/>
                      <w:szCs w:val="21"/>
                      <w:highlight w:val="none"/>
                      <w:lang w:eastAsia="zh-CN"/>
                    </w:rPr>
                    <w:t>物料运输道路、雨水沟渠进行一般防渗，</w:t>
                  </w: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p>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bCs/>
                      <w:color w:val="auto"/>
                      <w:spacing w:val="-2"/>
                      <w:kern w:val="0"/>
                      <w:sz w:val="21"/>
                      <w:szCs w:val="21"/>
                    </w:rPr>
                  </w:pPr>
                  <w:r>
                    <w:rPr>
                      <w:rFonts w:hint="default" w:ascii="Times New Roman" w:hAnsi="Times New Roman" w:cs="Times New Roman"/>
                      <w:color w:val="auto"/>
                      <w:sz w:val="21"/>
                      <w:szCs w:val="21"/>
                      <w:highlight w:val="none"/>
                      <w:lang w:eastAsia="zh-CN"/>
                    </w:rPr>
                    <w:t>办公室、控制室进行简单防渗，一般硬化地面</w:t>
                  </w:r>
                  <w:r>
                    <w:rPr>
                      <w:rFonts w:hint="eastAsia" w:ascii="Times New Roman" w:cs="Times New Roman"/>
                      <w:color w:val="auto"/>
                      <w:sz w:val="21"/>
                      <w:szCs w:val="21"/>
                      <w:highlight w:val="none"/>
                      <w:lang w:eastAsia="zh-CN"/>
                    </w:rPr>
                    <w:t>。</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施工噪声、废水、扬尘、废弃包装材料、弃渣、弃土</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风险</w:t>
                  </w:r>
                </w:p>
              </w:tc>
              <w:tc>
                <w:tcPr>
                  <w:tcW w:w="2676" w:type="pct"/>
                  <w:noWrap/>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 w:val="21"/>
                      <w:szCs w:val="21"/>
                      <w:lang w:eastAsia="zh-CN"/>
                    </w:rPr>
                  </w:pPr>
                  <w:r>
                    <w:rPr>
                      <w:rFonts w:hint="eastAsia" w:cs="Times New Roman"/>
                      <w:bCs/>
                      <w:color w:val="auto"/>
                      <w:spacing w:val="-2"/>
                      <w:kern w:val="0"/>
                      <w:sz w:val="21"/>
                      <w:szCs w:val="21"/>
                      <w:lang w:val="en-US" w:eastAsia="zh-CN"/>
                    </w:rPr>
                    <w:t>厂区</w:t>
                  </w:r>
                  <w:r>
                    <w:rPr>
                      <w:rFonts w:hint="default" w:ascii="Times New Roman" w:hAnsi="Times New Roman" w:eastAsia="宋体" w:cs="Times New Roman"/>
                      <w:bCs/>
                      <w:color w:val="auto"/>
                      <w:spacing w:val="-2"/>
                      <w:kern w:val="0"/>
                      <w:sz w:val="21"/>
                      <w:szCs w:val="21"/>
                    </w:rPr>
                    <w:t>设置</w:t>
                  </w:r>
                  <w:r>
                    <w:rPr>
                      <w:rFonts w:hint="eastAsia" w:cs="Times New Roman"/>
                      <w:bCs/>
                      <w:color w:val="auto"/>
                      <w:spacing w:val="-2"/>
                      <w:kern w:val="0"/>
                      <w:sz w:val="21"/>
                      <w:szCs w:val="21"/>
                      <w:lang w:val="en-US" w:eastAsia="zh-CN"/>
                    </w:rPr>
                    <w:t>2160</w:t>
                  </w:r>
                  <w:r>
                    <w:rPr>
                      <w:rFonts w:hint="default" w:ascii="Times New Roman" w:hAnsi="Times New Roman" w:eastAsia="宋体" w:cs="Times New Roman"/>
                      <w:bCs/>
                      <w:color w:val="auto"/>
                      <w:spacing w:val="-2"/>
                      <w:kern w:val="0"/>
                      <w:sz w:val="21"/>
                      <w:szCs w:val="21"/>
                    </w:rPr>
                    <w:t>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泄漏及事故污水收集池，2座800m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消防水罐</w:t>
                  </w:r>
                  <w:r>
                    <w:rPr>
                      <w:rFonts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 w:val="21"/>
                      <w:szCs w:val="21"/>
                      <w:lang w:val="en-US" w:eastAsia="zh-CN"/>
                    </w:rPr>
                  </w:pPr>
                  <w:r>
                    <w:rPr>
                      <w:rFonts w:hint="eastAsia"/>
                      <w:color w:val="auto"/>
                      <w:sz w:val="21"/>
                      <w:szCs w:val="21"/>
                      <w:lang w:val="en-US" w:eastAsia="zh-CN"/>
                    </w:rPr>
                    <w:t>罐组四周设置防火堤（高1.6m），各储罐之间设置了隔堤（高0.5m），每个隔堤设置排水沟和沉沙井，沉沙井排水处设置2个分流阀门，分别为清洁雨水阀门、含油污水阀门，初期雨水排入厂内含油污水处理系统；清洁雨水排入清洁雨水系统，经出库水封井、阀门井排入库外排洪渠；</w:t>
                  </w:r>
                </w:p>
                <w:p>
                  <w:pPr>
                    <w:keepNext w:val="0"/>
                    <w:keepLines w:val="0"/>
                    <w:pageBreakBefore w:val="0"/>
                    <w:widowControl w:val="0"/>
                    <w:kinsoku/>
                    <w:wordWrap/>
                    <w:overflowPunct/>
                    <w:topLinePunct w:val="0"/>
                    <w:bidi w:val="0"/>
                    <w:snapToGrid/>
                    <w:spacing w:line="360" w:lineRule="exact"/>
                    <w:jc w:val="both"/>
                    <w:textAlignment w:val="auto"/>
                    <w:rPr>
                      <w:rFonts w:hint="eastAsia"/>
                      <w:color w:val="auto"/>
                      <w:sz w:val="21"/>
                      <w:szCs w:val="21"/>
                      <w:lang w:val="en-US" w:eastAsia="zh-CN"/>
                    </w:rPr>
                  </w:pPr>
                  <w:r>
                    <w:rPr>
                      <w:rFonts w:hint="eastAsia"/>
                      <w:color w:val="auto"/>
                      <w:sz w:val="21"/>
                      <w:szCs w:val="21"/>
                      <w:lang w:val="en-US" w:eastAsia="zh-CN"/>
                    </w:rPr>
                    <w:t>罐区地面进行防腐防渗处理；罐顶、液位计口、检测量有口等设置火焰探测器；厂区设置火灾报警系统，防火警示标志；</w:t>
                  </w:r>
                </w:p>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库区设置各危险单元均设置小型灭火器材。</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废气、废水、噪声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生态</w:t>
                  </w:r>
                </w:p>
              </w:tc>
              <w:tc>
                <w:tcPr>
                  <w:tcW w:w="2676" w:type="pct"/>
                  <w:noWrap/>
                  <w:vAlign w:val="center"/>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宋体" w:cs="Times New Roman"/>
                      <w:bCs/>
                      <w:color w:val="auto"/>
                      <w:spacing w:val="-2"/>
                      <w:kern w:val="0"/>
                      <w:sz w:val="21"/>
                      <w:szCs w:val="21"/>
                    </w:rPr>
                  </w:pPr>
                  <w:r>
                    <w:rPr>
                      <w:rFonts w:hint="default" w:ascii="Times New Roman" w:hAnsi="Times New Roman" w:eastAsia="宋体" w:cs="Times New Roman"/>
                      <w:bCs/>
                      <w:color w:val="auto"/>
                      <w:spacing w:val="-2"/>
                      <w:kern w:val="0"/>
                      <w:sz w:val="21"/>
                      <w:szCs w:val="21"/>
                    </w:rPr>
                    <w:t>施工期尽量减少土石方开挖量和临时占地量，取土区表层土的回填、土地整治</w:t>
                  </w:r>
                  <w:r>
                    <w:rPr>
                      <w:rFonts w:hint="eastAsia" w:cs="Times New Roman"/>
                      <w:bCs/>
                      <w:color w:val="auto"/>
                      <w:spacing w:val="-2"/>
                      <w:kern w:val="0"/>
                      <w:sz w:val="21"/>
                      <w:szCs w:val="21"/>
                      <w:lang w:eastAsia="zh-CN"/>
                    </w:rPr>
                    <w:t>；</w:t>
                  </w:r>
                </w:p>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项目区域占用了原双新公路，拟将双新公路进行改线，改至项目西侧，公路施工过程中尽量减少临时占地量；</w:t>
                  </w:r>
                </w:p>
                <w:p>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color w:val="auto"/>
                      <w:sz w:val="21"/>
                      <w:szCs w:val="21"/>
                      <w:highlight w:val="none"/>
                      <w:lang w:eastAsia="zh-CN"/>
                    </w:rPr>
                  </w:pPr>
                  <w:r>
                    <w:rPr>
                      <w:rFonts w:hint="eastAsia" w:cs="Times New Roman"/>
                      <w:bCs/>
                      <w:color w:val="auto"/>
                      <w:spacing w:val="-2"/>
                      <w:kern w:val="0"/>
                      <w:sz w:val="21"/>
                      <w:szCs w:val="21"/>
                      <w:lang w:val="en-US" w:eastAsia="zh-CN"/>
                    </w:rPr>
                    <w:t>项目区域占用了石门河，石门河为双龙河右岸一级小支沟，拟在现状河沟处设置泄洪沟，可减少地质灾害发生。</w:t>
                  </w:r>
                </w:p>
              </w:tc>
              <w:tc>
                <w:tcPr>
                  <w:tcW w:w="713"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bl>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生产方案及规模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本项目油库储存油品包括：汽油、柴油。年周转油量</w:t>
            </w:r>
            <w:r>
              <w:rPr>
                <w:rFonts w:hint="eastAsia" w:cs="Times New Roman"/>
                <w:color w:val="auto"/>
                <w:kern w:val="0"/>
                <w:sz w:val="24"/>
                <w:lang w:val="en-US" w:eastAsia="zh-CN"/>
              </w:rPr>
              <w:t>39.36</w:t>
            </w:r>
            <w:r>
              <w:rPr>
                <w:rFonts w:hint="default" w:ascii="Times New Roman" w:hAnsi="Times New Roman" w:eastAsia="宋体" w:cs="Times New Roman"/>
                <w:color w:val="auto"/>
                <w:kern w:val="0"/>
                <w:sz w:val="24"/>
              </w:rPr>
              <w:t>万吨，总库容3.1万m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。其中，汽油1.8万m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，年周转量为</w:t>
            </w:r>
            <w:r>
              <w:rPr>
                <w:rFonts w:hint="eastAsia" w:cs="Times New Roman"/>
                <w:color w:val="auto"/>
                <w:kern w:val="0"/>
                <w:sz w:val="24"/>
                <w:lang w:val="en-US" w:eastAsia="zh-CN"/>
              </w:rPr>
              <w:t>19.68</w:t>
            </w:r>
            <w:r>
              <w:rPr>
                <w:rFonts w:hint="default" w:ascii="Times New Roman" w:hAnsi="Times New Roman" w:eastAsia="宋体" w:cs="Times New Roman"/>
                <w:color w:val="auto"/>
                <w:kern w:val="0"/>
                <w:sz w:val="24"/>
              </w:rPr>
              <w:t>万吨，柴油1.3万m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，年周转量</w:t>
            </w:r>
            <w:r>
              <w:rPr>
                <w:rFonts w:hint="eastAsia" w:cs="Times New Roman"/>
                <w:color w:val="auto"/>
                <w:kern w:val="0"/>
                <w:sz w:val="24"/>
                <w:lang w:val="en-US" w:eastAsia="zh-CN"/>
              </w:rPr>
              <w:t>19.68</w:t>
            </w:r>
            <w:r>
              <w:rPr>
                <w:rFonts w:hint="default" w:ascii="Times New Roman" w:hAnsi="Times New Roman" w:eastAsia="宋体" w:cs="Times New Roman"/>
                <w:color w:val="auto"/>
                <w:kern w:val="0"/>
                <w:sz w:val="24"/>
              </w:rPr>
              <w:t>万吨。同时配套建设公路装卸区、铁路卸车区及其他公辅环保设施。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本项目油库周转油品见表</w:t>
            </w:r>
            <w:r>
              <w:rPr>
                <w:rFonts w:hint="eastAsia" w:ascii="Times New Roman" w:hAnsi="Times New Roman" w:eastAsia="宋体" w:cs="Times New Roman"/>
                <w:color w:val="auto"/>
                <w:kern w:val="0"/>
                <w:sz w:val="24"/>
                <w:lang w:val="en-US" w:eastAsia="zh-CN"/>
              </w:rPr>
              <w:t>2-2</w:t>
            </w:r>
            <w:r>
              <w:rPr>
                <w:rFonts w:hint="default" w:ascii="Times New Roman" w:hAnsi="Times New Roman" w:eastAsia="宋体" w:cs="Times New Roman"/>
                <w:color w:val="auto"/>
                <w:kern w:val="0"/>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2-2</w:t>
            </w:r>
            <w:r>
              <w:rPr>
                <w:rFonts w:hint="default" w:ascii="Times New Roman" w:hAnsi="Times New Roman" w:eastAsia="宋体" w:cs="Times New Roman"/>
                <w:b/>
                <w:bCs/>
                <w:color w:val="auto"/>
                <w:spacing w:val="-2"/>
                <w:kern w:val="2"/>
                <w:sz w:val="24"/>
                <w:szCs w:val="24"/>
                <w:lang w:val="en-US" w:eastAsia="zh-CN" w:bidi="ar-SA"/>
              </w:rPr>
              <w:t xml:space="preserve">    项目油库产品简介</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56"/>
              <w:gridCol w:w="892"/>
              <w:gridCol w:w="579"/>
              <w:gridCol w:w="1058"/>
              <w:gridCol w:w="1180"/>
              <w:gridCol w:w="1224"/>
              <w:gridCol w:w="68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油品名称</w:t>
                  </w:r>
                </w:p>
              </w:tc>
              <w:tc>
                <w:tcPr>
                  <w:tcW w:w="55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密度g/c</w:t>
                  </w:r>
                  <w:r>
                    <w:rPr>
                      <w:rFonts w:hint="default" w:ascii="Times New Roman" w:hAnsi="Times New Roman" w:eastAsia="宋体" w:cs="Times New Roman"/>
                      <w:color w:val="auto"/>
                      <w:kern w:val="0"/>
                      <w:sz w:val="21"/>
                      <w:szCs w:val="21"/>
                      <w:vertAlign w:val="baseline"/>
                    </w:rPr>
                    <w:t>m</w:t>
                  </w:r>
                  <w:r>
                    <w:rPr>
                      <w:rFonts w:hint="default" w:ascii="Times New Roman" w:hAnsi="Times New Roman" w:eastAsia="宋体" w:cs="Times New Roman"/>
                      <w:color w:val="auto"/>
                      <w:kern w:val="0"/>
                      <w:sz w:val="21"/>
                      <w:szCs w:val="21"/>
                      <w:vertAlign w:val="superscript"/>
                    </w:rPr>
                    <w:t>3</w:t>
                  </w:r>
                </w:p>
              </w:tc>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闪点℃</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粘度（20℃）mm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/s</w:t>
                  </w:r>
                </w:p>
              </w:tc>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饱和蒸汽压10</w:t>
                  </w:r>
                  <w:r>
                    <w:rPr>
                      <w:rFonts w:hint="default" w:ascii="Times New Roman" w:hAnsi="Times New Roman" w:eastAsia="宋体" w:cs="Times New Roman"/>
                      <w:color w:val="auto"/>
                      <w:kern w:val="0"/>
                      <w:sz w:val="21"/>
                      <w:szCs w:val="21"/>
                      <w:vertAlign w:val="superscript"/>
                    </w:rPr>
                    <w:t>4</w:t>
                  </w:r>
                  <w:r>
                    <w:rPr>
                      <w:rFonts w:hint="default" w:ascii="Times New Roman" w:hAnsi="Times New Roman" w:eastAsia="宋体" w:cs="Times New Roman"/>
                      <w:color w:val="auto"/>
                      <w:kern w:val="0"/>
                      <w:sz w:val="21"/>
                      <w:szCs w:val="21"/>
                    </w:rPr>
                    <w:t>Pa，20℃</w:t>
                  </w: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油气摩尔质量</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kg/kmol</w:t>
                  </w:r>
                  <w:r>
                    <w:rPr>
                      <w:rFonts w:hint="eastAsia" w:ascii="Times New Roman" w:hAnsi="Times New Roman" w:eastAsia="宋体" w:cs="Times New Roman"/>
                      <w:color w:val="auto"/>
                      <w:kern w:val="0"/>
                      <w:sz w:val="21"/>
                      <w:szCs w:val="21"/>
                      <w:lang w:val="en-US" w:eastAsia="zh-CN"/>
                    </w:rPr>
                    <w:t>)</w:t>
                  </w:r>
                </w:p>
              </w:tc>
              <w:tc>
                <w:tcPr>
                  <w:tcW w:w="42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罐区库容m</w:t>
                  </w:r>
                  <w:r>
                    <w:rPr>
                      <w:rFonts w:hint="default" w:ascii="Times New Roman" w:hAnsi="Times New Roman" w:eastAsia="宋体" w:cs="Times New Roman"/>
                      <w:color w:val="auto"/>
                      <w:kern w:val="0"/>
                      <w:sz w:val="21"/>
                      <w:szCs w:val="21"/>
                      <w:vertAlign w:val="superscript"/>
                    </w:rPr>
                    <w:t>3</w:t>
                  </w: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年周转量t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汽油</w:t>
                  </w:r>
                </w:p>
              </w:tc>
              <w:tc>
                <w:tcPr>
                  <w:tcW w:w="55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0.7-0.79</w:t>
                  </w:r>
                </w:p>
              </w:tc>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＜28</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0.6-1.2</w:t>
                  </w:r>
                </w:p>
              </w:tc>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w:t>
                  </w: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42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1.8×10</w:t>
                  </w:r>
                  <w:r>
                    <w:rPr>
                      <w:rFonts w:hint="default" w:ascii="Times New Roman" w:hAnsi="Times New Roman" w:eastAsia="宋体" w:cs="Times New Roman"/>
                      <w:color w:val="auto"/>
                      <w:kern w:val="0"/>
                      <w:sz w:val="21"/>
                      <w:szCs w:val="21"/>
                      <w:vertAlign w:val="superscript"/>
                    </w:rPr>
                    <w:t>4</w:t>
                  </w: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19.68</w:t>
                  </w:r>
                  <w:r>
                    <w:rPr>
                      <w:rFonts w:hint="default" w:ascii="Times New Roman" w:hAnsi="Times New Roman" w:eastAsia="宋体" w:cs="Times New Roman"/>
                      <w:color w:val="auto"/>
                      <w:kern w:val="0"/>
                      <w:sz w:val="21"/>
                      <w:szCs w:val="21"/>
                    </w:rPr>
                    <w:t>×10</w:t>
                  </w:r>
                  <w:r>
                    <w:rPr>
                      <w:rFonts w:hint="default" w:ascii="Times New Roman" w:hAnsi="Times New Roman" w:eastAsia="宋体" w:cs="Times New Roman"/>
                      <w:color w:val="auto"/>
                      <w:kern w:val="0"/>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柴油</w:t>
                  </w:r>
                </w:p>
              </w:tc>
              <w:tc>
                <w:tcPr>
                  <w:tcW w:w="55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0.84-0.86</w:t>
                  </w:r>
                </w:p>
              </w:tc>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1.0-1.9</w:t>
                  </w:r>
                </w:p>
              </w:tc>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0.03（40℃）</w:t>
                  </w: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2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1.3×10</w:t>
                  </w:r>
                  <w:r>
                    <w:rPr>
                      <w:rFonts w:hint="default" w:ascii="Times New Roman" w:hAnsi="Times New Roman" w:eastAsia="宋体" w:cs="Times New Roman"/>
                      <w:color w:val="auto"/>
                      <w:kern w:val="0"/>
                      <w:sz w:val="21"/>
                      <w:szCs w:val="21"/>
                      <w:vertAlign w:val="superscript"/>
                    </w:rPr>
                    <w:t>4</w:t>
                  </w:r>
                </w:p>
              </w:tc>
              <w:tc>
                <w:tcPr>
                  <w:tcW w:w="531"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19.68</w:t>
                  </w:r>
                  <w:r>
                    <w:rPr>
                      <w:rFonts w:hint="default" w:ascii="Times New Roman" w:hAnsi="Times New Roman" w:eastAsia="宋体" w:cs="Times New Roman"/>
                      <w:color w:val="auto"/>
                      <w:kern w:val="0"/>
                      <w:sz w:val="21"/>
                      <w:szCs w:val="21"/>
                    </w:rPr>
                    <w:t>×10</w:t>
                  </w:r>
                  <w:r>
                    <w:rPr>
                      <w:rFonts w:hint="default" w:ascii="Times New Roman" w:hAnsi="Times New Roman" w:eastAsia="宋体" w:cs="Times New Roman"/>
                      <w:color w:val="auto"/>
                      <w:kern w:val="0"/>
                      <w:sz w:val="21"/>
                      <w:szCs w:val="21"/>
                      <w:vertAlign w:val="superscript"/>
                    </w:rPr>
                    <w:t>4</w:t>
                  </w:r>
                </w:p>
              </w:tc>
            </w:tr>
          </w:tbl>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主要设备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在满足工艺要求和保证设备性能、产品质量的前提下，本项目本着技术先进、经济合理、生产安全、投资节约的原则选用了成熟可靠的设备装置。主要</w:t>
            </w:r>
            <w:r>
              <w:rPr>
                <w:rFonts w:hint="eastAsia" w:cs="Times New Roman"/>
                <w:color w:val="auto"/>
                <w:kern w:val="0"/>
                <w:sz w:val="24"/>
                <w:lang w:val="en-US" w:eastAsia="zh-CN"/>
              </w:rPr>
              <w:t>生产</w:t>
            </w:r>
            <w:r>
              <w:rPr>
                <w:rFonts w:hint="default" w:ascii="Times New Roman" w:hAnsi="Times New Roman" w:eastAsia="宋体" w:cs="Times New Roman"/>
                <w:color w:val="auto"/>
                <w:kern w:val="0"/>
                <w:sz w:val="24"/>
              </w:rPr>
              <w:t>设备</w:t>
            </w:r>
            <w:r>
              <w:rPr>
                <w:rFonts w:hint="default" w:ascii="Times New Roman" w:hAnsi="Times New Roman" w:eastAsia="宋体" w:cs="Times New Roman"/>
                <w:color w:val="auto"/>
                <w:kern w:val="0"/>
                <w:sz w:val="24"/>
              </w:rPr>
              <w:t>见表</w:t>
            </w:r>
            <w:r>
              <w:rPr>
                <w:rFonts w:hint="eastAsia" w:ascii="Times New Roman" w:hAnsi="Times New Roman" w:eastAsia="宋体" w:cs="Times New Roman"/>
                <w:color w:val="auto"/>
                <w:kern w:val="0"/>
                <w:sz w:val="24"/>
                <w:lang w:val="en-US" w:eastAsia="zh-CN"/>
              </w:rPr>
              <w:t>2-3</w:t>
            </w:r>
            <w:r>
              <w:rPr>
                <w:rFonts w:hint="default" w:ascii="Times New Roman" w:hAnsi="Times New Roman" w:eastAsia="宋体" w:cs="Times New Roman"/>
                <w:color w:val="auto"/>
                <w:kern w:val="0"/>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2-3</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主要</w:t>
            </w:r>
            <w:r>
              <w:rPr>
                <w:rFonts w:hint="default" w:ascii="Times New Roman" w:hAnsi="Times New Roman" w:eastAsia="宋体" w:cs="Times New Roman"/>
                <w:b/>
                <w:bCs/>
                <w:color w:val="auto"/>
                <w:spacing w:val="-2"/>
                <w:kern w:val="2"/>
                <w:sz w:val="24"/>
                <w:szCs w:val="24"/>
                <w:lang w:val="en-US" w:eastAsia="zh-CN" w:bidi="ar-SA"/>
              </w:rPr>
              <w:t>生产设备一览表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939"/>
              <w:gridCol w:w="1150"/>
              <w:gridCol w:w="729"/>
              <w:gridCol w:w="685"/>
              <w:gridCol w:w="28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212"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71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规格型号</w:t>
                  </w:r>
                </w:p>
              </w:tc>
              <w:tc>
                <w:tcPr>
                  <w:tcW w:w="45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单位</w:t>
                  </w:r>
                </w:p>
              </w:tc>
              <w:tc>
                <w:tcPr>
                  <w:tcW w:w="428"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数量</w:t>
                  </w:r>
                </w:p>
              </w:tc>
              <w:tc>
                <w:tcPr>
                  <w:tcW w:w="1783"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vMerge w:val="restar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212" w:type="pct"/>
                  <w:vMerge w:val="restar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储油罐</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5000m</w:t>
                  </w:r>
                  <w:r>
                    <w:rPr>
                      <w:rFonts w:hint="default" w:ascii="Times New Roman" w:hAnsi="Times New Roman" w:eastAsia="宋体" w:cs="Times New Roman"/>
                      <w:color w:val="auto"/>
                      <w:kern w:val="0"/>
                      <w:szCs w:val="21"/>
                      <w:vertAlign w:val="superscript"/>
                    </w:rPr>
                    <w:t>3</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783" w:type="pct"/>
                  <w:noWrap w:val="0"/>
                  <w:vAlign w:val="center"/>
                </w:tcPr>
                <w:p>
                  <w:pPr>
                    <w:widowControl w:val="0"/>
                    <w:spacing w:line="300" w:lineRule="exact"/>
                    <w:contextualSpacing/>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地上立式钢制内浮顶罐，汽油和柴油均2座，17.82m×φ19.5m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1212" w:type="pct"/>
                  <w:vMerge w:val="continue"/>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3000m</w:t>
                  </w:r>
                  <w:r>
                    <w:rPr>
                      <w:rFonts w:hint="default" w:ascii="Times New Roman" w:hAnsi="Times New Roman" w:eastAsia="宋体" w:cs="Times New Roman"/>
                      <w:color w:val="auto"/>
                      <w:kern w:val="0"/>
                      <w:szCs w:val="21"/>
                      <w:vertAlign w:val="superscript"/>
                    </w:rPr>
                    <w:t>3</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1783" w:type="pct"/>
                  <w:noWrap w:val="0"/>
                  <w:vAlign w:val="center"/>
                </w:tcPr>
                <w:p>
                  <w:pPr>
                    <w:widowControl w:val="0"/>
                    <w:spacing w:line="300" w:lineRule="exact"/>
                    <w:contextualSpacing/>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地上立式钢制内浮顶罐，汽油2座、柴油1座，15.84m×φ17m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1212" w:type="pct"/>
                  <w:vMerge w:val="continue"/>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1000m</w:t>
                  </w:r>
                  <w:r>
                    <w:rPr>
                      <w:rFonts w:hint="default" w:ascii="Times New Roman" w:hAnsi="Times New Roman" w:eastAsia="宋体" w:cs="Times New Roman"/>
                      <w:color w:val="auto"/>
                      <w:kern w:val="0"/>
                      <w:szCs w:val="21"/>
                      <w:vertAlign w:val="superscript"/>
                    </w:rPr>
                    <w:t>3</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地上立式钢制内浮顶罐，汽油2座，11.8m×φ11.5m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公路装车岛</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座</w:t>
                  </w:r>
                </w:p>
              </w:tc>
              <w:tc>
                <w:tcPr>
                  <w:tcW w:w="428"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公路装车泵</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/h</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汽油9台，柴油6台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汽车装车鹤管</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汽油9台，柴油6台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火车卸油泵</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360m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/h</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汽油2台，柴油2台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火车装卸鹤管</w:t>
                  </w:r>
                </w:p>
              </w:tc>
              <w:tc>
                <w:tcPr>
                  <w:tcW w:w="719"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汽油柴油共用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铁路卸槽潜油泵</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/h</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台</w:t>
                  </w:r>
                </w:p>
              </w:tc>
              <w:tc>
                <w:tcPr>
                  <w:tcW w:w="4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液动卸槽潜油泵，铁路卸车鹤管配套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w:t>
                  </w:r>
                </w:p>
              </w:tc>
              <w:tc>
                <w:tcPr>
                  <w:tcW w:w="1212"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车用汽、柴油</w:t>
                  </w:r>
                  <w:r>
                    <w:rPr>
                      <w:rFonts w:hint="eastAsia" w:cs="Times New Roman"/>
                      <w:color w:val="auto"/>
                      <w:kern w:val="0"/>
                      <w:szCs w:val="21"/>
                      <w:lang w:eastAsia="zh-CN"/>
                    </w:rPr>
                    <w:t>扫仓罐</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20</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eastAsia="zh-CN"/>
                    </w:rPr>
                  </w:pPr>
                  <w:r>
                    <w:rPr>
                      <w:rFonts w:hint="eastAsia" w:cs="Times New Roman"/>
                      <w:color w:val="auto"/>
                      <w:kern w:val="0"/>
                      <w:szCs w:val="21"/>
                      <w:lang w:val="en-US" w:eastAsia="zh-CN"/>
                    </w:rPr>
                    <w:t>3</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地上卧式储罐，柴油1座，</w:t>
                  </w:r>
                  <w:r>
                    <w:rPr>
                      <w:rFonts w:hint="eastAsia" w:ascii="Times New Roman" w:hAnsi="Times New Roman" w:cs="Times New Roman"/>
                      <w:color w:val="auto"/>
                      <w:szCs w:val="21"/>
                      <w:lang w:val="en-US" w:eastAsia="zh-CN"/>
                    </w:rPr>
                    <w:t>92#和95#</w:t>
                  </w:r>
                  <w:r>
                    <w:rPr>
                      <w:rFonts w:hint="default" w:ascii="Times New Roman" w:hAnsi="Times New Roman" w:eastAsia="宋体" w:cs="Times New Roman"/>
                      <w:color w:val="auto"/>
                      <w:szCs w:val="21"/>
                    </w:rPr>
                    <w:t>汽油</w:t>
                  </w:r>
                  <w:r>
                    <w:rPr>
                      <w:rFonts w:hint="eastAsia" w:ascii="Times New Roman" w:hAnsi="Times New Roman" w:cs="Times New Roman"/>
                      <w:color w:val="auto"/>
                      <w:szCs w:val="21"/>
                      <w:lang w:val="en-US" w:eastAsia="zh-CN"/>
                    </w:rPr>
                    <w:t>共用</w:t>
                  </w:r>
                  <w:r>
                    <w:rPr>
                      <w:rFonts w:hint="default" w:ascii="Times New Roman" w:hAnsi="Times New Roman" w:eastAsia="宋体" w:cs="Times New Roman"/>
                      <w:color w:val="auto"/>
                      <w:szCs w:val="21"/>
                    </w:rPr>
                    <w:t>1座</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98#汽油1座；配套液位仪、泄漏检测仪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w:t>
                  </w:r>
                </w:p>
              </w:tc>
              <w:tc>
                <w:tcPr>
                  <w:tcW w:w="1212"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扫仓泵</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与扫仓罐配套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 w:hRule="atLeast"/>
                <w:jc w:val="center"/>
              </w:trPr>
              <w:tc>
                <w:tcPr>
                  <w:tcW w:w="399" w:type="pct"/>
                  <w:tcBorders>
                    <w:top w:val="single" w:color="auto" w:sz="4" w:space="0"/>
                  </w:tcBorders>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1212" w:type="pct"/>
                  <w:tcBorders>
                    <w:top w:val="single" w:color="auto" w:sz="4" w:space="0"/>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气液分离罐</w:t>
                  </w:r>
                </w:p>
              </w:tc>
              <w:tc>
                <w:tcPr>
                  <w:tcW w:w="719" w:type="pct"/>
                  <w:tcBorders>
                    <w:top w:val="single" w:color="auto" w:sz="4" w:space="0"/>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2.0m</w:t>
                  </w:r>
                  <w:r>
                    <w:rPr>
                      <w:rFonts w:hint="default" w:ascii="Times New Roman" w:hAnsi="Times New Roman" w:eastAsia="宋体" w:cs="Times New Roman"/>
                      <w:color w:val="auto"/>
                      <w:kern w:val="0"/>
                      <w:szCs w:val="21"/>
                      <w:vertAlign w:val="superscript"/>
                    </w:rPr>
                    <w:t>3</w:t>
                  </w:r>
                </w:p>
              </w:tc>
              <w:tc>
                <w:tcPr>
                  <w:tcW w:w="456" w:type="pct"/>
                  <w:tcBorders>
                    <w:top w:val="single" w:color="auto" w:sz="4" w:space="0"/>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座</w:t>
                  </w:r>
                </w:p>
              </w:tc>
              <w:tc>
                <w:tcPr>
                  <w:tcW w:w="428" w:type="pct"/>
                  <w:tcBorders>
                    <w:top w:val="single" w:color="auto" w:sz="4" w:space="0"/>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w:t>
                  </w:r>
                </w:p>
              </w:tc>
              <w:tc>
                <w:tcPr>
                  <w:tcW w:w="1783" w:type="pct"/>
                  <w:tcBorders>
                    <w:top w:val="single" w:color="auto" w:sz="4" w:space="0"/>
                  </w:tcBorders>
                  <w:noWrap w:val="0"/>
                  <w:vAlign w:val="center"/>
                </w:tcPr>
                <w:p>
                  <w:pPr>
                    <w:pStyle w:val="60"/>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埋地卧式储罐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11</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输油管线</w:t>
                  </w:r>
                </w:p>
              </w:tc>
              <w:tc>
                <w:tcPr>
                  <w:tcW w:w="719"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428"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若干</w:t>
                  </w:r>
                </w:p>
              </w:tc>
              <w:tc>
                <w:tcPr>
                  <w:tcW w:w="1783" w:type="pct"/>
                  <w:noWrap w:val="0"/>
                  <w:vAlign w:val="center"/>
                </w:tcPr>
                <w:p>
                  <w:pPr>
                    <w:pStyle w:val="60"/>
                    <w:spacing w:line="300" w:lineRule="exact"/>
                    <w:ind w:firstLine="0" w:firstLine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油气回收装置</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rPr>
                  </w:pP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冷凝+</w:t>
                  </w:r>
                  <w:r>
                    <w:rPr>
                      <w:rFonts w:hint="default" w:ascii="Times New Roman" w:hAnsi="Times New Roman" w:eastAsia="宋体" w:cs="Times New Roman"/>
                      <w:color w:val="auto"/>
                      <w:szCs w:val="21"/>
                    </w:rPr>
                    <w:t>活性炭吸附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13</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储运控制系统</w:t>
                  </w:r>
                </w:p>
              </w:tc>
              <w:tc>
                <w:tcPr>
                  <w:tcW w:w="719"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套</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14</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安全仪表系统</w:t>
                  </w:r>
                </w:p>
              </w:tc>
              <w:tc>
                <w:tcPr>
                  <w:tcW w:w="719"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套</w:t>
                  </w:r>
                </w:p>
              </w:tc>
              <w:tc>
                <w:tcPr>
                  <w:tcW w:w="428"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15</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安防系统及过程控制服务器</w:t>
                  </w:r>
                </w:p>
              </w:tc>
              <w:tc>
                <w:tcPr>
                  <w:tcW w:w="719"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套</w:t>
                  </w:r>
                </w:p>
              </w:tc>
              <w:tc>
                <w:tcPr>
                  <w:tcW w:w="428"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16</w:t>
                  </w:r>
                </w:p>
              </w:tc>
              <w:tc>
                <w:tcPr>
                  <w:tcW w:w="1212"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消防控制系统和消防控制服务器</w:t>
                  </w:r>
                </w:p>
              </w:tc>
              <w:tc>
                <w:tcPr>
                  <w:tcW w:w="719"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套</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17</w:t>
                  </w:r>
                </w:p>
              </w:tc>
              <w:tc>
                <w:tcPr>
                  <w:tcW w:w="1212" w:type="pct"/>
                  <w:noWrap w:val="0"/>
                  <w:vAlign w:val="center"/>
                </w:tcPr>
                <w:p>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 w:val="21"/>
                      <w:szCs w:val="21"/>
                      <w:lang w:val="en-US" w:eastAsia="zh-CN"/>
                    </w:rPr>
                    <w:t>压力式空气泡沫比例混合灭火装置</w:t>
                  </w:r>
                </w:p>
              </w:tc>
              <w:tc>
                <w:tcPr>
                  <w:tcW w:w="719" w:type="pct"/>
                  <w:noWrap w:val="0"/>
                  <w:vAlign w:val="center"/>
                </w:tcPr>
                <w:p>
                  <w:pPr>
                    <w:widowControl/>
                    <w:spacing w:line="300" w:lineRule="exact"/>
                    <w:jc w:val="center"/>
                    <w:textAlignment w:val="baseline"/>
                    <w:rPr>
                      <w:rFonts w:hint="eastAsia" w:cs="Times New Roman"/>
                      <w:color w:val="auto"/>
                      <w:kern w:val="0"/>
                      <w:szCs w:val="21"/>
                      <w:lang w:val="en-US" w:eastAsia="zh-CN"/>
                    </w:rPr>
                  </w:pPr>
                  <w:r>
                    <w:rPr>
                      <w:rFonts w:hint="default" w:cs="Times New Roman"/>
                      <w:color w:val="auto"/>
                      <w:kern w:val="0"/>
                      <w:sz w:val="21"/>
                      <w:szCs w:val="21"/>
                      <w:lang w:val="en-US" w:eastAsia="zh-CN"/>
                    </w:rPr>
                    <w:t>PHYM48/50</w:t>
                  </w:r>
                  <w:r>
                    <w:rPr>
                      <w:rFonts w:hint="eastAsia" w:cs="Times New Roman"/>
                      <w:color w:val="auto"/>
                      <w:kern w:val="0"/>
                      <w:sz w:val="21"/>
                      <w:szCs w:val="21"/>
                      <w:lang w:val="en-US" w:eastAsia="zh-CN"/>
                    </w:rPr>
                    <w:t>型</w:t>
                  </w:r>
                </w:p>
              </w:tc>
              <w:tc>
                <w:tcPr>
                  <w:tcW w:w="456"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套</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18</w:t>
                  </w:r>
                </w:p>
              </w:tc>
              <w:tc>
                <w:tcPr>
                  <w:tcW w:w="1212"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电动泡沫给水泵</w:t>
                  </w:r>
                </w:p>
              </w:tc>
              <w:tc>
                <w:tcPr>
                  <w:tcW w:w="71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XBD10/40</w:t>
                  </w:r>
                </w:p>
              </w:tc>
              <w:tc>
                <w:tcPr>
                  <w:tcW w:w="456"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19</w:t>
                  </w:r>
                </w:p>
              </w:tc>
              <w:tc>
                <w:tcPr>
                  <w:tcW w:w="1212" w:type="pct"/>
                  <w:noWrap w:val="0"/>
                  <w:vAlign w:val="center"/>
                </w:tcPr>
                <w:p>
                  <w:pPr>
                    <w:widowControl/>
                    <w:spacing w:line="300" w:lineRule="exact"/>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柴拖泡沫给水泵</w:t>
                  </w:r>
                </w:p>
              </w:tc>
              <w:tc>
                <w:tcPr>
                  <w:tcW w:w="719" w:type="pct"/>
                  <w:noWrap w:val="0"/>
                  <w:vAlign w:val="center"/>
                </w:tcPr>
                <w:p>
                  <w:pPr>
                    <w:widowControl/>
                    <w:spacing w:line="300" w:lineRule="exact"/>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XBC10/40</w:t>
                  </w:r>
                </w:p>
              </w:tc>
              <w:tc>
                <w:tcPr>
                  <w:tcW w:w="456"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20</w:t>
                  </w:r>
                </w:p>
              </w:tc>
              <w:tc>
                <w:tcPr>
                  <w:tcW w:w="1212"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消防水罐</w:t>
                  </w:r>
                </w:p>
              </w:tc>
              <w:tc>
                <w:tcPr>
                  <w:tcW w:w="719"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800m</w:t>
                  </w:r>
                  <w:r>
                    <w:rPr>
                      <w:rFonts w:hint="eastAsia" w:cs="Times New Roman"/>
                      <w:color w:val="auto"/>
                      <w:kern w:val="0"/>
                      <w:szCs w:val="21"/>
                      <w:vertAlign w:val="superscript"/>
                      <w:lang w:val="en-US" w:eastAsia="zh-CN"/>
                    </w:rPr>
                    <w:t>3</w:t>
                  </w:r>
                </w:p>
              </w:tc>
              <w:tc>
                <w:tcPr>
                  <w:tcW w:w="456"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座</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地上立式储罐，</w:t>
                  </w:r>
                  <w:r>
                    <w:rPr>
                      <w:rFonts w:hint="eastAsia" w:ascii="Times New Roman" w:hAnsi="Times New Roman" w:cs="Times New Roman"/>
                      <w:color w:val="auto"/>
                      <w:szCs w:val="21"/>
                      <w:lang w:val="en-US" w:eastAsia="zh-CN"/>
                    </w:rPr>
                    <w:t>9.5</w:t>
                  </w:r>
                  <w:r>
                    <w:rPr>
                      <w:rFonts w:hint="default" w:ascii="Times New Roman" w:hAnsi="Times New Roman" w:eastAsia="宋体" w:cs="Times New Roman"/>
                      <w:color w:val="auto"/>
                      <w:szCs w:val="21"/>
                    </w:rPr>
                    <w:t>m×φ11.5m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21</w:t>
                  </w:r>
                </w:p>
              </w:tc>
              <w:tc>
                <w:tcPr>
                  <w:tcW w:w="1212"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电动消防冷却水泵</w:t>
                  </w:r>
                </w:p>
              </w:tc>
              <w:tc>
                <w:tcPr>
                  <w:tcW w:w="719" w:type="pct"/>
                  <w:noWrap w:val="0"/>
                  <w:vAlign w:val="center"/>
                </w:tcPr>
                <w:p>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XBD9/60</w:t>
                  </w:r>
                </w:p>
              </w:tc>
              <w:tc>
                <w:tcPr>
                  <w:tcW w:w="456"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22</w:t>
                  </w:r>
                </w:p>
              </w:tc>
              <w:tc>
                <w:tcPr>
                  <w:tcW w:w="1212"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柴拖消防冷却水泵</w:t>
                  </w:r>
                </w:p>
              </w:tc>
              <w:tc>
                <w:tcPr>
                  <w:tcW w:w="719" w:type="pct"/>
                  <w:noWrap w:val="0"/>
                  <w:vAlign w:val="center"/>
                </w:tcPr>
                <w:p>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XBC9/60</w:t>
                  </w:r>
                </w:p>
              </w:tc>
              <w:tc>
                <w:tcPr>
                  <w:tcW w:w="456"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23</w:t>
                  </w:r>
                </w:p>
              </w:tc>
              <w:tc>
                <w:tcPr>
                  <w:tcW w:w="1212"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柴油发电机组</w:t>
                  </w:r>
                </w:p>
              </w:tc>
              <w:tc>
                <w:tcPr>
                  <w:tcW w:w="719"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300kW13</w:t>
                  </w:r>
                </w:p>
              </w:tc>
              <w:tc>
                <w:tcPr>
                  <w:tcW w:w="456"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bl>
          <w:p>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化验室所用设备见下表。</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4</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化验室所用设备</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3027"/>
              <w:gridCol w:w="1802"/>
              <w:gridCol w:w="966"/>
              <w:gridCol w:w="10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893"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11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规格型号</w:t>
                  </w:r>
                </w:p>
              </w:tc>
              <w:tc>
                <w:tcPr>
                  <w:tcW w:w="604"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单位</w:t>
                  </w:r>
                </w:p>
              </w:tc>
              <w:tc>
                <w:tcPr>
                  <w:tcW w:w="68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893"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石油产品色度测定器</w:t>
                  </w:r>
                </w:p>
              </w:tc>
              <w:tc>
                <w:tcPr>
                  <w:tcW w:w="1127"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SYP1013</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1893"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石油产品蒸馏测定器</w:t>
                  </w:r>
                </w:p>
              </w:tc>
              <w:tc>
                <w:tcPr>
                  <w:tcW w:w="1127"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DSY-003D</w:t>
                  </w:r>
                </w:p>
              </w:tc>
              <w:tc>
                <w:tcPr>
                  <w:tcW w:w="604"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自动蒸馏测定器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DSY-003Z</w:t>
                  </w:r>
                </w:p>
              </w:tc>
              <w:tc>
                <w:tcPr>
                  <w:tcW w:w="604" w:type="pct"/>
                  <w:noWrap w:val="0"/>
                  <w:vAlign w:val="center"/>
                </w:tcPr>
                <w:p>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石油产品腐蚀测定器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SYP1017-II</w:t>
                  </w:r>
                </w:p>
              </w:tc>
              <w:tc>
                <w:tcPr>
                  <w:tcW w:w="604" w:type="pct"/>
                  <w:noWrap w:val="0"/>
                  <w:vAlign w:val="center"/>
                </w:tcPr>
                <w:p>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5</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多功能低温测定仪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DKY-39</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6</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闭口闪点测定器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DSY-002A</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7</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汽油烃组分分析仪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GC2014-ASOA</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8</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燃料胶质含量测定器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JSRO601</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9</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荧光硫测定仪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ZDS-2000</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10</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荧光硫测定仪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TS-5000</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11</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馏分燃料氧化安定性测定器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JSR0502</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12</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自动汽油氧化安定性试验器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SKY2101-I</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13</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石油产品水分测定器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SYP10105</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14</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运动粘度测定器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DZY-005A</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15</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石油产品运动粘度测定器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SYP1003-VIA</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16</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投入式制冷仪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SYP9008</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17</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汽油辛烷值测定机</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SKY2102-VII</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18</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微库仑综合分析仪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WK-2000</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19</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中红外汽油分析仪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ERASPEC</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傅立叶变换红外光谱仪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Spectrm</w:t>
                  </w:r>
                  <w:r>
                    <w:rPr>
                      <w:rFonts w:hint="eastAsia" w:cs="Times New Roman"/>
                      <w:color w:val="auto"/>
                      <w:kern w:val="0"/>
                      <w:szCs w:val="21"/>
                      <w:lang w:val="en-US" w:eastAsia="zh-CN"/>
                    </w:rPr>
                    <w:t xml:space="preserve"> </w:t>
                  </w:r>
                  <w:r>
                    <w:rPr>
                      <w:rFonts w:hint="eastAsia" w:ascii="Times New Roman" w:hAnsi="Times New Roman" w:eastAsia="宋体" w:cs="Times New Roman"/>
                      <w:color w:val="auto"/>
                      <w:kern w:val="0"/>
                      <w:szCs w:val="21"/>
                    </w:rPr>
                    <w:t>TWO</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21</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气相色谱/质谱联用仪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Clarus680</w:t>
                  </w:r>
                </w:p>
              </w:tc>
              <w:tc>
                <w:tcPr>
                  <w:tcW w:w="604"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电热鼓风干燥箱</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DHG-9070A</w:t>
                  </w:r>
                </w:p>
              </w:tc>
              <w:tc>
                <w:tcPr>
                  <w:tcW w:w="604" w:type="pct"/>
                  <w:noWrap w:val="0"/>
                  <w:vAlign w:val="center"/>
                </w:tcPr>
                <w:p>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23</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高纯水机</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EKUP-II-10T</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24</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电子分析天平</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BSA224S</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电子天平</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JY-20001</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26</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柴油中总污染物含录测定仪</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BN-313</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27</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防爆干燥箱</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BYP-070GX</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28</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恒温水浴</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BYP-070GX</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29</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高精度全自动交流稳压器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SJW-2OKVA</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30</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工业冷冻机</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BS-03AST</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31</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空压机</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ZL800X4-120L</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32</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电热恒温水浴</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HWS-24</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33</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全自动汽油氧化安定性测定器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JSRO106</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34</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馏分燃料氧化安定性测定器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SYP2006-I</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35</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石油产品蒸气压试验器</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雷德法</w:t>
                  </w:r>
                  <w:r>
                    <w:rPr>
                      <w:rFonts w:hint="eastAsia" w:ascii="Times New Roman" w:hAnsi="Times New Roman" w:eastAsia="宋体" w:cs="Times New Roman"/>
                      <w:color w:val="auto"/>
                      <w:kern w:val="0"/>
                      <w:szCs w:val="21"/>
                      <w:lang w:val="en-US" w:eastAsia="zh-CN"/>
                    </w:rPr>
                    <w:t xml:space="preserve"> </w:t>
                  </w:r>
                  <w:r>
                    <w:rPr>
                      <w:rFonts w:hint="eastAsia" w:ascii="Times New Roman" w:hAnsi="Times New Roman" w:eastAsia="宋体" w:cs="Times New Roman"/>
                      <w:color w:val="auto"/>
                      <w:kern w:val="0"/>
                      <w:szCs w:val="21"/>
                    </w:rPr>
                    <w:t>SYP2002-I</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36</w:t>
                  </w:r>
                </w:p>
              </w:tc>
              <w:tc>
                <w:tcPr>
                  <w:tcW w:w="1893"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分析天平</w:t>
                  </w:r>
                </w:p>
              </w:tc>
              <w:tc>
                <w:tcPr>
                  <w:tcW w:w="1127"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TG328B/75398</w:t>
                  </w:r>
                </w:p>
              </w:tc>
              <w:tc>
                <w:tcPr>
                  <w:tcW w:w="604"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bl>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原辅材料、燃料及动力供应</w:t>
            </w:r>
          </w:p>
          <w:p>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本项目经营过程对成品油进行装卸、储存、运输</w:t>
            </w:r>
            <w:r>
              <w:rPr>
                <w:rFonts w:hint="eastAsia" w:ascii="Times New Roman" w:hAnsi="Times New Roman" w:cs="Times New Roman"/>
                <w:color w:val="auto"/>
                <w:kern w:val="0"/>
                <w:sz w:val="24"/>
                <w:szCs w:val="24"/>
                <w:lang w:val="en-US" w:eastAsia="zh-CN"/>
              </w:rPr>
              <w:t>等，项目成品油储存及周转情况见下表。</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4</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主要</w:t>
            </w:r>
            <w:r>
              <w:rPr>
                <w:rFonts w:hint="eastAsia" w:cs="Times New Roman"/>
                <w:b/>
                <w:bCs/>
                <w:color w:val="auto"/>
                <w:spacing w:val="-2"/>
                <w:kern w:val="2"/>
                <w:sz w:val="24"/>
                <w:szCs w:val="24"/>
                <w:lang w:val="en-US" w:eastAsia="zh-CN" w:bidi="ar-SA"/>
              </w:rPr>
              <w:t>原辅材料及能源</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2"/>
              <w:gridCol w:w="1007"/>
              <w:gridCol w:w="1487"/>
              <w:gridCol w:w="1138"/>
              <w:gridCol w:w="723"/>
              <w:gridCol w:w="726"/>
              <w:gridCol w:w="766"/>
              <w:gridCol w:w="150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0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种类</w:t>
                  </w:r>
                </w:p>
              </w:tc>
              <w:tc>
                <w:tcPr>
                  <w:tcW w:w="6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9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年周转量（t/a）</w:t>
                  </w:r>
                </w:p>
              </w:tc>
              <w:tc>
                <w:tcPr>
                  <w:tcW w:w="71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最大储存量（m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w:t>
                  </w:r>
                </w:p>
              </w:tc>
              <w:tc>
                <w:tcPr>
                  <w:tcW w:w="452"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储存方式</w:t>
                  </w:r>
                </w:p>
              </w:tc>
              <w:tc>
                <w:tcPr>
                  <w:tcW w:w="454"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入库方式</w:t>
                  </w:r>
                </w:p>
              </w:tc>
              <w:tc>
                <w:tcPr>
                  <w:tcW w:w="47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出库方式</w:t>
                  </w:r>
                </w:p>
              </w:tc>
              <w:tc>
                <w:tcPr>
                  <w:tcW w:w="941"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1" w:type="pct"/>
                  <w:vMerge w:val="restar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原材料</w:t>
                  </w:r>
                </w:p>
              </w:tc>
              <w:tc>
                <w:tcPr>
                  <w:tcW w:w="62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92#汽油</w:t>
                  </w:r>
                </w:p>
              </w:tc>
              <w:tc>
                <w:tcPr>
                  <w:tcW w:w="9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14.96</w:t>
                  </w:r>
                </w:p>
              </w:tc>
              <w:tc>
                <w:tcPr>
                  <w:tcW w:w="71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13000</w:t>
                  </w:r>
                </w:p>
              </w:tc>
              <w:tc>
                <w:tcPr>
                  <w:tcW w:w="452" w:type="pct"/>
                  <w:vMerge w:val="restar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内浮顶罐</w:t>
                  </w:r>
                </w:p>
              </w:tc>
              <w:tc>
                <w:tcPr>
                  <w:tcW w:w="454" w:type="pct"/>
                  <w:vMerge w:val="restar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铁路卸油、汽车卸油</w:t>
                  </w:r>
                </w:p>
              </w:tc>
              <w:tc>
                <w:tcPr>
                  <w:tcW w:w="479" w:type="pct"/>
                  <w:vMerge w:val="restar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公路发油</w:t>
                  </w:r>
                </w:p>
              </w:tc>
              <w:tc>
                <w:tcPr>
                  <w:tcW w:w="941" w:type="pct"/>
                  <w:vMerge w:val="restar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95#汽油</w:t>
                  </w:r>
                </w:p>
              </w:tc>
              <w:tc>
                <w:tcPr>
                  <w:tcW w:w="9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4.33</w:t>
                  </w:r>
                </w:p>
              </w:tc>
              <w:tc>
                <w:tcPr>
                  <w:tcW w:w="71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4000</w:t>
                  </w:r>
                </w:p>
              </w:tc>
              <w:tc>
                <w:tcPr>
                  <w:tcW w:w="452"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54"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79"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941"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rPr>
                  </w:pPr>
                  <w:r>
                    <w:rPr>
                      <w:rFonts w:hint="eastAsia" w:cs="Times New Roman"/>
                      <w:color w:val="auto"/>
                      <w:kern w:val="0"/>
                      <w:szCs w:val="21"/>
                      <w:lang w:val="en-US" w:eastAsia="zh-CN"/>
                    </w:rPr>
                    <w:t>98#汽油</w:t>
                  </w:r>
                </w:p>
              </w:tc>
              <w:tc>
                <w:tcPr>
                  <w:tcW w:w="9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0.39</w:t>
                  </w:r>
                </w:p>
              </w:tc>
              <w:tc>
                <w:tcPr>
                  <w:tcW w:w="71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452"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54"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79"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941"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0#柴油</w:t>
                  </w:r>
                </w:p>
              </w:tc>
              <w:tc>
                <w:tcPr>
                  <w:tcW w:w="9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19.68</w:t>
                  </w:r>
                </w:p>
              </w:tc>
              <w:tc>
                <w:tcPr>
                  <w:tcW w:w="71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13000</w:t>
                  </w:r>
                </w:p>
              </w:tc>
              <w:tc>
                <w:tcPr>
                  <w:tcW w:w="452"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54"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79"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941"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restar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能源</w:t>
                  </w:r>
                </w:p>
              </w:tc>
              <w:tc>
                <w:tcPr>
                  <w:tcW w:w="6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电</w:t>
                  </w:r>
                </w:p>
              </w:tc>
              <w:tc>
                <w:tcPr>
                  <w:tcW w:w="9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85.8万kWh/a</w:t>
                  </w:r>
                </w:p>
              </w:tc>
              <w:tc>
                <w:tcPr>
                  <w:tcW w:w="71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2"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4"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7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941"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园区供电管网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新鲜水</w:t>
                  </w:r>
                </w:p>
              </w:tc>
              <w:tc>
                <w:tcPr>
                  <w:tcW w:w="92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21288.75t/a（14288.75t/a）</w:t>
                  </w:r>
                </w:p>
              </w:tc>
              <w:tc>
                <w:tcPr>
                  <w:tcW w:w="71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2"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4"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7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941"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市政供水管网</w:t>
                  </w:r>
                </w:p>
              </w:tc>
            </w:tr>
          </w:tbl>
          <w:p>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项目储存的物质对应的理化性质见下表。</w:t>
            </w:r>
          </w:p>
          <w:p>
            <w:pPr>
              <w:widowControl w:val="0"/>
              <w:spacing w:line="400" w:lineRule="exact"/>
              <w:ind w:firstLine="474"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5</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油品性质</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1"/>
              <w:gridCol w:w="2602"/>
              <w:gridCol w:w="1383"/>
              <w:gridCol w:w="31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51"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名称</w:t>
                  </w:r>
                </w:p>
              </w:tc>
              <w:tc>
                <w:tcPr>
                  <w:tcW w:w="1627"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理化性质</w:t>
                  </w:r>
                </w:p>
              </w:tc>
              <w:tc>
                <w:tcPr>
                  <w:tcW w:w="86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燃烧爆炸性</w:t>
                  </w:r>
                </w:p>
              </w:tc>
              <w:tc>
                <w:tcPr>
                  <w:tcW w:w="195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毒理学性质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5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汽油</w:t>
                  </w:r>
                </w:p>
              </w:tc>
              <w:tc>
                <w:tcPr>
                  <w:tcW w:w="1627"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无色或淡黄色易挥发液体具有特殊臭味。不溶于水，易溶于苯、二硫化碳、醇、脂肪。相对密度(水=1)</w:t>
                  </w:r>
                  <w:r>
                    <w:rPr>
                      <w:rFonts w:hint="eastAsia" w:ascii="Times New Roman" w:hAnsi="Times New Roman"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0.70～0.79，熔点&lt;-60℃，沸点40～200℃闪点-50℃</w:t>
                  </w:r>
                </w:p>
              </w:tc>
              <w:tc>
                <w:tcPr>
                  <w:tcW w:w="86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易燃，蒸气与空气形成爆炸性混合物</w:t>
                  </w:r>
                </w:p>
              </w:tc>
              <w:tc>
                <w:tcPr>
                  <w:tcW w:w="195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对中枢神经系统有麻醉作用。高浓度吸入出现中毒性脑病。可伴有中毒性周围神经病及化学性肺炎。溅入眼内可致角膜溃疡、穿孔，甚至失明。皮肤接触致急性接触性皮炎，甚至灼伤。吞咽引起急性胃肠炎等。慢性中毒引起神经衰弱综合征等，严重中毒出现中毒性脑病等。对皮肤有损害。属低毒类</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急性毒性</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LD</w:t>
                  </w:r>
                  <w:r>
                    <w:rPr>
                      <w:rFonts w:hint="eastAsia" w:ascii="Times New Roman" w:hAnsi="Times New Roman" w:cs="Times New Roman"/>
                      <w:color w:val="auto"/>
                      <w:kern w:val="0"/>
                      <w:szCs w:val="21"/>
                      <w:vertAlign w:val="subscript"/>
                      <w:lang w:val="en-US" w:eastAsia="zh-CN"/>
                    </w:rPr>
                    <w:t>5</w:t>
                  </w:r>
                  <w:r>
                    <w:rPr>
                      <w:rFonts w:hint="default" w:ascii="Times New Roman" w:hAnsi="Times New Roman" w:eastAsia="宋体" w:cs="Times New Roman"/>
                      <w:color w:val="auto"/>
                      <w:kern w:val="0"/>
                      <w:szCs w:val="21"/>
                      <w:vertAlign w:val="subscript"/>
                      <w:lang w:val="en-US" w:eastAsia="zh-CN"/>
                    </w:rPr>
                    <w:t>0</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67000mg/kg(小鼠经口)</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LC</w:t>
                  </w:r>
                  <w:r>
                    <w:rPr>
                      <w:rFonts w:hint="eastAsia" w:ascii="Times New Roman" w:hAnsi="Times New Roman" w:cs="Times New Roman"/>
                      <w:color w:val="auto"/>
                      <w:kern w:val="0"/>
                      <w:szCs w:val="21"/>
                      <w:vertAlign w:val="subscript"/>
                      <w:lang w:val="en-US" w:eastAsia="zh-CN"/>
                    </w:rPr>
                    <w:t>50</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103000mg/m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，2小时(小鼠吸入)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551"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柴油</w:t>
                  </w:r>
                </w:p>
              </w:tc>
              <w:tc>
                <w:tcPr>
                  <w:tcW w:w="16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稍有粘性的棕色液体。与水混溶，可混溶于乙醇。相对密度(水=1)</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0.8</w:t>
                  </w:r>
                  <w:r>
                    <w:rPr>
                      <w:rFonts w:hint="eastAsia" w:cs="Times New Roman"/>
                      <w:color w:val="auto"/>
                      <w:kern w:val="0"/>
                      <w:szCs w:val="21"/>
                      <w:lang w:val="en-US" w:eastAsia="zh-CN"/>
                    </w:rPr>
                    <w:t>4</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86</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熔点-18℃</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沸点282~338C，闪点55°C</w:t>
                  </w:r>
                </w:p>
              </w:tc>
              <w:tc>
                <w:tcPr>
                  <w:tcW w:w="86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遇明火、高热或与氧化剂接触，有引起燃烧爆炸的危险</w:t>
                  </w:r>
                </w:p>
              </w:tc>
              <w:tc>
                <w:tcPr>
                  <w:tcW w:w="195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皮肤接触可致急性肾脏损害。柴油可引起接触性皮炎、油性痤疮。吸入其雾滴或液体呛入可引起吸入性肺炎。能经胎盘进入胎儿血中。柴油废气可引起眼、鼻刺激症状，头晕及头痛。LD</w:t>
                  </w:r>
                  <w:r>
                    <w:rPr>
                      <w:rFonts w:hint="eastAsia" w:ascii="Times New Roman" w:hAnsi="Times New Roman" w:cs="Times New Roman"/>
                      <w:color w:val="auto"/>
                      <w:kern w:val="0"/>
                      <w:szCs w:val="21"/>
                      <w:vertAlign w:val="subscript"/>
                      <w:lang w:val="en-US" w:eastAsia="zh-CN"/>
                    </w:rPr>
                    <w:t>50</w:t>
                  </w:r>
                  <w:r>
                    <w:rPr>
                      <w:rFonts w:hint="default" w:ascii="Times New Roman" w:hAnsi="Times New Roman" w:eastAsia="宋体" w:cs="Times New Roman"/>
                      <w:color w:val="auto"/>
                      <w:kern w:val="0"/>
                      <w:szCs w:val="21"/>
                      <w:lang w:val="en-US" w:eastAsia="zh-CN"/>
                    </w:rPr>
                    <w:t>、LC</w:t>
                  </w:r>
                  <w:r>
                    <w:rPr>
                      <w:rFonts w:hint="eastAsia" w:ascii="Times New Roman" w:hAnsi="Times New Roman" w:cs="Times New Roman"/>
                      <w:color w:val="auto"/>
                      <w:kern w:val="0"/>
                      <w:szCs w:val="21"/>
                      <w:vertAlign w:val="subscript"/>
                      <w:lang w:val="en-US" w:eastAsia="zh-CN"/>
                    </w:rPr>
                    <w:t>50</w:t>
                  </w:r>
                  <w:r>
                    <w:rPr>
                      <w:rFonts w:hint="default" w:ascii="Times New Roman" w:hAnsi="Times New Roman" w:eastAsia="宋体" w:cs="Times New Roman"/>
                      <w:color w:val="auto"/>
                      <w:kern w:val="0"/>
                      <w:szCs w:val="21"/>
                      <w:lang w:val="en-US" w:eastAsia="zh-CN"/>
                    </w:rPr>
                    <w:t>无资料</w:t>
                  </w:r>
                  <w:r>
                    <w:rPr>
                      <w:rFonts w:hint="eastAsia" w:ascii="Times New Roman" w:hAnsi="Times New Roman" w:cs="Times New Roman"/>
                      <w:color w:val="auto"/>
                      <w:kern w:val="0"/>
                      <w:szCs w:val="21"/>
                      <w:lang w:val="en-US" w:eastAsia="zh-CN"/>
                    </w:rPr>
                    <w:t>.</w:t>
                  </w:r>
                </w:p>
              </w:tc>
            </w:tr>
          </w:tbl>
          <w:p>
            <w:pPr>
              <w:widowControl w:val="0"/>
              <w:spacing w:line="400" w:lineRule="exact"/>
              <w:ind w:firstLine="480" w:firstLineChars="200"/>
              <w:textAlignment w:val="baseline"/>
              <w:rPr>
                <w:rFonts w:hint="default" w:cs="Times New Roman"/>
                <w:color w:val="auto"/>
                <w:kern w:val="0"/>
                <w:sz w:val="24"/>
                <w:lang w:val="en-US" w:eastAsia="zh-CN"/>
              </w:rPr>
            </w:pPr>
            <w:r>
              <w:rPr>
                <w:rFonts w:hint="eastAsia" w:cs="Times New Roman"/>
                <w:color w:val="auto"/>
                <w:kern w:val="0"/>
                <w:sz w:val="24"/>
                <w:lang w:val="en-US" w:eastAsia="zh-CN"/>
              </w:rPr>
              <w:t>化验室原辅材料见下表。</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6</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化验室原辅材料用量</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6"/>
              <w:gridCol w:w="1513"/>
              <w:gridCol w:w="1390"/>
              <w:gridCol w:w="1643"/>
              <w:gridCol w:w="1588"/>
              <w:gridCol w:w="11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869"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年耗量（g/a）</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最大储存量（g）</w:t>
                  </w:r>
                </w:p>
              </w:tc>
              <w:tc>
                <w:tcPr>
                  <w:tcW w:w="993"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包装方式</w:t>
                  </w:r>
                </w:p>
              </w:tc>
              <w:tc>
                <w:tcPr>
                  <w:tcW w:w="695"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储存位置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异丙醇</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1178.25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392.75</w:t>
                  </w:r>
                </w:p>
              </w:tc>
              <w:tc>
                <w:tcPr>
                  <w:tcW w:w="993" w:type="pct"/>
                  <w:noWrap w:val="0"/>
                  <w:vAlign w:val="center"/>
                </w:tcPr>
                <w:p>
                  <w:pPr>
                    <w:widowControl w:val="0"/>
                    <w:spacing w:line="300" w:lineRule="exact"/>
                    <w:jc w:val="center"/>
                    <w:textAlignment w:val="baseline"/>
                    <w:rPr>
                      <w:rFonts w:hint="default"/>
                      <w:color w:val="auto"/>
                      <w:lang w:val="en-US" w:eastAsia="zh-CN"/>
                    </w:rPr>
                  </w:pPr>
                  <w:r>
                    <w:rPr>
                      <w:rFonts w:hint="eastAsia"/>
                      <w:color w:val="auto"/>
                      <w:lang w:val="en-US" w:eastAsia="zh-CN"/>
                    </w:rPr>
                    <w:t>500mL/瓶</w:t>
                  </w:r>
                </w:p>
              </w:tc>
              <w:tc>
                <w:tcPr>
                  <w:tcW w:w="695" w:type="pct"/>
                  <w:vMerge w:val="restar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化验室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946"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95%乙醇</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405</w:t>
                  </w:r>
                </w:p>
              </w:tc>
              <w:tc>
                <w:tcPr>
                  <w:tcW w:w="993"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946"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无水乙醇</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2500</w:t>
                  </w:r>
                </w:p>
              </w:tc>
              <w:tc>
                <w:tcPr>
                  <w:tcW w:w="993"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olor w:val="auto"/>
                      <w:lang w:val="en-US" w:eastAsia="zh-CN"/>
                    </w:rPr>
                    <w:t>2500mL/瓶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946"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甲苯</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433</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433</w:t>
                  </w:r>
                </w:p>
              </w:tc>
              <w:tc>
                <w:tcPr>
                  <w:tcW w:w="993"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946"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正癸烷</w:t>
                  </w:r>
                </w:p>
              </w:tc>
              <w:tc>
                <w:tcPr>
                  <w:tcW w:w="869"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730</w:t>
                  </w:r>
                </w:p>
              </w:tc>
              <w:tc>
                <w:tcPr>
                  <w:tcW w:w="1027"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365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正十二烷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十一烷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140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十四烷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76.7</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76.7</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十六烷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乙二醇</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557.75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557.75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11</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冰乙酸</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1049.2</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524.6</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环己烷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395.5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395.5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正己烷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330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330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14</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二氯甲烷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1325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662.5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15</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正庚烷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2910.6</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342</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16</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异辛烷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345.95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345.95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17</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正戊烷</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313</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313</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18</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石油醚</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2125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1250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19</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酚酞</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25g/瓶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20</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碱兰6B</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21</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甲基橙</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25g/瓶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22</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氢氧化钠</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23</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氢氧化钾</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24</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苯二甲酸氢钾</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乙酸铅</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26</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硝酸银</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27</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氢氟酸</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28</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升华硫</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29</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变色硅胶</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30</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无水氯化钙</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31</w:t>
                  </w:r>
                </w:p>
              </w:tc>
              <w:tc>
                <w:tcPr>
                  <w:tcW w:w="946"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丙酮</w:t>
                  </w:r>
                </w:p>
              </w:tc>
              <w:tc>
                <w:tcPr>
                  <w:tcW w:w="869"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784.5</w:t>
                  </w:r>
                </w:p>
              </w:tc>
              <w:tc>
                <w:tcPr>
                  <w:tcW w:w="1027" w:type="pct"/>
                  <w:noWrap w:val="0"/>
                  <w:vAlign w:val="center"/>
                </w:tcPr>
                <w:p>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392.25</w:t>
                  </w:r>
                </w:p>
              </w:tc>
              <w:tc>
                <w:tcPr>
                  <w:tcW w:w="993" w:type="pct"/>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bl>
          <w:p>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公用工程</w:t>
            </w:r>
          </w:p>
          <w:p>
            <w:pPr>
              <w:widowControl w:val="0"/>
              <w:spacing w:line="400" w:lineRule="exact"/>
              <w:ind w:firstLine="480" w:firstLineChars="200"/>
              <w:textAlignment w:val="baseline"/>
              <w:rPr>
                <w:rFonts w:hint="default" w:ascii="Times New Roman" w:hAnsi="Times New Roman" w:eastAsia="宋体" w:cs="Times New Roman"/>
                <w:color w:val="auto"/>
                <w:kern w:val="0"/>
                <w:sz w:val="24"/>
                <w:lang w:val="en-US" w:eastAsia="zh-CN"/>
              </w:rPr>
            </w:pPr>
            <w:r>
              <w:rPr>
                <w:rFonts w:hint="eastAsia" w:cs="Times New Roman"/>
                <w:color w:val="auto"/>
                <w:kern w:val="0"/>
                <w:sz w:val="24"/>
                <w:lang w:eastAsia="zh-CN"/>
              </w:rPr>
              <w:t>（</w:t>
            </w:r>
            <w:r>
              <w:rPr>
                <w:rFonts w:hint="eastAsia" w:cs="Times New Roman"/>
                <w:color w:val="auto"/>
                <w:kern w:val="0"/>
                <w:sz w:val="24"/>
                <w:lang w:val="en-US" w:eastAsia="zh-CN"/>
              </w:rPr>
              <w:t>1</w:t>
            </w:r>
            <w:r>
              <w:rPr>
                <w:rFonts w:hint="eastAsia" w:cs="Times New Roman"/>
                <w:color w:val="auto"/>
                <w:kern w:val="0"/>
                <w:sz w:val="24"/>
                <w:lang w:eastAsia="zh-CN"/>
              </w:rPr>
              <w:t>）</w:t>
            </w:r>
            <w:r>
              <w:rPr>
                <w:rFonts w:hint="eastAsia" w:cs="Times New Roman"/>
                <w:color w:val="auto"/>
                <w:kern w:val="0"/>
                <w:sz w:val="24"/>
                <w:lang w:val="en-US" w:eastAsia="zh-CN"/>
              </w:rPr>
              <w:t>给排水</w:t>
            </w:r>
          </w:p>
          <w:p>
            <w:pPr>
              <w:widowControl w:val="0"/>
              <w:spacing w:line="40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1）给水</w:t>
            </w:r>
          </w:p>
          <w:p>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拟建项目用水均引自市政给水管网。供水能力为</w:t>
            </w:r>
            <w:r>
              <w:rPr>
                <w:rFonts w:hint="eastAsia" w:cs="Times New Roman"/>
                <w:color w:val="auto"/>
                <w:kern w:val="0"/>
                <w:sz w:val="24"/>
                <w:szCs w:val="24"/>
                <w:lang w:val="en-US" w:eastAsia="zh-CN"/>
              </w:rPr>
              <w:t>36.3</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/h，供水压力为0.3MPa。项目用水量为：</w:t>
            </w:r>
          </w:p>
          <w:p>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本项目用水主要为生产用水、生活用水及消防用水，新鲜水总用量为</w:t>
            </w:r>
            <w:r>
              <w:rPr>
                <w:rFonts w:hint="eastAsia" w:cs="Times New Roman"/>
                <w:color w:val="auto"/>
                <w:kern w:val="0"/>
                <w:sz w:val="24"/>
                <w:szCs w:val="24"/>
                <w:lang w:val="en-US" w:eastAsia="zh-CN"/>
              </w:rPr>
              <w:t>60.825</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w:t>
            </w:r>
            <w:r>
              <w:rPr>
                <w:rFonts w:hint="eastAsia" w:cs="Times New Roman"/>
                <w:color w:val="auto"/>
                <w:kern w:val="0"/>
                <w:sz w:val="24"/>
                <w:szCs w:val="24"/>
                <w:lang w:eastAsia="zh-CN"/>
              </w:rPr>
              <w:t>（</w:t>
            </w:r>
            <w:r>
              <w:rPr>
                <w:rFonts w:hint="eastAsia" w:cs="Times New Roman"/>
                <w:color w:val="auto"/>
                <w:kern w:val="0"/>
                <w:sz w:val="24"/>
                <w:szCs w:val="24"/>
                <w:lang w:val="en-US" w:eastAsia="zh-CN"/>
              </w:rPr>
              <w:t>40.825</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val="en-US" w:eastAsia="zh-CN"/>
              </w:rPr>
              <w:t>d</w:t>
            </w:r>
            <w:r>
              <w:rPr>
                <w:rFonts w:hint="eastAsia" w:cs="Times New Roman"/>
                <w:color w:val="auto"/>
                <w:kern w:val="0"/>
                <w:sz w:val="24"/>
                <w:szCs w:val="24"/>
                <w:lang w:eastAsia="zh-CN"/>
              </w:rPr>
              <w:t>）（</w:t>
            </w:r>
            <w:r>
              <w:rPr>
                <w:rFonts w:hint="eastAsia" w:cs="Times New Roman"/>
                <w:color w:val="auto"/>
                <w:kern w:val="0"/>
                <w:sz w:val="24"/>
                <w:szCs w:val="24"/>
                <w:lang w:val="en-US" w:eastAsia="zh-CN"/>
              </w:rPr>
              <w:t>不含消防用水</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w:t>
            </w:r>
          </w:p>
          <w:p>
            <w:pPr>
              <w:pStyle w:val="61"/>
              <w:numPr>
                <w:ilvl w:val="0"/>
                <w:numId w:val="11"/>
              </w:numPr>
              <w:spacing w:line="440" w:lineRule="exact"/>
              <w:ind w:left="0" w:firstLine="480"/>
              <w:rPr>
                <w:rFonts w:hint="default" w:ascii="Times New Roman" w:hAnsi="Times New Roman" w:eastAsia="宋体" w:cs="Times New Roman"/>
                <w:color w:val="auto"/>
                <w:spacing w:val="-8"/>
                <w:sz w:val="24"/>
                <w:szCs w:val="24"/>
              </w:rPr>
            </w:pPr>
            <w:r>
              <w:rPr>
                <w:rFonts w:hint="eastAsia" w:cs="Times New Roman"/>
                <w:color w:val="auto"/>
                <w:sz w:val="24"/>
                <w:szCs w:val="24"/>
                <w:lang w:val="en-US" w:eastAsia="zh-CN"/>
              </w:rPr>
              <w:t>生活用水</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z w:val="24"/>
                <w:szCs w:val="24"/>
              </w:rPr>
              <w:t>本项目劳动定员为</w:t>
            </w:r>
            <w:r>
              <w:rPr>
                <w:rFonts w:hint="eastAsia" w:cs="Times New Roman"/>
                <w:color w:val="auto"/>
                <w:sz w:val="24"/>
                <w:szCs w:val="24"/>
                <w:lang w:val="en-US" w:eastAsia="zh-CN"/>
              </w:rPr>
              <w:t>28</w:t>
            </w:r>
            <w:r>
              <w:rPr>
                <w:rFonts w:hint="default" w:ascii="Times New Roman" w:hAnsi="Times New Roman" w:eastAsia="宋体" w:cs="Times New Roman"/>
                <w:color w:val="auto"/>
                <w:sz w:val="24"/>
                <w:szCs w:val="24"/>
              </w:rPr>
              <w:t>人，</w:t>
            </w:r>
            <w:r>
              <w:rPr>
                <w:rFonts w:hint="eastAsia" w:cs="Times New Roman"/>
                <w:color w:val="auto"/>
                <w:sz w:val="24"/>
                <w:szCs w:val="24"/>
                <w:lang w:val="en-US" w:eastAsia="zh-CN"/>
              </w:rPr>
              <w:t>根据《四川省用水定额》</w:t>
            </w:r>
            <w:r>
              <w:rPr>
                <w:rFonts w:hint="eastAsia" w:cs="Times New Roman"/>
                <w:b w:val="0"/>
                <w:bCs w:val="0"/>
                <w:color w:val="auto"/>
                <w:sz w:val="24"/>
                <w:szCs w:val="24"/>
                <w:highlight w:val="none"/>
                <w:lang w:eastAsia="zh-CN"/>
              </w:rPr>
              <w:t>（川府函</w:t>
            </w:r>
            <w:r>
              <w:rPr>
                <w:rFonts w:hint="eastAsia" w:cs="Times New Roman"/>
                <w:b w:val="0"/>
                <w:bCs w:val="0"/>
                <w:color w:val="auto"/>
                <w:sz w:val="24"/>
                <w:szCs w:val="24"/>
                <w:highlight w:val="none"/>
                <w:lang w:val="en-US" w:eastAsia="zh-CN"/>
              </w:rPr>
              <w:t>[2021]8号）并结合实际情况，生活用水按120L/人</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d</w:t>
            </w:r>
            <w:r>
              <w:rPr>
                <w:rFonts w:hint="default" w:ascii="Times New Roman" w:hAnsi="Times New Roman" w:eastAsia="宋体" w:cs="Times New Roman"/>
                <w:color w:val="auto"/>
                <w:sz w:val="24"/>
                <w:szCs w:val="24"/>
              </w:rPr>
              <w:t>；故生活用水量为</w:t>
            </w:r>
            <w:r>
              <w:rPr>
                <w:rFonts w:hint="eastAsia" w:cs="Times New Roman"/>
                <w:color w:val="auto"/>
                <w:sz w:val="24"/>
                <w:szCs w:val="24"/>
                <w:lang w:val="en-US" w:eastAsia="zh-CN"/>
              </w:rPr>
              <w:t>3.36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pStyle w:val="61"/>
              <w:numPr>
                <w:ilvl w:val="0"/>
                <w:numId w:val="11"/>
              </w:numPr>
              <w:spacing w:line="44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食堂用水</w:t>
            </w:r>
          </w:p>
          <w:p>
            <w:pPr>
              <w:pStyle w:val="61"/>
              <w:numPr>
                <w:ilvl w:val="0"/>
                <w:numId w:val="0"/>
              </w:numPr>
              <w:spacing w:line="44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食堂用水按</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rPr>
              <w:t>L/人·次，</w:t>
            </w:r>
            <w:r>
              <w:rPr>
                <w:rFonts w:hint="eastAsia" w:cs="Times New Roman"/>
                <w:color w:val="auto"/>
                <w:sz w:val="24"/>
                <w:szCs w:val="24"/>
                <w:lang w:val="en-US" w:eastAsia="zh-CN"/>
              </w:rPr>
              <w:t>每日就餐人次84人，</w:t>
            </w:r>
            <w:r>
              <w:rPr>
                <w:rFonts w:hint="default" w:ascii="Times New Roman" w:hAnsi="Times New Roman" w:eastAsia="宋体" w:cs="Times New Roman"/>
                <w:color w:val="auto"/>
                <w:sz w:val="24"/>
                <w:szCs w:val="24"/>
              </w:rPr>
              <w:t>故用水量为</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pStyle w:val="61"/>
              <w:numPr>
                <w:ilvl w:val="0"/>
                <w:numId w:val="11"/>
              </w:numPr>
              <w:spacing w:line="44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化验室用水</w:t>
            </w:r>
          </w:p>
          <w:p>
            <w:pPr>
              <w:pStyle w:val="61"/>
              <w:numPr>
                <w:ilvl w:val="0"/>
                <w:numId w:val="0"/>
              </w:numPr>
              <w:spacing w:line="44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化验室化验用水0.5m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pStyle w:val="61"/>
              <w:numPr>
                <w:ilvl w:val="0"/>
                <w:numId w:val="11"/>
              </w:numPr>
              <w:spacing w:line="44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储罐清洗用水</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储罐每3年冲洗一次，每次用水量为960m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用水量为320m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rPr>
              <w:t>折算日用水量为</w:t>
            </w:r>
            <w:r>
              <w:rPr>
                <w:rFonts w:hint="eastAsia" w:cs="Times New Roman"/>
                <w:color w:val="auto"/>
                <w:sz w:val="24"/>
                <w:szCs w:val="24"/>
                <w:lang w:val="en-US" w:eastAsia="zh-CN"/>
              </w:rPr>
              <w:t>0.914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eastAsia="zh-CN"/>
              </w:rPr>
              <w:t>；</w:t>
            </w:r>
          </w:p>
          <w:p>
            <w:pPr>
              <w:pStyle w:val="61"/>
              <w:numPr>
                <w:ilvl w:val="0"/>
                <w:numId w:val="11"/>
              </w:numPr>
              <w:spacing w:line="440" w:lineRule="exact"/>
              <w:ind w:left="0" w:firstLine="480"/>
              <w:rPr>
                <w:rFonts w:hint="default" w:ascii="Times New Roman" w:hAnsi="Times New Roman" w:eastAsia="宋体" w:cs="Times New Roman"/>
                <w:bCs/>
                <w:color w:val="auto"/>
                <w:sz w:val="24"/>
              </w:rPr>
            </w:pPr>
            <w:r>
              <w:rPr>
                <w:rFonts w:hint="eastAsia" w:cs="Times New Roman"/>
                <w:bCs/>
                <w:color w:val="auto"/>
                <w:sz w:val="24"/>
                <w:lang w:val="en-US" w:eastAsia="zh-CN"/>
              </w:rPr>
              <w:t>绿化用水</w:t>
            </w:r>
          </w:p>
          <w:p>
            <w:pPr>
              <w:pStyle w:val="61"/>
              <w:numPr>
                <w:ilvl w:val="0"/>
                <w:numId w:val="0"/>
              </w:numPr>
              <w:spacing w:line="440" w:lineRule="exact"/>
              <w:ind w:left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zCs w:val="24"/>
              </w:rPr>
              <w:t>绿化用水按</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·次计，绿化面积为10000m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，故绿化用水为</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pPr>
              <w:pStyle w:val="61"/>
              <w:numPr>
                <w:ilvl w:val="0"/>
                <w:numId w:val="11"/>
              </w:numPr>
              <w:spacing w:line="440" w:lineRule="exact"/>
              <w:ind w:left="0" w:firstLine="480"/>
              <w:rPr>
                <w:rFonts w:hint="default" w:ascii="Times New Roman" w:hAnsi="Times New Roman" w:eastAsia="宋体" w:cs="Times New Roman"/>
                <w:bCs/>
                <w:color w:val="auto"/>
                <w:sz w:val="24"/>
              </w:rPr>
            </w:pPr>
            <w:r>
              <w:rPr>
                <w:rFonts w:hint="eastAsia" w:cs="Times New Roman"/>
                <w:bCs/>
                <w:color w:val="auto"/>
                <w:sz w:val="24"/>
                <w:lang w:val="en-US" w:eastAsia="zh-CN"/>
              </w:rPr>
              <w:t>油品装卸区地面冲洗用水</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根据《石油化工企业给水排水系统设计规范》（SH3015-2003），地面冲洗用水量取每次2.0L/m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，本项目</w:t>
            </w:r>
            <w:r>
              <w:rPr>
                <w:rFonts w:hint="eastAsia" w:cs="Times New Roman"/>
                <w:bCs/>
                <w:color w:val="auto"/>
                <w:sz w:val="24"/>
                <w:lang w:val="en-US" w:eastAsia="zh-CN"/>
              </w:rPr>
              <w:t>油品装卸区面积726m</w:t>
            </w:r>
            <w:r>
              <w:rPr>
                <w:rFonts w:hint="eastAsia" w:cs="Times New Roman"/>
                <w:bCs/>
                <w:color w:val="auto"/>
                <w:sz w:val="24"/>
                <w:vertAlign w:val="superscript"/>
                <w:lang w:val="en-US" w:eastAsia="zh-CN"/>
              </w:rPr>
              <w:t>2</w:t>
            </w:r>
            <w:r>
              <w:rPr>
                <w:rFonts w:hint="eastAsia" w:cs="Times New Roman"/>
                <w:bCs/>
                <w:color w:val="auto"/>
                <w:sz w:val="24"/>
                <w:lang w:val="en-US" w:eastAsia="zh-CN"/>
              </w:rPr>
              <w:t>，</w:t>
            </w:r>
            <w:r>
              <w:rPr>
                <w:rFonts w:hint="default" w:ascii="Times New Roman" w:hAnsi="Times New Roman" w:eastAsia="宋体" w:cs="Times New Roman"/>
                <w:bCs/>
                <w:color w:val="auto"/>
                <w:sz w:val="24"/>
              </w:rPr>
              <w:t>约为</w:t>
            </w:r>
            <w:r>
              <w:rPr>
                <w:rFonts w:hint="eastAsia" w:cs="Times New Roman"/>
                <w:bCs/>
                <w:color w:val="auto"/>
                <w:sz w:val="24"/>
                <w:lang w:val="en-US" w:eastAsia="zh-CN"/>
              </w:rPr>
              <w:t>0.207</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/d（按</w:t>
            </w:r>
            <w:r>
              <w:rPr>
                <w:rFonts w:hint="eastAsia" w:cs="Times New Roman"/>
                <w:bCs/>
                <w:color w:val="auto"/>
                <w:sz w:val="24"/>
                <w:lang w:val="en-US" w:eastAsia="zh-CN"/>
              </w:rPr>
              <w:t>50次/计</w:t>
            </w:r>
            <w:r>
              <w:rPr>
                <w:rFonts w:hint="default" w:ascii="Times New Roman" w:hAnsi="Times New Roman" w:eastAsia="宋体" w:cs="Times New Roman"/>
                <w:bCs/>
                <w:color w:val="auto"/>
                <w:sz w:val="24"/>
              </w:rPr>
              <w:t>）</w:t>
            </w:r>
            <w:r>
              <w:rPr>
                <w:rFonts w:hint="eastAsia" w:cs="Times New Roman"/>
                <w:bCs/>
                <w:color w:val="auto"/>
                <w:sz w:val="24"/>
                <w:lang w:val="en-US" w:eastAsia="zh-CN"/>
              </w:rPr>
              <w:t>72.6</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p>
          <w:p>
            <w:pPr>
              <w:pStyle w:val="61"/>
              <w:numPr>
                <w:ilvl w:val="0"/>
                <w:numId w:val="11"/>
              </w:numPr>
              <w:spacing w:line="440" w:lineRule="exact"/>
              <w:ind w:left="0"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夏季罐体降温喷淋水</w:t>
            </w:r>
          </w:p>
          <w:p>
            <w:pPr>
              <w:widowControl/>
              <w:spacing w:line="440" w:lineRule="exact"/>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夏季高温季节，为减小装卸作业时罐体的大呼吸损耗量，需对罐体进行喷水降温处理。每年夏季高温</w:t>
            </w:r>
            <w:r>
              <w:rPr>
                <w:rFonts w:hint="eastAsia" w:cs="Times New Roman"/>
                <w:bCs/>
                <w:color w:val="auto"/>
                <w:kern w:val="0"/>
                <w:sz w:val="24"/>
                <w:lang w:val="en-US" w:eastAsia="zh-CN"/>
              </w:rPr>
              <w:t>时间</w:t>
            </w:r>
            <w:r>
              <w:rPr>
                <w:rFonts w:hint="default" w:ascii="Times New Roman" w:hAnsi="Times New Roman" w:eastAsia="宋体" w:cs="Times New Roman"/>
                <w:bCs/>
                <w:color w:val="auto"/>
                <w:kern w:val="0"/>
                <w:sz w:val="24"/>
              </w:rPr>
              <w:t>按</w:t>
            </w:r>
            <w:r>
              <w:rPr>
                <w:rFonts w:hint="eastAsia" w:cs="Times New Roman"/>
                <w:bCs/>
                <w:color w:val="auto"/>
                <w:kern w:val="0"/>
                <w:sz w:val="24"/>
                <w:lang w:val="en-US" w:eastAsia="zh-CN"/>
              </w:rPr>
              <w:t>60天</w:t>
            </w:r>
            <w:r>
              <w:rPr>
                <w:rFonts w:hint="default" w:ascii="Times New Roman" w:hAnsi="Times New Roman" w:eastAsia="宋体" w:cs="Times New Roman"/>
                <w:bCs/>
                <w:color w:val="auto"/>
                <w:kern w:val="0"/>
                <w:sz w:val="24"/>
              </w:rPr>
              <w:t>计</w:t>
            </w:r>
            <w:r>
              <w:rPr>
                <w:rFonts w:hint="default" w:ascii="Times New Roman" w:hAnsi="Times New Roman" w:eastAsia="宋体" w:cs="Times New Roman"/>
                <w:bCs/>
                <w:color w:val="auto"/>
                <w:kern w:val="0"/>
                <w:sz w:val="24"/>
              </w:rPr>
              <w:t>，每天喷淋10min，喷淋用水按2.0L/m</w:t>
            </w:r>
            <w:r>
              <w:rPr>
                <w:rFonts w:hint="default" w:ascii="Times New Roman" w:hAnsi="Times New Roman" w:eastAsia="宋体" w:cs="Times New Roman"/>
                <w:bCs/>
                <w:color w:val="auto"/>
                <w:kern w:val="0"/>
                <w:sz w:val="24"/>
                <w:vertAlign w:val="superscript"/>
              </w:rPr>
              <w:t>2</w:t>
            </w:r>
            <w:r>
              <w:rPr>
                <w:rFonts w:hint="default" w:ascii="Times New Roman" w:hAnsi="Times New Roman" w:eastAsia="宋体" w:cs="Times New Roman"/>
                <w:b/>
                <w:color w:val="auto"/>
                <w:kern w:val="0"/>
                <w:sz w:val="24"/>
                <w:vertAlign w:val="subscript"/>
              </w:rPr>
              <w:t>˙</w:t>
            </w:r>
            <w:r>
              <w:rPr>
                <w:rFonts w:hint="default" w:ascii="Times New Roman" w:hAnsi="Times New Roman" w:eastAsia="宋体" w:cs="Times New Roman"/>
                <w:bCs/>
                <w:color w:val="auto"/>
                <w:kern w:val="0"/>
                <w:sz w:val="24"/>
              </w:rPr>
              <w:t>min计，每天按4个5000m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、3个3000m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、2个1000m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的储罐进行装卸作业的罐体表面积为9842m</w:t>
            </w:r>
            <w:r>
              <w:rPr>
                <w:rFonts w:hint="default" w:ascii="Times New Roman" w:hAnsi="Times New Roman" w:eastAsia="宋体" w:cs="Times New Roman"/>
                <w:bCs/>
                <w:color w:val="auto"/>
                <w:kern w:val="0"/>
                <w:sz w:val="24"/>
                <w:vertAlign w:val="superscript"/>
              </w:rPr>
              <w:t>2</w:t>
            </w:r>
            <w:r>
              <w:rPr>
                <w:rFonts w:hint="default" w:ascii="Times New Roman" w:hAnsi="Times New Roman" w:eastAsia="宋体" w:cs="Times New Roman"/>
                <w:bCs/>
                <w:color w:val="auto"/>
                <w:kern w:val="0"/>
                <w:sz w:val="24"/>
              </w:rPr>
              <w:t>，夏季罐体降温喷淋用水量为196.84m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/d，即11810.4m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/a（折</w:t>
            </w:r>
            <w:r>
              <w:rPr>
                <w:rFonts w:hint="eastAsia" w:cs="Times New Roman"/>
                <w:bCs/>
                <w:color w:val="auto"/>
                <w:kern w:val="0"/>
                <w:sz w:val="24"/>
                <w:lang w:val="en-US" w:eastAsia="zh-CN"/>
              </w:rPr>
              <w:t>350</w:t>
            </w:r>
            <w:r>
              <w:rPr>
                <w:rFonts w:hint="default" w:ascii="Times New Roman" w:hAnsi="Times New Roman" w:eastAsia="宋体" w:cs="Times New Roman"/>
                <w:bCs/>
                <w:color w:val="auto"/>
                <w:kern w:val="0"/>
                <w:sz w:val="24"/>
              </w:rPr>
              <w:t>天</w:t>
            </w:r>
            <w:r>
              <w:rPr>
                <w:rFonts w:hint="eastAsia" w:cs="Times New Roman"/>
                <w:bCs/>
                <w:color w:val="auto"/>
                <w:kern w:val="0"/>
                <w:sz w:val="24"/>
                <w:lang w:val="en-US" w:eastAsia="zh-CN"/>
              </w:rPr>
              <w:t>为33.744</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w:t>
            </w:r>
            <w:r>
              <w:rPr>
                <w:rFonts w:hint="default" w:ascii="Times New Roman" w:hAnsi="Times New Roman" w:eastAsia="宋体" w:cs="Times New Roman"/>
                <w:bCs/>
                <w:color w:val="auto"/>
                <w:kern w:val="0"/>
                <w:sz w:val="24"/>
              </w:rPr>
              <w:t>。</w:t>
            </w:r>
          </w:p>
          <w:p>
            <w:pPr>
              <w:widowControl w:val="0"/>
              <w:autoSpaceDE w:val="0"/>
              <w:autoSpaceDN w:val="0"/>
              <w:adjustRightInd w:val="0"/>
              <w:snapToGrid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2）排水</w:t>
            </w:r>
          </w:p>
          <w:p>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本项目总排水量为</w:t>
            </w:r>
            <w:r>
              <w:rPr>
                <w:rFonts w:hint="eastAsia" w:cs="Times New Roman"/>
                <w:color w:val="auto"/>
                <w:kern w:val="0"/>
                <w:sz w:val="24"/>
                <w:szCs w:val="24"/>
                <w:lang w:val="en-US" w:eastAsia="zh-CN"/>
              </w:rPr>
              <w:t>37.727</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/d，其中：</w:t>
            </w:r>
          </w:p>
          <w:p>
            <w:pPr>
              <w:pStyle w:val="61"/>
              <w:numPr>
                <w:ilvl w:val="0"/>
                <w:numId w:val="12"/>
              </w:numPr>
              <w:spacing w:line="42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生活污水：</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生活污水按用水量的80%计，则产生量为</w:t>
            </w:r>
            <w:r>
              <w:rPr>
                <w:rFonts w:hint="eastAsia" w:cs="Times New Roman"/>
                <w:color w:val="auto"/>
                <w:sz w:val="24"/>
                <w:szCs w:val="24"/>
                <w:lang w:val="en-US" w:eastAsia="zh-CN"/>
              </w:rPr>
              <w:t>2.69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双龙镇污水处理厂扩建完成前，生活污水经化粪池处理后，定期清掏；双龙镇污水处理厂扩建完成后，生活污水</w:t>
            </w:r>
            <w:r>
              <w:rPr>
                <w:rFonts w:hint="default" w:ascii="Times New Roman" w:hAnsi="Times New Roman" w:eastAsia="宋体" w:cs="Times New Roman"/>
                <w:color w:val="auto"/>
                <w:sz w:val="24"/>
                <w:szCs w:val="24"/>
              </w:rPr>
              <w:t>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化粪池+地埋式生活污水处理装置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处理后排至</w:t>
            </w:r>
            <w:r>
              <w:rPr>
                <w:rFonts w:hint="default" w:ascii="Times New Roman" w:hAnsi="Times New Roman" w:eastAsia="宋体" w:cs="Times New Roman"/>
                <w:bCs/>
                <w:color w:val="auto"/>
                <w:spacing w:val="-2"/>
                <w:sz w:val="24"/>
                <w:szCs w:val="24"/>
              </w:rPr>
              <w:t>双龙镇污水处理厂</w:t>
            </w:r>
            <w:r>
              <w:rPr>
                <w:rFonts w:hint="default" w:ascii="Times New Roman" w:hAnsi="Times New Roman" w:eastAsia="宋体" w:cs="Times New Roman"/>
                <w:color w:val="auto"/>
                <w:sz w:val="24"/>
                <w:szCs w:val="24"/>
              </w:rPr>
              <w:t>。</w:t>
            </w:r>
          </w:p>
          <w:p>
            <w:pPr>
              <w:pStyle w:val="61"/>
              <w:numPr>
                <w:ilvl w:val="0"/>
                <w:numId w:val="12"/>
              </w:numPr>
              <w:spacing w:line="420" w:lineRule="exact"/>
              <w:ind w:left="0"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食堂废水</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食堂废水</w:t>
            </w:r>
            <w:r>
              <w:rPr>
                <w:rFonts w:hint="default" w:ascii="Times New Roman" w:hAnsi="Times New Roman" w:eastAsia="宋体" w:cs="Times New Roman"/>
                <w:color w:val="auto"/>
                <w:sz w:val="24"/>
                <w:szCs w:val="24"/>
              </w:rPr>
              <w:t>按用水量的80%计，则产生量为</w:t>
            </w:r>
            <w:r>
              <w:rPr>
                <w:rFonts w:hint="eastAsia" w:cs="Times New Roman"/>
                <w:color w:val="auto"/>
                <w:sz w:val="24"/>
                <w:szCs w:val="24"/>
                <w:lang w:val="en-US" w:eastAsia="zh-CN"/>
              </w:rPr>
              <w:t>1.68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双龙镇污水处理厂扩建完成前，食堂废水经“隔油池+化粪池”处理后，定期清掏；双龙镇污水处理厂扩建完成后，</w:t>
            </w:r>
            <w:r>
              <w:rPr>
                <w:rFonts w:hint="default" w:ascii="Times New Roman" w:hAnsi="Times New Roman" w:eastAsia="宋体" w:cs="Times New Roman"/>
                <w:color w:val="auto"/>
                <w:kern w:val="0"/>
                <w:sz w:val="24"/>
                <w:szCs w:val="24"/>
              </w:rPr>
              <w:t>经</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隔油池+化粪池+地埋式生活污水处理装置</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处理后排至双龙镇污水处理厂。</w:t>
            </w:r>
          </w:p>
          <w:p>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③</w:t>
            </w:r>
            <w:r>
              <w:rPr>
                <w:rFonts w:hint="eastAsia" w:cs="Times New Roman"/>
                <w:color w:val="auto"/>
                <w:kern w:val="0"/>
                <w:sz w:val="24"/>
                <w:szCs w:val="24"/>
                <w:lang w:val="en-US" w:eastAsia="zh-CN"/>
              </w:rPr>
              <w:t>化验废水</w:t>
            </w:r>
          </w:p>
          <w:p>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化验废水按用水量的90%计，则产生量为0.45m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/d，由化验室统一收集</w:t>
            </w:r>
            <w:r>
              <w:rPr>
                <w:rFonts w:hint="eastAsia" w:cs="Times New Roman"/>
                <w:color w:val="auto"/>
                <w:kern w:val="0"/>
                <w:sz w:val="24"/>
                <w:szCs w:val="24"/>
                <w:lang w:val="en-US" w:eastAsia="zh-CN"/>
              </w:rPr>
              <w:t>暂存于化验废液集存池，委托有资质单位处理</w:t>
            </w:r>
            <w:r>
              <w:rPr>
                <w:rFonts w:hint="default" w:ascii="Times New Roman" w:hAnsi="Times New Roman" w:eastAsia="宋体" w:cs="Times New Roman"/>
                <w:color w:val="auto"/>
                <w:kern w:val="0"/>
                <w:sz w:val="24"/>
                <w:szCs w:val="24"/>
              </w:rPr>
              <w:t>。</w:t>
            </w:r>
          </w:p>
          <w:p>
            <w:pPr>
              <w:widowControl w:val="0"/>
              <w:spacing w:line="420" w:lineRule="exact"/>
              <w:ind w:firstLine="480" w:firstLineChars="200"/>
              <w:textAlignment w:val="baseline"/>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rPr>
              <w:fldChar w:fldCharType="begin"/>
            </w:r>
            <w:r>
              <w:rPr>
                <w:rFonts w:hint="default" w:ascii="Times New Roman" w:hAnsi="Times New Roman" w:eastAsia="宋体" w:cs="Times New Roman"/>
                <w:bCs/>
                <w:color w:val="auto"/>
                <w:kern w:val="0"/>
                <w:sz w:val="24"/>
              </w:rPr>
              <w:instrText xml:space="preserve"> = 4 \* GB3 </w:instrText>
            </w:r>
            <w:r>
              <w:rPr>
                <w:rFonts w:hint="default" w:ascii="Times New Roman" w:hAnsi="Times New Roman" w:eastAsia="宋体" w:cs="Times New Roman"/>
                <w:bCs/>
                <w:color w:val="auto"/>
                <w:kern w:val="0"/>
                <w:sz w:val="24"/>
              </w:rPr>
              <w:fldChar w:fldCharType="separate"/>
            </w:r>
            <w:r>
              <w:rPr>
                <w:rFonts w:hint="default" w:ascii="Times New Roman" w:hAnsi="Times New Roman" w:eastAsia="宋体" w:cs="Times New Roman"/>
                <w:bCs/>
                <w:color w:val="auto"/>
                <w:kern w:val="0"/>
                <w:sz w:val="24"/>
              </w:rPr>
              <w:t>④</w:t>
            </w:r>
            <w:r>
              <w:rPr>
                <w:rFonts w:hint="default" w:ascii="Times New Roman" w:hAnsi="Times New Roman" w:eastAsia="宋体" w:cs="Times New Roman"/>
                <w:bCs/>
                <w:color w:val="auto"/>
                <w:kern w:val="0"/>
                <w:sz w:val="24"/>
              </w:rPr>
              <w:fldChar w:fldCharType="end"/>
            </w:r>
            <w:r>
              <w:rPr>
                <w:rFonts w:hint="eastAsia" w:cs="Times New Roman"/>
                <w:bCs/>
                <w:color w:val="auto"/>
                <w:kern w:val="0"/>
                <w:sz w:val="24"/>
                <w:lang w:val="en-US" w:eastAsia="zh-CN"/>
              </w:rPr>
              <w:t>储罐清洗废水</w:t>
            </w:r>
          </w:p>
          <w:p>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储罐清洗废水按用水量90%计，</w:t>
            </w:r>
            <w:r>
              <w:rPr>
                <w:rFonts w:hint="eastAsia" w:cs="Times New Roman"/>
                <w:color w:val="auto"/>
                <w:kern w:val="0"/>
                <w:sz w:val="24"/>
                <w:szCs w:val="24"/>
                <w:lang w:val="en-US" w:eastAsia="zh-CN"/>
              </w:rPr>
              <w:t>则产生量为288m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/a，</w:t>
            </w:r>
            <w:r>
              <w:rPr>
                <w:rFonts w:hint="default" w:ascii="Times New Roman" w:hAnsi="Times New Roman" w:eastAsia="宋体" w:cs="Times New Roman"/>
                <w:color w:val="auto"/>
                <w:kern w:val="0"/>
                <w:sz w:val="24"/>
                <w:szCs w:val="24"/>
              </w:rPr>
              <w:t>折算日产生量为</w:t>
            </w:r>
            <w:r>
              <w:rPr>
                <w:rFonts w:hint="eastAsia" w:cs="Times New Roman"/>
                <w:color w:val="auto"/>
                <w:kern w:val="0"/>
                <w:sz w:val="24"/>
                <w:szCs w:val="24"/>
                <w:lang w:val="en-US" w:eastAsia="zh-CN"/>
              </w:rPr>
              <w:t>0.823</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w:t>
            </w:r>
            <w:r>
              <w:rPr>
                <w:rFonts w:hint="eastAsia" w:cs="Times New Roman"/>
                <w:color w:val="auto"/>
                <w:kern w:val="0"/>
                <w:sz w:val="24"/>
                <w:szCs w:val="24"/>
                <w:lang w:val="en-US" w:eastAsia="zh-CN"/>
              </w:rPr>
              <w:t>（288.05m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/a），统一收集暂存于危废暂存间，委托有资质单位处理</w:t>
            </w:r>
            <w:r>
              <w:rPr>
                <w:rFonts w:hint="default" w:ascii="Times New Roman" w:hAnsi="Times New Roman" w:eastAsia="宋体" w:cs="Times New Roman"/>
                <w:color w:val="auto"/>
                <w:kern w:val="0"/>
                <w:sz w:val="24"/>
                <w:szCs w:val="24"/>
              </w:rPr>
              <w:t>。</w:t>
            </w:r>
          </w:p>
          <w:p>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⑤</w:t>
            </w:r>
            <w:r>
              <w:rPr>
                <w:rFonts w:hint="eastAsia" w:cs="Times New Roman"/>
                <w:color w:val="auto"/>
                <w:kern w:val="0"/>
                <w:sz w:val="24"/>
                <w:szCs w:val="24"/>
                <w:lang w:val="en-US" w:eastAsia="zh-CN"/>
              </w:rPr>
              <w:t>地面冲洗废水</w:t>
            </w:r>
          </w:p>
          <w:p>
            <w:pPr>
              <w:widowControl w:val="0"/>
              <w:spacing w:line="440" w:lineRule="exact"/>
              <w:ind w:firstLine="480" w:firstLineChars="200"/>
              <w:textAlignment w:val="baseline"/>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bCs/>
                <w:color w:val="auto"/>
                <w:kern w:val="0"/>
                <w:sz w:val="24"/>
              </w:rPr>
              <w:t>油品装卸区地面冲洗水产生量按用水量的90%计算，则地面冲洗水排水为</w:t>
            </w:r>
            <w:r>
              <w:rPr>
                <w:rFonts w:hint="eastAsia" w:cs="Times New Roman"/>
                <w:bCs/>
                <w:color w:val="auto"/>
                <w:kern w:val="0"/>
                <w:sz w:val="24"/>
                <w:lang w:val="en-US" w:eastAsia="zh-CN"/>
              </w:rPr>
              <w:t>0.186</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w:t>
            </w:r>
            <w:r>
              <w:rPr>
                <w:rFonts w:hint="eastAsia" w:cs="Times New Roman"/>
                <w:bCs/>
                <w:color w:val="auto"/>
                <w:kern w:val="0"/>
                <w:sz w:val="24"/>
                <w:lang w:eastAsia="zh-CN"/>
              </w:rPr>
              <w:t>（</w:t>
            </w:r>
            <w:r>
              <w:rPr>
                <w:rFonts w:hint="eastAsia" w:cs="Times New Roman"/>
                <w:bCs/>
                <w:color w:val="auto"/>
                <w:kern w:val="0"/>
                <w:sz w:val="24"/>
                <w:lang w:val="en-US" w:eastAsia="zh-CN"/>
              </w:rPr>
              <w:t>65.1</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w:t>
            </w:r>
            <w:r>
              <w:rPr>
                <w:rFonts w:hint="eastAsia" w:cs="Times New Roman"/>
                <w:bCs/>
                <w:color w:val="auto"/>
                <w:kern w:val="0"/>
                <w:sz w:val="24"/>
                <w:lang w:eastAsia="zh-CN"/>
              </w:rPr>
              <w:t>）</w:t>
            </w:r>
            <w:r>
              <w:rPr>
                <w:rFonts w:hint="eastAsia" w:ascii="Times New Roman" w:hAnsi="Times New Roman" w:eastAsia="宋体" w:cs="Times New Roman"/>
                <w:bCs/>
                <w:color w:val="auto"/>
                <w:kern w:val="0"/>
                <w:sz w:val="24"/>
                <w:lang w:eastAsia="zh-CN"/>
              </w:rPr>
              <w:t>，</w:t>
            </w:r>
            <w:r>
              <w:rPr>
                <w:rFonts w:hint="eastAsia" w:cs="Times New Roman"/>
                <w:bCs/>
                <w:color w:val="auto"/>
                <w:kern w:val="0"/>
                <w:sz w:val="24"/>
                <w:lang w:val="en-US" w:eastAsia="zh-CN"/>
              </w:rPr>
              <w:t>双龙镇污水处理厂扩建完成前，经库内污水处理站处理后，用于库内绿化；双龙镇污水处理厂扩建完成后，经库内污水处理站</w:t>
            </w:r>
            <w:r>
              <w:rPr>
                <w:rFonts w:hint="eastAsia" w:ascii="Times New Roman" w:hAnsi="Times New Roman" w:eastAsia="宋体" w:cs="Times New Roman"/>
                <w:bCs/>
                <w:color w:val="auto"/>
                <w:kern w:val="0"/>
                <w:sz w:val="24"/>
                <w:lang w:eastAsia="zh-CN"/>
              </w:rPr>
              <w:t>处理后经园区管网排入双龙镇污水处理厂处理。</w:t>
            </w:r>
          </w:p>
          <w:p>
            <w:pPr>
              <w:widowControl w:val="0"/>
              <w:spacing w:line="440" w:lineRule="exact"/>
              <w:ind w:firstLine="480" w:firstLineChars="200"/>
              <w:textAlignment w:val="baseline"/>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rPr>
              <w:t>⑥</w:t>
            </w:r>
            <w:r>
              <w:rPr>
                <w:rFonts w:hint="eastAsia" w:cs="Times New Roman"/>
                <w:bCs/>
                <w:color w:val="auto"/>
                <w:kern w:val="0"/>
                <w:sz w:val="24"/>
                <w:lang w:val="en-US" w:eastAsia="zh-CN"/>
              </w:rPr>
              <w:t>夏季降温喷淋水排水</w:t>
            </w:r>
          </w:p>
          <w:p>
            <w:pPr>
              <w:widowControl w:val="0"/>
              <w:spacing w:line="440" w:lineRule="exact"/>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夏季罐体降温喷淋水排水按用水量的80%计算，则夏季罐体降温喷淋用水排水量为</w:t>
            </w:r>
            <w:r>
              <w:rPr>
                <w:rFonts w:hint="eastAsia" w:cs="Times New Roman"/>
                <w:bCs/>
                <w:color w:val="auto"/>
                <w:kern w:val="0"/>
                <w:sz w:val="24"/>
                <w:lang w:val="en-US" w:eastAsia="zh-CN"/>
              </w:rPr>
              <w:t>26.995</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/d（9448.</w:t>
            </w:r>
            <w:r>
              <w:rPr>
                <w:rFonts w:hint="eastAsia" w:cs="Times New Roman"/>
                <w:bCs/>
                <w:color w:val="auto"/>
                <w:kern w:val="0"/>
                <w:sz w:val="24"/>
                <w:lang w:val="en-US" w:eastAsia="zh-CN"/>
              </w:rPr>
              <w:t>32</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w:t>
            </w:r>
            <w:r>
              <w:rPr>
                <w:rFonts w:hint="eastAsia" w:cs="Times New Roman"/>
                <w:bCs/>
                <w:color w:val="auto"/>
                <w:kern w:val="0"/>
                <w:sz w:val="24"/>
                <w:lang w:eastAsia="zh-CN"/>
              </w:rPr>
              <w:t>，</w:t>
            </w:r>
            <w:r>
              <w:rPr>
                <w:rFonts w:hint="eastAsia" w:cs="Times New Roman"/>
                <w:bCs/>
                <w:color w:val="auto"/>
                <w:kern w:val="0"/>
                <w:sz w:val="24"/>
                <w:lang w:val="en-US" w:eastAsia="zh-CN"/>
              </w:rPr>
              <w:t>双龙镇污水处理厂扩建完成前，经库内污水处理站处理后，用于库内绿化；双龙镇污水处理厂扩建完成后，经库内污水处理站</w:t>
            </w:r>
            <w:r>
              <w:rPr>
                <w:rFonts w:hint="eastAsia" w:ascii="Times New Roman" w:hAnsi="Times New Roman" w:eastAsia="宋体" w:cs="Times New Roman"/>
                <w:bCs/>
                <w:color w:val="auto"/>
                <w:kern w:val="0"/>
                <w:sz w:val="24"/>
                <w:lang w:eastAsia="zh-CN"/>
              </w:rPr>
              <w:t>处理后经园区管网排入双龙镇污水处理厂处理。</w:t>
            </w:r>
          </w:p>
          <w:p>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⑦</w:t>
            </w:r>
            <w:r>
              <w:rPr>
                <w:rFonts w:hint="eastAsia" w:cs="Times New Roman"/>
                <w:color w:val="auto"/>
                <w:kern w:val="0"/>
                <w:sz w:val="24"/>
                <w:szCs w:val="24"/>
                <w:lang w:val="en-US" w:eastAsia="zh-CN"/>
              </w:rPr>
              <w:t>罐底切水</w:t>
            </w:r>
          </w:p>
          <w:p>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罐底切水</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自然呼吸进去的水汽，在罐底沉积</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属于间断排水</w:t>
            </w:r>
            <w:r>
              <w:rPr>
                <w:rFonts w:hint="default" w:ascii="Times New Roman" w:hAnsi="Times New Roman" w:eastAsia="宋体" w:cs="Times New Roman"/>
                <w:bCs/>
                <w:color w:val="auto"/>
                <w:kern w:val="0"/>
                <w:sz w:val="24"/>
              </w:rPr>
              <w:t>：本项目油罐切水产生量计算如下：库区汽油</w:t>
            </w:r>
            <w:r>
              <w:rPr>
                <w:rFonts w:hint="eastAsia" w:cs="Times New Roman"/>
                <w:bCs/>
                <w:color w:val="auto"/>
                <w:kern w:val="0"/>
                <w:sz w:val="24"/>
                <w:lang w:eastAsia="zh-CN"/>
              </w:rPr>
              <w:t>、</w:t>
            </w:r>
            <w:r>
              <w:rPr>
                <w:rFonts w:hint="eastAsia" w:cs="Times New Roman"/>
                <w:bCs/>
                <w:color w:val="auto"/>
                <w:kern w:val="0"/>
                <w:sz w:val="24"/>
                <w:lang w:val="en-US" w:eastAsia="zh-CN"/>
              </w:rPr>
              <w:t>柴油</w:t>
            </w:r>
            <w:r>
              <w:rPr>
                <w:rFonts w:hint="default" w:ascii="Times New Roman" w:hAnsi="Times New Roman" w:eastAsia="宋体" w:cs="Times New Roman"/>
                <w:bCs/>
                <w:color w:val="auto"/>
                <w:kern w:val="0"/>
                <w:sz w:val="24"/>
              </w:rPr>
              <w:t>周转量</w:t>
            </w:r>
            <w:r>
              <w:rPr>
                <w:rFonts w:hint="eastAsia" w:cs="Times New Roman"/>
                <w:bCs/>
                <w:color w:val="auto"/>
                <w:kern w:val="0"/>
                <w:sz w:val="24"/>
                <w:lang w:val="en-US" w:eastAsia="zh-CN"/>
              </w:rPr>
              <w:t>共</w:t>
            </w:r>
            <w:r>
              <w:rPr>
                <w:rFonts w:hint="default" w:ascii="Times New Roman" w:hAnsi="Times New Roman" w:eastAsia="宋体" w:cs="Times New Roman"/>
                <w:bCs/>
                <w:color w:val="auto"/>
                <w:kern w:val="0"/>
                <w:sz w:val="24"/>
              </w:rPr>
              <w:t>为</w:t>
            </w:r>
            <w:r>
              <w:rPr>
                <w:rFonts w:hint="eastAsia" w:cs="Times New Roman"/>
                <w:bCs/>
                <w:color w:val="auto"/>
                <w:kern w:val="0"/>
                <w:sz w:val="24"/>
                <w:lang w:val="en-US" w:eastAsia="zh-CN"/>
              </w:rPr>
              <w:t>393600</w:t>
            </w:r>
            <w:r>
              <w:rPr>
                <w:rFonts w:hint="default" w:ascii="Times New Roman" w:hAnsi="Times New Roman" w:eastAsia="宋体" w:cs="Times New Roman"/>
                <w:bCs/>
                <w:color w:val="auto"/>
                <w:kern w:val="0"/>
                <w:sz w:val="24"/>
              </w:rPr>
              <w:t>t/a，汽油、柴油含水率均按100mg/kg计</w:t>
            </w:r>
            <w:r>
              <w:rPr>
                <w:rFonts w:hint="eastAsia" w:ascii="Times New Roman" w:hAnsi="Times New Roman" w:cs="Times New Roman"/>
                <w:bCs/>
                <w:color w:val="auto"/>
                <w:kern w:val="0"/>
                <w:sz w:val="24"/>
                <w:lang w:eastAsia="zh-CN"/>
              </w:rPr>
              <w:t>，</w:t>
            </w:r>
            <w:r>
              <w:rPr>
                <w:rFonts w:hint="eastAsia" w:cs="Times New Roman"/>
                <w:bCs/>
                <w:color w:val="auto"/>
                <w:kern w:val="0"/>
                <w:sz w:val="24"/>
                <w:lang w:val="en-US" w:eastAsia="zh-CN"/>
              </w:rPr>
              <w:t>则</w:t>
            </w:r>
            <w:r>
              <w:rPr>
                <w:rFonts w:hint="default" w:ascii="Times New Roman" w:hAnsi="Times New Roman" w:eastAsia="宋体" w:cs="Times New Roman"/>
                <w:bCs/>
                <w:color w:val="auto"/>
                <w:kern w:val="0"/>
                <w:sz w:val="24"/>
              </w:rPr>
              <w:t>油罐切水年产生量约为</w:t>
            </w:r>
            <w:r>
              <w:rPr>
                <w:rFonts w:hint="eastAsia" w:cs="Times New Roman"/>
                <w:bCs/>
                <w:color w:val="auto"/>
                <w:kern w:val="0"/>
                <w:sz w:val="24"/>
                <w:lang w:val="en-US" w:eastAsia="zh-CN"/>
              </w:rPr>
              <w:t>393600×100×10</w:t>
            </w:r>
            <w:r>
              <w:rPr>
                <w:rFonts w:hint="eastAsia" w:cs="Times New Roman"/>
                <w:bCs/>
                <w:color w:val="auto"/>
                <w:kern w:val="0"/>
                <w:sz w:val="24"/>
                <w:vertAlign w:val="superscript"/>
                <w:lang w:val="en-US" w:eastAsia="zh-CN"/>
              </w:rPr>
              <w:t>-6</w:t>
            </w:r>
            <w:r>
              <w:rPr>
                <w:rFonts w:hint="default" w:ascii="Times New Roman" w:hAnsi="Times New Roman" w:eastAsia="宋体" w:cs="Times New Roman"/>
                <w:bCs/>
                <w:color w:val="auto"/>
                <w:kern w:val="0"/>
                <w:sz w:val="24"/>
              </w:rPr>
              <w:t>=</w:t>
            </w:r>
            <w:r>
              <w:rPr>
                <w:rFonts w:hint="eastAsia" w:cs="Times New Roman"/>
                <w:bCs/>
                <w:color w:val="auto"/>
                <w:kern w:val="0"/>
                <w:sz w:val="24"/>
                <w:lang w:val="en-US" w:eastAsia="zh-CN"/>
              </w:rPr>
              <w:t>39.36</w:t>
            </w:r>
            <w:r>
              <w:rPr>
                <w:rFonts w:hint="default" w:ascii="Times New Roman" w:hAnsi="Times New Roman" w:eastAsia="宋体" w:cs="Times New Roman"/>
                <w:bCs/>
                <w:color w:val="auto"/>
                <w:kern w:val="0"/>
                <w:sz w:val="24"/>
              </w:rPr>
              <w:t>t/a</w:t>
            </w:r>
            <w:r>
              <w:rPr>
                <w:rFonts w:hint="eastAsia" w:cs="Times New Roman"/>
                <w:bCs/>
                <w:color w:val="auto"/>
                <w:kern w:val="0"/>
                <w:sz w:val="24"/>
                <w:lang w:eastAsia="zh-CN"/>
              </w:rPr>
              <w:t>（</w:t>
            </w:r>
            <w:r>
              <w:rPr>
                <w:rFonts w:hint="eastAsia" w:cs="Times New Roman"/>
                <w:bCs/>
                <w:color w:val="auto"/>
                <w:kern w:val="0"/>
                <w:sz w:val="24"/>
                <w:lang w:val="en-US" w:eastAsia="zh-CN"/>
              </w:rPr>
              <w:t>0.112m</w:t>
            </w:r>
            <w:r>
              <w:rPr>
                <w:rFonts w:hint="eastAsia" w:cs="Times New Roman"/>
                <w:bCs/>
                <w:color w:val="auto"/>
                <w:kern w:val="0"/>
                <w:sz w:val="24"/>
                <w:vertAlign w:val="superscript"/>
                <w:lang w:val="en-US" w:eastAsia="zh-CN"/>
              </w:rPr>
              <w:t>3</w:t>
            </w:r>
            <w:r>
              <w:rPr>
                <w:rFonts w:hint="eastAsia" w:cs="Times New Roman"/>
                <w:bCs/>
                <w:color w:val="auto"/>
                <w:kern w:val="0"/>
                <w:sz w:val="24"/>
                <w:lang w:val="en-US" w:eastAsia="zh-CN"/>
              </w:rPr>
              <w:t>/d</w:t>
            </w:r>
            <w:r>
              <w:rPr>
                <w:rFonts w:hint="eastAsia" w:cs="Times New Roman"/>
                <w:bCs/>
                <w:color w:val="auto"/>
                <w:kern w:val="0"/>
                <w:sz w:val="24"/>
                <w:lang w:eastAsia="zh-CN"/>
              </w:rPr>
              <w:t>），</w:t>
            </w:r>
            <w:r>
              <w:rPr>
                <w:rFonts w:hint="eastAsia" w:cs="Times New Roman"/>
                <w:color w:val="auto"/>
                <w:kern w:val="0"/>
                <w:sz w:val="24"/>
                <w:szCs w:val="24"/>
                <w:lang w:val="en-US" w:eastAsia="zh-CN"/>
              </w:rPr>
              <w:t>统一收集暂存于危废暂存间，委托有资质单位处理</w:t>
            </w:r>
            <w:r>
              <w:rPr>
                <w:rFonts w:hint="default" w:ascii="Times New Roman" w:hAnsi="Times New Roman" w:eastAsia="宋体" w:cs="Times New Roman"/>
                <w:color w:val="auto"/>
                <w:kern w:val="0"/>
                <w:sz w:val="24"/>
                <w:szCs w:val="24"/>
              </w:rPr>
              <w:t>。</w:t>
            </w:r>
          </w:p>
          <w:p>
            <w:pPr>
              <w:widowControl/>
              <w:spacing w:line="440" w:lineRule="exact"/>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⑧初期雨水：</w:t>
            </w:r>
          </w:p>
          <w:p>
            <w:pPr>
              <w:widowControl w:val="0"/>
              <w:spacing w:after="0"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项目装卸区设置罩棚，初期雨水主要来自储油罐区的含油初期雨水。对于罐区集雨区域初期雨水量按下式进行暴雨强度</w:t>
            </w:r>
            <w:r>
              <w:rPr>
                <w:rFonts w:hint="eastAsia" w:ascii="Times New Roman" w:hAnsi="Times New Roman" w:cs="Times New Roman"/>
                <w:color w:val="auto"/>
                <w:kern w:val="2"/>
                <w:sz w:val="24"/>
                <w:szCs w:val="24"/>
                <w:lang w:val="en-US" w:eastAsia="zh-CN" w:bidi="ar-SA"/>
              </w:rPr>
              <w:t>公式</w:t>
            </w:r>
            <w:r>
              <w:rPr>
                <w:rFonts w:hint="default" w:ascii="Times New Roman" w:hAnsi="Times New Roman" w:eastAsia="宋体" w:cs="Times New Roman"/>
                <w:color w:val="auto"/>
                <w:kern w:val="2"/>
                <w:sz w:val="24"/>
                <w:szCs w:val="24"/>
                <w:lang w:val="en-US" w:eastAsia="zh-CN" w:bidi="ar-SA"/>
              </w:rPr>
              <w:t>计算。</w:t>
            </w:r>
          </w:p>
          <w:p>
            <w:pPr>
              <w:widowControl w:val="0"/>
              <w:autoSpaceDE w:val="0"/>
              <w:autoSpaceDN w:val="0"/>
              <w:adjustRightInd/>
              <w:spacing w:line="440" w:lineRule="exact"/>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当0.25年≤T≤10年时：</w:t>
            </w:r>
          </w:p>
          <w:p>
            <w:pPr>
              <w:widowControl w:val="0"/>
              <w:spacing w:after="0"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q=1392.1（1+0.55</w:t>
            </w:r>
            <w:r>
              <w:rPr>
                <w:rFonts w:hint="eastAsia" w:cs="Times New Roman"/>
                <w:color w:val="auto"/>
                <w:kern w:val="2"/>
                <w:sz w:val="24"/>
                <w:szCs w:val="24"/>
                <w:lang w:val="en-US" w:eastAsia="zh-CN" w:bidi="ar-SA"/>
              </w:rPr>
              <w:t>lg</w:t>
            </w:r>
            <w:r>
              <w:rPr>
                <w:rFonts w:hint="default" w:ascii="Times New Roman" w:hAnsi="Times New Roman" w:eastAsia="宋体" w:cs="Times New Roman"/>
                <w:color w:val="auto"/>
                <w:kern w:val="2"/>
                <w:sz w:val="24"/>
                <w:szCs w:val="24"/>
                <w:lang w:val="en-US" w:eastAsia="zh-CN" w:bidi="ar-SA"/>
              </w:rPr>
              <w:t>P）/(t+12.548)</w:t>
            </w:r>
            <w:r>
              <w:rPr>
                <w:rFonts w:hint="default" w:ascii="Times New Roman" w:hAnsi="Times New Roman" w:eastAsia="宋体" w:cs="Times New Roman"/>
                <w:color w:val="auto"/>
                <w:kern w:val="2"/>
                <w:sz w:val="24"/>
                <w:szCs w:val="24"/>
                <w:vertAlign w:val="superscript"/>
                <w:lang w:val="en-US" w:eastAsia="zh-CN" w:bidi="ar-SA"/>
              </w:rPr>
              <w:t>0.5452</w:t>
            </w:r>
          </w:p>
          <w:p>
            <w:pPr>
              <w:widowControl w:val="0"/>
              <w:autoSpaceDE w:val="0"/>
              <w:autoSpaceDN w:val="0"/>
              <w:adjustRightInd/>
              <w:spacing w:line="440" w:lineRule="exact"/>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式中：P—设计降雨的重现期(a)；P=1年；</w:t>
            </w:r>
          </w:p>
          <w:p>
            <w:pPr>
              <w:widowControl w:val="0"/>
              <w:spacing w:after="0" w:line="440" w:lineRule="exact"/>
              <w:ind w:firstLine="1200" w:firstLineChars="5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t—降雨历时(min)；取30min。</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根据上述公式计算，q=343.14L/（s·ha）。根据项目平面布置图，项目初期雨水的收集并进行处理的集雨区域主要为罐区，区域面积约为0.78ha（约</w:t>
            </w:r>
            <w:r>
              <w:rPr>
                <w:rFonts w:hint="default" w:ascii="Times New Roman" w:hAnsi="Times New Roman" w:eastAsia="宋体" w:cs="Times New Roman"/>
                <w:color w:val="auto"/>
                <w:sz w:val="24"/>
                <w:szCs w:val="21"/>
                <w:lang w:val="en-US" w:eastAsia="zh-CN" w:bidi="ar-SA"/>
              </w:rPr>
              <w:t>7800</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），径流系数取0.</w:t>
            </w:r>
            <w:r>
              <w:rPr>
                <w:rFonts w:hint="eastAsia" w:cs="Times New Roman"/>
                <w:color w:val="auto"/>
                <w:sz w:val="24"/>
                <w:szCs w:val="24"/>
                <w:lang w:val="en-US" w:eastAsia="zh-CN" w:bidi="ar-SA"/>
              </w:rPr>
              <w:t>9</w:t>
            </w:r>
            <w:r>
              <w:rPr>
                <w:rFonts w:hint="default" w:ascii="Times New Roman" w:hAnsi="Times New Roman" w:eastAsia="宋体" w:cs="Times New Roman"/>
                <w:color w:val="auto"/>
                <w:sz w:val="24"/>
                <w:szCs w:val="24"/>
                <w:lang w:val="en-US" w:eastAsia="zh-CN" w:bidi="ar-SA"/>
              </w:rPr>
              <w:t>，收水时间取15min，则雨水产生量为</w:t>
            </w:r>
            <w:r>
              <w:rPr>
                <w:rFonts w:hint="eastAsia" w:cs="Times New Roman"/>
                <w:color w:val="auto"/>
                <w:sz w:val="24"/>
                <w:szCs w:val="24"/>
                <w:lang w:val="en-US" w:eastAsia="zh-CN" w:bidi="ar-SA"/>
              </w:rPr>
              <w:t>216.8</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/次，重现次数取年均10次，则初期雨水产生量为</w:t>
            </w:r>
            <w:r>
              <w:rPr>
                <w:rFonts w:hint="eastAsia" w:cs="Times New Roman"/>
                <w:color w:val="auto"/>
                <w:sz w:val="24"/>
                <w:szCs w:val="24"/>
                <w:lang w:val="en-US" w:eastAsia="zh-CN" w:bidi="ar-SA"/>
              </w:rPr>
              <w:t>2168</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/a</w:t>
            </w:r>
            <w:r>
              <w:rPr>
                <w:rFonts w:hint="eastAsia" w:cs="Times New Roman"/>
                <w:color w:val="auto"/>
                <w:sz w:val="24"/>
                <w:szCs w:val="24"/>
                <w:lang w:val="en-US" w:eastAsia="zh-CN" w:bidi="ar-SA"/>
              </w:rPr>
              <w:t>（6.194m</w:t>
            </w:r>
            <w:r>
              <w:rPr>
                <w:rFonts w:hint="eastAsia" w:cs="Times New Roman"/>
                <w:color w:val="auto"/>
                <w:sz w:val="24"/>
                <w:szCs w:val="24"/>
                <w:vertAlign w:val="superscript"/>
                <w:lang w:val="en-US" w:eastAsia="zh-CN" w:bidi="ar-SA"/>
              </w:rPr>
              <w:t>3</w:t>
            </w:r>
            <w:r>
              <w:rPr>
                <w:rFonts w:hint="eastAsia" w:cs="Times New Roman"/>
                <w:color w:val="auto"/>
                <w:sz w:val="24"/>
                <w:szCs w:val="24"/>
                <w:lang w:val="en-US" w:eastAsia="zh-CN" w:bidi="ar-SA"/>
              </w:rPr>
              <w:t>/d）</w:t>
            </w:r>
            <w:r>
              <w:rPr>
                <w:rFonts w:hint="default" w:ascii="Times New Roman" w:hAnsi="Times New Roman" w:eastAsia="宋体" w:cs="Times New Roman"/>
                <w:color w:val="auto"/>
                <w:sz w:val="24"/>
                <w:szCs w:val="24"/>
                <w:lang w:val="en-US" w:eastAsia="zh-CN" w:bidi="ar-SA"/>
              </w:rPr>
              <w:t>。</w:t>
            </w:r>
          </w:p>
          <w:p>
            <w:pPr>
              <w:keepNext w:val="0"/>
              <w:keepLines w:val="0"/>
              <w:pageBreakBefore w:val="0"/>
              <w:widowControl w:val="0"/>
              <w:kinsoku/>
              <w:wordWrap/>
              <w:overflowPunct/>
              <w:topLinePunct w:val="0"/>
              <w:bidi w:val="0"/>
              <w:adjustRightInd/>
              <w:spacing w:line="440" w:lineRule="exact"/>
              <w:ind w:firstLine="458" w:firstLineChars="200"/>
              <w:textAlignment w:val="baseline"/>
              <w:rPr>
                <w:rFonts w:hint="default" w:ascii="Times New Roman" w:hAnsi="Times New Roman" w:eastAsia="宋体" w:cs="Times New Roman"/>
                <w:b/>
                <w:bCs w:val="0"/>
                <w:color w:val="auto"/>
                <w:spacing w:val="-6"/>
                <w:kern w:val="0"/>
                <w:sz w:val="24"/>
                <w:lang w:val="en-US" w:eastAsia="zh-CN"/>
              </w:rPr>
            </w:pPr>
            <w:r>
              <w:rPr>
                <w:rFonts w:hint="default" w:ascii="Times New Roman" w:hAnsi="Times New Roman" w:eastAsia="宋体" w:cs="Times New Roman"/>
                <w:b/>
                <w:bCs w:val="0"/>
                <w:color w:val="auto"/>
                <w:spacing w:val="-6"/>
                <w:kern w:val="0"/>
                <w:sz w:val="24"/>
              </w:rPr>
              <w:t>根据企业提供资料，现有双龙镇污水处理厂处理能力为1</w:t>
            </w:r>
            <w:r>
              <w:rPr>
                <w:rFonts w:hint="eastAsia" w:cs="Times New Roman"/>
                <w:b/>
                <w:bCs w:val="0"/>
                <w:color w:val="auto"/>
                <w:spacing w:val="-6"/>
                <w:kern w:val="0"/>
                <w:sz w:val="24"/>
                <w:lang w:val="en-US" w:eastAsia="zh-CN"/>
              </w:rPr>
              <w:t>0</w:t>
            </w:r>
            <w:r>
              <w:rPr>
                <w:rFonts w:hint="default" w:ascii="Times New Roman" w:hAnsi="Times New Roman" w:eastAsia="宋体" w:cs="Times New Roman"/>
                <w:b/>
                <w:bCs w:val="0"/>
                <w:color w:val="auto"/>
                <w:spacing w:val="-6"/>
                <w:kern w:val="0"/>
                <w:sz w:val="24"/>
              </w:rPr>
              <w:t>00m</w:t>
            </w:r>
            <w:r>
              <w:rPr>
                <w:rFonts w:hint="default" w:ascii="Times New Roman" w:hAnsi="Times New Roman" w:eastAsia="宋体" w:cs="Times New Roman"/>
                <w:b/>
                <w:bCs w:val="0"/>
                <w:color w:val="auto"/>
                <w:spacing w:val="-6"/>
                <w:kern w:val="0"/>
                <w:sz w:val="24"/>
                <w:vertAlign w:val="superscript"/>
              </w:rPr>
              <w:t>3</w:t>
            </w:r>
            <w:r>
              <w:rPr>
                <w:rFonts w:hint="default" w:ascii="Times New Roman" w:hAnsi="Times New Roman" w:eastAsia="宋体" w:cs="Times New Roman"/>
                <w:b/>
                <w:bCs w:val="0"/>
                <w:color w:val="auto"/>
                <w:spacing w:val="-6"/>
                <w:kern w:val="0"/>
                <w:sz w:val="24"/>
              </w:rPr>
              <w:t>/d，</w:t>
            </w:r>
            <w:r>
              <w:rPr>
                <w:rFonts w:hint="eastAsia" w:cs="Times New Roman"/>
                <w:b/>
                <w:bCs w:val="0"/>
                <w:color w:val="auto"/>
                <w:spacing w:val="-6"/>
                <w:kern w:val="0"/>
                <w:sz w:val="24"/>
                <w:lang w:val="en-US" w:eastAsia="zh-CN"/>
              </w:rPr>
              <w:t>实际</w:t>
            </w:r>
            <w:r>
              <w:rPr>
                <w:rFonts w:hint="default" w:ascii="Times New Roman" w:hAnsi="Times New Roman" w:eastAsia="宋体" w:cs="Times New Roman"/>
                <w:b/>
                <w:bCs w:val="0"/>
                <w:color w:val="auto"/>
                <w:spacing w:val="-6"/>
                <w:kern w:val="0"/>
                <w:sz w:val="24"/>
              </w:rPr>
              <w:t>处理</w:t>
            </w:r>
            <w:r>
              <w:rPr>
                <w:rFonts w:hint="eastAsia" w:cs="Times New Roman"/>
                <w:b/>
                <w:bCs w:val="0"/>
                <w:color w:val="auto"/>
                <w:spacing w:val="-6"/>
                <w:kern w:val="0"/>
                <w:sz w:val="24"/>
                <w:lang w:val="en-US" w:eastAsia="zh-CN"/>
              </w:rPr>
              <w:t>废水</w:t>
            </w:r>
            <w:r>
              <w:rPr>
                <w:rFonts w:hint="default" w:ascii="Times New Roman" w:hAnsi="Times New Roman" w:eastAsia="宋体" w:cs="Times New Roman"/>
                <w:b/>
                <w:bCs w:val="0"/>
                <w:color w:val="auto"/>
                <w:spacing w:val="-6"/>
                <w:kern w:val="0"/>
                <w:sz w:val="24"/>
              </w:rPr>
              <w:t>量</w:t>
            </w:r>
            <w:r>
              <w:rPr>
                <w:rFonts w:hint="eastAsia" w:cs="Times New Roman"/>
                <w:b/>
                <w:bCs w:val="0"/>
                <w:color w:val="auto"/>
                <w:spacing w:val="-6"/>
                <w:kern w:val="0"/>
                <w:sz w:val="24"/>
                <w:lang w:val="en-US" w:eastAsia="zh-CN"/>
              </w:rPr>
              <w:t>已达1000</w:t>
            </w:r>
            <w:r>
              <w:rPr>
                <w:rFonts w:hint="default" w:ascii="Times New Roman" w:hAnsi="Times New Roman" w:eastAsia="宋体" w:cs="Times New Roman"/>
                <w:b/>
                <w:bCs w:val="0"/>
                <w:color w:val="auto"/>
                <w:spacing w:val="-6"/>
                <w:kern w:val="0"/>
                <w:sz w:val="24"/>
              </w:rPr>
              <w:t>m</w:t>
            </w:r>
            <w:r>
              <w:rPr>
                <w:rFonts w:hint="default" w:ascii="Times New Roman" w:hAnsi="Times New Roman" w:eastAsia="宋体" w:cs="Times New Roman"/>
                <w:b/>
                <w:bCs w:val="0"/>
                <w:color w:val="auto"/>
                <w:spacing w:val="-6"/>
                <w:kern w:val="0"/>
                <w:sz w:val="24"/>
                <w:vertAlign w:val="superscript"/>
              </w:rPr>
              <w:t>3</w:t>
            </w:r>
            <w:r>
              <w:rPr>
                <w:rFonts w:hint="default" w:ascii="Times New Roman" w:hAnsi="Times New Roman" w:eastAsia="宋体" w:cs="Times New Roman"/>
                <w:b/>
                <w:bCs w:val="0"/>
                <w:color w:val="auto"/>
                <w:spacing w:val="-6"/>
                <w:kern w:val="0"/>
                <w:sz w:val="24"/>
              </w:rPr>
              <w:t>/d。</w:t>
            </w:r>
            <w:r>
              <w:rPr>
                <w:rFonts w:hint="eastAsia" w:cs="Times New Roman"/>
                <w:b/>
                <w:bCs w:val="0"/>
                <w:color w:val="auto"/>
                <w:spacing w:val="-6"/>
                <w:kern w:val="0"/>
                <w:sz w:val="24"/>
                <w:lang w:val="en-US" w:eastAsia="zh-CN"/>
              </w:rPr>
              <w:t>根据相关资料，双龙镇污水处理厂二期工程正在建设中，建设完成后处理能力可达10000m</w:t>
            </w:r>
            <w:r>
              <w:rPr>
                <w:rFonts w:hint="eastAsia" w:cs="Times New Roman"/>
                <w:b/>
                <w:bCs w:val="0"/>
                <w:color w:val="auto"/>
                <w:spacing w:val="-6"/>
                <w:kern w:val="0"/>
                <w:sz w:val="24"/>
                <w:vertAlign w:val="superscript"/>
                <w:lang w:val="en-US" w:eastAsia="zh-CN"/>
              </w:rPr>
              <w:t>3</w:t>
            </w:r>
            <w:r>
              <w:rPr>
                <w:rFonts w:hint="eastAsia" w:cs="Times New Roman"/>
                <w:b/>
                <w:bCs w:val="0"/>
                <w:color w:val="auto"/>
                <w:spacing w:val="-6"/>
                <w:kern w:val="0"/>
                <w:sz w:val="24"/>
                <w:lang w:val="en-US" w:eastAsia="zh-CN"/>
              </w:rPr>
              <w:t>/d，便可接纳本项目废水。</w:t>
            </w:r>
          </w:p>
          <w:p>
            <w:pPr>
              <w:keepNext w:val="0"/>
              <w:keepLines w:val="0"/>
              <w:pageBreakBefore w:val="0"/>
              <w:widowControl w:val="0"/>
              <w:kinsoku/>
              <w:wordWrap/>
              <w:overflowPunct/>
              <w:topLinePunct w:val="0"/>
              <w:bidi w:val="0"/>
              <w:adjustRightInd/>
              <w:spacing w:line="440" w:lineRule="exact"/>
              <w:ind w:firstLine="456" w:firstLineChars="200"/>
              <w:textAlignment w:val="baseline"/>
              <w:rPr>
                <w:rFonts w:hint="default" w:cs="Times New Roman"/>
                <w:b w:val="0"/>
                <w:bCs/>
                <w:color w:val="auto"/>
                <w:spacing w:val="-6"/>
                <w:kern w:val="0"/>
                <w:sz w:val="24"/>
                <w:lang w:val="en-US" w:eastAsia="zh-CN"/>
              </w:rPr>
            </w:pPr>
            <w:r>
              <w:rPr>
                <w:rFonts w:hint="eastAsia" w:cs="Times New Roman"/>
                <w:b w:val="0"/>
                <w:bCs/>
                <w:color w:val="auto"/>
                <w:spacing w:val="-6"/>
                <w:kern w:val="0"/>
                <w:sz w:val="24"/>
                <w:lang w:val="en-US" w:eastAsia="zh-CN"/>
              </w:rPr>
              <w:t>3）水平衡</w:t>
            </w:r>
          </w:p>
          <w:p>
            <w:pPr>
              <w:keepNext w:val="0"/>
              <w:keepLines w:val="0"/>
              <w:pageBreakBefore w:val="0"/>
              <w:widowControl w:val="0"/>
              <w:kinsoku/>
              <w:wordWrap/>
              <w:overflowPunct/>
              <w:topLinePunct w:val="0"/>
              <w:bidi w:val="0"/>
              <w:adjustRightInd/>
              <w:spacing w:line="440" w:lineRule="exact"/>
              <w:ind w:firstLine="456" w:firstLineChars="200"/>
              <w:textAlignment w:val="baseline"/>
              <w:rPr>
                <w:rFonts w:hint="default" w:eastAsia="宋体" w:cs="Times New Roman"/>
                <w:bCs/>
                <w:color w:val="auto"/>
                <w:spacing w:val="-6"/>
                <w:kern w:val="0"/>
                <w:sz w:val="24"/>
                <w:lang w:val="en-US" w:eastAsia="zh-CN"/>
              </w:rPr>
            </w:pPr>
            <w:r>
              <w:rPr>
                <w:rFonts w:hint="default" w:ascii="Times New Roman" w:hAnsi="Times New Roman" w:eastAsia="宋体" w:cs="Times New Roman"/>
                <w:bCs/>
                <w:color w:val="auto"/>
                <w:spacing w:val="-6"/>
                <w:kern w:val="0"/>
                <w:sz w:val="24"/>
              </w:rPr>
              <w:t>①</w:t>
            </w:r>
            <w:r>
              <w:rPr>
                <w:rFonts w:hint="eastAsia" w:ascii="Times New Roman" w:hAnsi="Times New Roman" w:cs="Times New Roman"/>
                <w:bCs/>
                <w:color w:val="auto"/>
                <w:spacing w:val="-6"/>
                <w:kern w:val="0"/>
                <w:sz w:val="24"/>
                <w:lang w:val="en-US" w:eastAsia="zh-CN"/>
              </w:rPr>
              <w:t>双龙</w:t>
            </w:r>
            <w:r>
              <w:rPr>
                <w:rFonts w:hint="eastAsia" w:cs="Times New Roman"/>
                <w:bCs/>
                <w:color w:val="auto"/>
                <w:spacing w:val="-6"/>
                <w:kern w:val="0"/>
                <w:sz w:val="24"/>
                <w:lang w:val="en-US" w:eastAsia="zh-CN"/>
              </w:rPr>
              <w:t>镇</w:t>
            </w:r>
            <w:r>
              <w:rPr>
                <w:rFonts w:hint="eastAsia" w:ascii="Times New Roman" w:hAnsi="Times New Roman" w:cs="Times New Roman"/>
                <w:bCs/>
                <w:color w:val="auto"/>
                <w:spacing w:val="-6"/>
                <w:kern w:val="0"/>
                <w:sz w:val="24"/>
                <w:lang w:val="en-US" w:eastAsia="zh-CN"/>
              </w:rPr>
              <w:t>污水处理厂扩建完成后水平衡</w:t>
            </w:r>
          </w:p>
          <w:p>
            <w:pPr>
              <w:keepNext w:val="0"/>
              <w:keepLines w:val="0"/>
              <w:pageBreakBefore w:val="0"/>
              <w:widowControl w:val="0"/>
              <w:kinsoku/>
              <w:wordWrap/>
              <w:overflowPunct/>
              <w:topLinePunct w:val="0"/>
              <w:bidi w:val="0"/>
              <w:adjustRightInd/>
              <w:spacing w:line="440" w:lineRule="exact"/>
              <w:ind w:firstLine="456" w:firstLineChars="200"/>
              <w:textAlignment w:val="baseline"/>
              <w:rPr>
                <w:rFonts w:hint="default" w:ascii="Times New Roman" w:hAnsi="Times New Roman" w:eastAsia="宋体" w:cs="Times New Roman"/>
                <w:bCs/>
                <w:color w:val="auto"/>
                <w:spacing w:val="-6"/>
                <w:kern w:val="0"/>
                <w:sz w:val="24"/>
              </w:rPr>
            </w:pPr>
            <w:r>
              <w:rPr>
                <w:rFonts w:hint="eastAsia" w:cs="Times New Roman"/>
                <w:bCs/>
                <w:color w:val="auto"/>
                <w:spacing w:val="-6"/>
                <w:kern w:val="0"/>
                <w:sz w:val="24"/>
                <w:lang w:val="en-US" w:eastAsia="zh-CN"/>
              </w:rPr>
              <w:t>双龙镇污水处理厂扩建完成后，</w:t>
            </w:r>
            <w:r>
              <w:rPr>
                <w:rFonts w:hint="default" w:ascii="Times New Roman" w:hAnsi="Times New Roman" w:eastAsia="宋体" w:cs="Times New Roman"/>
                <w:bCs/>
                <w:color w:val="auto"/>
                <w:spacing w:val="-6"/>
                <w:kern w:val="0"/>
                <w:sz w:val="24"/>
              </w:rPr>
              <w:t>拟建项目给排水平衡，见表</w:t>
            </w:r>
            <w:r>
              <w:rPr>
                <w:rFonts w:hint="eastAsia" w:ascii="Times New Roman" w:hAnsi="Times New Roman" w:cs="Times New Roman"/>
                <w:bCs/>
                <w:color w:val="auto"/>
                <w:spacing w:val="-6"/>
                <w:kern w:val="0"/>
                <w:sz w:val="24"/>
                <w:lang w:val="en-US" w:eastAsia="zh-CN"/>
              </w:rPr>
              <w:t>2-</w:t>
            </w:r>
            <w:r>
              <w:rPr>
                <w:rFonts w:hint="eastAsia" w:cs="Times New Roman"/>
                <w:bCs/>
                <w:color w:val="auto"/>
                <w:spacing w:val="-6"/>
                <w:kern w:val="0"/>
                <w:sz w:val="24"/>
                <w:lang w:val="en-US" w:eastAsia="zh-CN"/>
              </w:rPr>
              <w:t>7</w:t>
            </w:r>
            <w:r>
              <w:rPr>
                <w:rFonts w:hint="default" w:ascii="Times New Roman" w:hAnsi="Times New Roman" w:eastAsia="宋体" w:cs="Times New Roman"/>
                <w:bCs/>
                <w:color w:val="auto"/>
                <w:spacing w:val="-6"/>
                <w:kern w:val="0"/>
                <w:sz w:val="24"/>
              </w:rPr>
              <w:t>。</w:t>
            </w:r>
          </w:p>
          <w:p>
            <w:pPr>
              <w:keepNext w:val="0"/>
              <w:keepLines w:val="0"/>
              <w:pageBreakBefore w:val="0"/>
              <w:widowControl/>
              <w:kinsoku/>
              <w:wordWrap/>
              <w:overflowPunct/>
              <w:topLinePunct w:val="0"/>
              <w:autoSpaceDE/>
              <w:autoSpaceDN/>
              <w:bidi w:val="0"/>
              <w:adjustRightInd/>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ascii="Times New Roman" w:hAnsi="Times New Roman" w:cs="Times New Roman"/>
                <w:b/>
                <w:color w:val="auto"/>
                <w:kern w:val="0"/>
                <w:sz w:val="24"/>
                <w:szCs w:val="24"/>
                <w:lang w:val="en-US" w:eastAsia="zh-CN"/>
              </w:rPr>
              <w:t>2-</w:t>
            </w:r>
            <w:r>
              <w:rPr>
                <w:rFonts w:hint="eastAsia" w:cs="Times New Roman"/>
                <w:b/>
                <w:color w:val="auto"/>
                <w:kern w:val="0"/>
                <w:sz w:val="24"/>
                <w:szCs w:val="24"/>
                <w:lang w:val="en-US" w:eastAsia="zh-CN"/>
              </w:rPr>
              <w:t>7</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拟建项目给排水平衡表</w:t>
            </w:r>
            <w:r>
              <w:rPr>
                <w:rFonts w:hint="eastAsia"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(单位：m</w:t>
            </w:r>
            <w:r>
              <w:rPr>
                <w:rFonts w:hint="default" w:ascii="Times New Roman" w:hAnsi="Times New Roman" w:eastAsia="宋体" w:cs="Times New Roman"/>
                <w:b/>
                <w:color w:val="auto"/>
                <w:kern w:val="0"/>
                <w:sz w:val="24"/>
                <w:szCs w:val="24"/>
                <w:vertAlign w:val="superscript"/>
              </w:rPr>
              <w:t>3</w:t>
            </w:r>
            <w:r>
              <w:rPr>
                <w:rFonts w:hint="default" w:ascii="Times New Roman" w:hAnsi="Times New Roman" w:eastAsia="宋体" w:cs="Times New Roman"/>
                <w:b/>
                <w:color w:val="auto"/>
                <w:kern w:val="0"/>
                <w:sz w:val="24"/>
                <w:szCs w:val="24"/>
              </w:rPr>
              <w:t>/d)</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276"/>
              <w:gridCol w:w="824"/>
              <w:gridCol w:w="1045"/>
              <w:gridCol w:w="685"/>
              <w:gridCol w:w="811"/>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用水类别</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用水标准</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cs="Times New Roman"/>
                      <w:b w:val="0"/>
                      <w:bCs/>
                      <w:color w:val="auto"/>
                      <w:sz w:val="21"/>
                      <w:szCs w:val="21"/>
                      <w:lang w:val="en-US" w:eastAsia="zh-CN" w:bidi="ar-SA"/>
                    </w:rPr>
                  </w:pPr>
                  <w:r>
                    <w:rPr>
                      <w:rFonts w:hint="eastAsia" w:cs="Times New Roman"/>
                      <w:b w:val="0"/>
                      <w:bCs/>
                      <w:color w:val="auto"/>
                      <w:sz w:val="21"/>
                      <w:szCs w:val="21"/>
                      <w:lang w:val="en-US" w:eastAsia="zh-CN" w:bidi="ar-SA"/>
                    </w:rPr>
                    <w:t>规模</w:t>
                  </w:r>
                </w:p>
              </w:tc>
              <w:tc>
                <w:tcPr>
                  <w:tcW w:w="65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用水量（m</w:t>
                  </w:r>
                  <w:r>
                    <w:rPr>
                      <w:rFonts w:hint="eastAsia" w:cs="Times New Roman"/>
                      <w:b w:val="0"/>
                      <w:bCs/>
                      <w:color w:val="auto"/>
                      <w:sz w:val="21"/>
                      <w:szCs w:val="21"/>
                      <w:vertAlign w:val="superscript"/>
                      <w:lang w:val="en-US" w:eastAsia="zh-CN" w:bidi="ar-SA"/>
                    </w:rPr>
                    <w:t>3</w:t>
                  </w:r>
                  <w:r>
                    <w:rPr>
                      <w:rFonts w:hint="eastAsia" w:cs="Times New Roman"/>
                      <w:b w:val="0"/>
                      <w:bCs/>
                      <w:color w:val="auto"/>
                      <w:sz w:val="21"/>
                      <w:szCs w:val="21"/>
                      <w:lang w:val="en-US" w:eastAsia="zh-CN" w:bidi="ar-SA"/>
                    </w:rPr>
                    <w:t>/d）</w:t>
                  </w:r>
                </w:p>
              </w:tc>
              <w:tc>
                <w:tcPr>
                  <w:tcW w:w="42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排放系数</w:t>
                  </w:r>
                </w:p>
              </w:tc>
              <w:tc>
                <w:tcPr>
                  <w:tcW w:w="507"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排放量</w:t>
                  </w:r>
                </w:p>
              </w:tc>
              <w:tc>
                <w:tcPr>
                  <w:tcW w:w="103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生活用水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120</w:t>
                  </w:r>
                  <w:r>
                    <w:rPr>
                      <w:rFonts w:hint="default" w:ascii="Times New Roman" w:hAnsi="Times New Roman" w:eastAsia="宋体" w:cs="Times New Roman"/>
                      <w:b w:val="0"/>
                      <w:bCs/>
                      <w:color w:val="auto"/>
                      <w:sz w:val="21"/>
                      <w:szCs w:val="21"/>
                      <w:lang w:val="en-US" w:eastAsia="zh-CN" w:bidi="ar-SA"/>
                    </w:rPr>
                    <w:t>L/人·天</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28</w:t>
                  </w:r>
                </w:p>
              </w:tc>
              <w:tc>
                <w:tcPr>
                  <w:tcW w:w="65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3.36</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食堂用水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25</w:t>
                  </w:r>
                  <w:r>
                    <w:rPr>
                      <w:rFonts w:hint="default" w:ascii="Times New Roman" w:hAnsi="Times New Roman" w:eastAsia="宋体" w:cs="Times New Roman"/>
                      <w:b w:val="0"/>
                      <w:bCs/>
                      <w:color w:val="auto"/>
                      <w:sz w:val="21"/>
                      <w:szCs w:val="21"/>
                      <w:lang w:val="en-US" w:eastAsia="zh-CN" w:bidi="ar-SA"/>
                    </w:rPr>
                    <w:t>L/人·次</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84</w:t>
                  </w:r>
                </w:p>
              </w:tc>
              <w:tc>
                <w:tcPr>
                  <w:tcW w:w="65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2.1</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1.68</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化验用水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65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0.5</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0.45</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按危废处置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bCs w:val="0"/>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油罐清洗用水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160m</w:t>
                  </w:r>
                  <w:r>
                    <w:rPr>
                      <w:rFonts w:hint="default" w:ascii="Times New Roman" w:hAnsi="Times New Roman" w:eastAsia="宋体" w:cs="Times New Roman"/>
                      <w:b w:val="0"/>
                      <w:bCs/>
                      <w:color w:val="auto"/>
                      <w:sz w:val="21"/>
                      <w:szCs w:val="21"/>
                      <w:vertAlign w:val="superscript"/>
                      <w:lang w:val="en-US" w:eastAsia="zh-CN" w:bidi="ar-SA"/>
                    </w:rPr>
                    <w:t>3</w:t>
                  </w:r>
                  <w:r>
                    <w:rPr>
                      <w:rFonts w:hint="default" w:ascii="Times New Roman" w:hAnsi="Times New Roman" w:eastAsia="宋体" w:cs="Times New Roman"/>
                      <w:b w:val="0"/>
                      <w:bCs/>
                      <w:color w:val="auto"/>
                      <w:sz w:val="21"/>
                      <w:szCs w:val="21"/>
                      <w:lang w:val="en-US" w:eastAsia="zh-CN" w:bidi="ar-SA"/>
                    </w:rPr>
                    <w:t>/次·罐</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65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0.914</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0.823</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3年清洗一次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装卸区地面冲洗水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726m</w:t>
                  </w:r>
                  <w:r>
                    <w:rPr>
                      <w:rFonts w:hint="eastAsia" w:cs="Times New Roman"/>
                      <w:bCs/>
                      <w:color w:val="auto"/>
                      <w:kern w:val="0"/>
                      <w:sz w:val="21"/>
                      <w:szCs w:val="21"/>
                      <w:vertAlign w:val="superscript"/>
                      <w:lang w:val="en-US" w:eastAsia="zh-CN"/>
                    </w:rPr>
                    <w:t>2</w:t>
                  </w:r>
                </w:p>
              </w:tc>
              <w:tc>
                <w:tcPr>
                  <w:tcW w:w="65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0.207</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0.9</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0.168</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rPr>
                  </w:pPr>
                  <w:r>
                    <w:rPr>
                      <w:rFonts w:hint="default" w:ascii="Times New Roman" w:hAnsi="Times New Roman" w:eastAsia="宋体" w:cs="Times New Roman"/>
                      <w:bCs/>
                      <w:color w:val="auto"/>
                      <w:kern w:val="0"/>
                      <w:sz w:val="21"/>
                      <w:szCs w:val="21"/>
                    </w:rPr>
                    <w:t>按3</w:t>
                  </w:r>
                  <w:r>
                    <w:rPr>
                      <w:rFonts w:hint="eastAsia" w:cs="Times New Roman"/>
                      <w:bCs/>
                      <w:color w:val="auto"/>
                      <w:kern w:val="0"/>
                      <w:sz w:val="21"/>
                      <w:szCs w:val="21"/>
                      <w:lang w:val="en-US" w:eastAsia="zh-CN"/>
                    </w:rPr>
                    <w:t>50</w:t>
                  </w:r>
                  <w:r>
                    <w:rPr>
                      <w:rFonts w:hint="default" w:ascii="Times New Roman" w:hAnsi="Times New Roman" w:eastAsia="宋体" w:cs="Times New Roman"/>
                      <w:bCs/>
                      <w:color w:val="auto"/>
                      <w:kern w:val="0"/>
                      <w:sz w:val="21"/>
                      <w:szCs w:val="21"/>
                    </w:rPr>
                    <w:t>天</w:t>
                  </w:r>
                  <w:r>
                    <w:rPr>
                      <w:rFonts w:hint="default" w:ascii="Times New Roman" w:hAnsi="Times New Roman" w:eastAsia="宋体" w:cs="Times New Roman"/>
                      <w:bCs/>
                      <w:color w:val="auto"/>
                      <w:kern w:val="0"/>
                      <w:sz w:val="21"/>
                      <w:szCs w:val="21"/>
                      <w:lang w:eastAsia="zh-CN"/>
                    </w:rPr>
                    <w:t>折算</w:t>
                  </w:r>
                  <w:r>
                    <w:rPr>
                      <w:rFonts w:hint="eastAsia" w:cs="Times New Roman"/>
                      <w:bCs/>
                      <w:color w:val="auto"/>
                      <w:kern w:val="0"/>
                      <w:sz w:val="21"/>
                      <w:szCs w:val="21"/>
                      <w:lang w:val="en-US" w:eastAsia="zh-CN"/>
                    </w:rPr>
                    <w:t>每年清洗50次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Cs/>
                      <w:color w:val="auto"/>
                      <w:kern w:val="0"/>
                      <w:sz w:val="21"/>
                      <w:szCs w:val="21"/>
                    </w:rPr>
                    <w:t>夏季罐体降温喷淋水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r>
                    <w:rPr>
                      <w:rFonts w:hint="default" w:ascii="Times New Roman" w:hAnsi="Times New Roman" w:eastAsia="宋体" w:cs="Times New Roman"/>
                      <w:b w:val="0"/>
                      <w:color w:val="auto"/>
                      <w:sz w:val="21"/>
                      <w:szCs w:val="21"/>
                      <w:vertAlign w:val="subscript"/>
                      <w:lang w:val="en-US" w:eastAsia="zh-CN" w:bidi="ar-SA"/>
                    </w:rPr>
                    <w:t>˙</w:t>
                  </w:r>
                  <w:r>
                    <w:rPr>
                      <w:rFonts w:hint="default" w:ascii="Times New Roman" w:hAnsi="Times New Roman" w:eastAsia="宋体" w:cs="Times New Roman"/>
                      <w:b w:val="0"/>
                      <w:bCs/>
                      <w:color w:val="auto"/>
                      <w:sz w:val="21"/>
                      <w:szCs w:val="21"/>
                      <w:lang w:val="en-US" w:eastAsia="zh-CN" w:bidi="ar-SA"/>
                    </w:rPr>
                    <w:t>min</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9842m</w:t>
                  </w:r>
                  <w:r>
                    <w:rPr>
                      <w:rFonts w:hint="eastAsia" w:cs="Times New Roman"/>
                      <w:bCs/>
                      <w:color w:val="auto"/>
                      <w:kern w:val="0"/>
                      <w:sz w:val="21"/>
                      <w:szCs w:val="21"/>
                      <w:vertAlign w:val="superscript"/>
                      <w:lang w:val="en-US" w:eastAsia="zh-CN"/>
                    </w:rPr>
                    <w:t>2</w:t>
                  </w:r>
                </w:p>
              </w:tc>
              <w:tc>
                <w:tcPr>
                  <w:tcW w:w="65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33.744</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0.8</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26.995</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eastAsia="zh-CN"/>
                    </w:rPr>
                    <w:t>夏季高温按</w:t>
                  </w:r>
                  <w:r>
                    <w:rPr>
                      <w:rFonts w:hint="eastAsia" w:cs="Times New Roman"/>
                      <w:bCs/>
                      <w:color w:val="auto"/>
                      <w:kern w:val="0"/>
                      <w:sz w:val="21"/>
                      <w:szCs w:val="21"/>
                      <w:lang w:val="en-US" w:eastAsia="zh-CN"/>
                    </w:rPr>
                    <w:t>60天</w:t>
                  </w:r>
                  <w:r>
                    <w:rPr>
                      <w:rFonts w:hint="default" w:ascii="Times New Roman" w:hAnsi="Times New Roman" w:eastAsia="宋体" w:cs="Times New Roman"/>
                      <w:bCs/>
                      <w:color w:val="auto"/>
                      <w:kern w:val="0"/>
                      <w:sz w:val="21"/>
                      <w:szCs w:val="21"/>
                      <w:lang w:val="en-US" w:eastAsia="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油罐底切水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65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0.11</w:t>
                  </w:r>
                  <w:r>
                    <w:rPr>
                      <w:rFonts w:hint="eastAsia" w:cs="Times New Roman"/>
                      <w:bCs/>
                      <w:color w:val="auto"/>
                      <w:kern w:val="0"/>
                      <w:sz w:val="21"/>
                      <w:szCs w:val="21"/>
                      <w:lang w:val="en-US" w:eastAsia="zh-CN"/>
                    </w:rPr>
                    <w:t>2</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半年排放一次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绿化用水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w:t>
                  </w:r>
                  <w:r>
                    <w:rPr>
                      <w:rFonts w:hint="default" w:ascii="Times New Roman" w:hAnsi="Times New Roman" w:eastAsia="宋体" w:cs="Times New Roman"/>
                      <w:b w:val="0"/>
                      <w:bCs/>
                      <w:color w:val="auto"/>
                      <w:sz w:val="21"/>
                      <w:szCs w:val="21"/>
                      <w:lang w:val="en-US" w:eastAsia="zh-CN" w:bidi="ar-SA"/>
                    </w:rPr>
                    <w:t>.0L/m</w:t>
                  </w:r>
                  <w:r>
                    <w:rPr>
                      <w:rFonts w:hint="default" w:ascii="Times New Roman" w:hAnsi="Times New Roman" w:eastAsia="宋体" w:cs="Times New Roman"/>
                      <w:b w:val="0"/>
                      <w:bCs/>
                      <w:color w:val="auto"/>
                      <w:sz w:val="21"/>
                      <w:szCs w:val="21"/>
                      <w:vertAlign w:val="superscript"/>
                      <w:lang w:val="en-US" w:eastAsia="zh-CN" w:bidi="ar-SA"/>
                    </w:rPr>
                    <w:t>2</w:t>
                  </w:r>
                  <w:r>
                    <w:rPr>
                      <w:rFonts w:hint="default" w:ascii="Times New Roman" w:hAnsi="Times New Roman" w:eastAsia="宋体" w:cs="Times New Roman"/>
                      <w:b w:val="0"/>
                      <w:bCs/>
                      <w:color w:val="auto"/>
                      <w:sz w:val="21"/>
                      <w:szCs w:val="21"/>
                      <w:lang w:val="en-US" w:eastAsia="zh-CN" w:bidi="ar-SA"/>
                    </w:rPr>
                    <w:t>·次</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spacing w:val="-23"/>
                      <w:kern w:val="0"/>
                      <w:sz w:val="21"/>
                      <w:szCs w:val="21"/>
                      <w:lang w:val="en-US" w:eastAsia="zh-CN"/>
                    </w:rPr>
                    <w:t>10000m</w:t>
                  </w:r>
                  <w:r>
                    <w:rPr>
                      <w:rFonts w:hint="eastAsia" w:cs="Times New Roman"/>
                      <w:bCs/>
                      <w:color w:val="auto"/>
                      <w:spacing w:val="-23"/>
                      <w:kern w:val="0"/>
                      <w:sz w:val="21"/>
                      <w:szCs w:val="21"/>
                      <w:vertAlign w:val="superscript"/>
                      <w:lang w:val="en-US" w:eastAsia="zh-CN"/>
                    </w:rPr>
                    <w:t>2</w:t>
                  </w:r>
                </w:p>
              </w:tc>
              <w:tc>
                <w:tcPr>
                  <w:tcW w:w="65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w:t>
                  </w:r>
                  <w:r>
                    <w:rPr>
                      <w:rFonts w:hint="default" w:ascii="Times New Roman" w:hAnsi="Times New Roman" w:eastAsia="宋体" w:cs="Times New Roman"/>
                      <w:bCs/>
                      <w:color w:val="auto"/>
                      <w:kern w:val="0"/>
                      <w:sz w:val="21"/>
                      <w:szCs w:val="21"/>
                      <w:lang w:val="en-US" w:eastAsia="zh-CN"/>
                    </w:rPr>
                    <w:t>0</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val="en-US" w:eastAsia="zh-CN"/>
                    </w:rPr>
                    <w:t>0</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含油初期雨水</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65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42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50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6.194</w:t>
                  </w:r>
                </w:p>
              </w:tc>
              <w:tc>
                <w:tcPr>
                  <w:tcW w:w="103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eastAsia="zh-CN"/>
                    </w:rPr>
                    <w:t>按一年</w:t>
                  </w:r>
                  <w:r>
                    <w:rPr>
                      <w:rFonts w:hint="eastAsia" w:ascii="Times New Roman" w:hAnsi="Times New Roman" w:eastAsia="宋体" w:cs="Times New Roman"/>
                      <w:bCs/>
                      <w:color w:val="auto"/>
                      <w:kern w:val="0"/>
                      <w:sz w:val="21"/>
                      <w:szCs w:val="21"/>
                      <w:lang w:val="en-US" w:eastAsia="zh-CN"/>
                    </w:rPr>
                    <w:t>10次计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总计</w:t>
                  </w:r>
                </w:p>
              </w:tc>
              <w:tc>
                <w:tcPr>
                  <w:tcW w:w="79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p>
              </w:tc>
              <w:tc>
                <w:tcPr>
                  <w:tcW w:w="65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60.825</w:t>
                  </w:r>
                </w:p>
              </w:tc>
              <w:tc>
                <w:tcPr>
                  <w:tcW w:w="428"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507"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39.112</w:t>
                  </w:r>
                </w:p>
              </w:tc>
              <w:tc>
                <w:tcPr>
                  <w:tcW w:w="1033" w:type="pct"/>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1.385m</w:t>
                  </w:r>
                  <w:r>
                    <w:rPr>
                      <w:rFonts w:hint="eastAsia" w:cs="Times New Roman"/>
                      <w:b w:val="0"/>
                      <w:bCs/>
                      <w:color w:val="auto"/>
                      <w:sz w:val="21"/>
                      <w:szCs w:val="21"/>
                      <w:vertAlign w:val="superscript"/>
                      <w:lang w:val="en-US" w:eastAsia="zh-CN" w:bidi="ar-SA"/>
                    </w:rPr>
                    <w:t>3</w:t>
                  </w:r>
                  <w:r>
                    <w:rPr>
                      <w:rFonts w:hint="eastAsia" w:cs="Times New Roman"/>
                      <w:b w:val="0"/>
                      <w:bCs/>
                      <w:color w:val="auto"/>
                      <w:sz w:val="21"/>
                      <w:szCs w:val="21"/>
                      <w:lang w:val="en-US" w:eastAsia="zh-CN" w:bidi="ar-SA"/>
                    </w:rPr>
                    <w:t>/d作危废处理</w:t>
                  </w:r>
                </w:p>
              </w:tc>
            </w:tr>
          </w:tbl>
          <w:p>
            <w:pPr>
              <w:keepNext w:val="0"/>
              <w:keepLines w:val="0"/>
              <w:pageBreakBefore w:val="0"/>
              <w:widowControl w:val="0"/>
              <w:kinsoku/>
              <w:wordWrap/>
              <w:overflowPunct/>
              <w:topLinePunct w:val="0"/>
              <w:autoSpaceDE/>
              <w:autoSpaceDN/>
              <w:bidi w:val="0"/>
              <w:adjustRightInd w:val="0"/>
              <w:snapToGrid w:val="0"/>
              <w:spacing w:before="0" w:after="0" w:line="440" w:lineRule="exact"/>
              <w:ind w:firstLine="480" w:firstLineChars="200"/>
              <w:jc w:val="both"/>
              <w:textAlignment w:val="baseline"/>
              <w:outlineLvl w:val="9"/>
              <w:rPr>
                <w:rFonts w:hint="default" w:ascii="Times New Roman" w:hAnsi="Times New Roman" w:eastAsia="宋体" w:cs="Times New Roman"/>
                <w:b w:val="0"/>
                <w:bCs/>
                <w:color w:val="auto"/>
                <w:sz w:val="24"/>
                <w:szCs w:val="24"/>
                <w:lang w:val="en-US" w:eastAsia="zh-CN" w:bidi="ar-SA"/>
              </w:rPr>
            </w:pPr>
            <w:r>
              <w:rPr>
                <w:rFonts w:hint="default" w:ascii="Times New Roman" w:hAnsi="Times New Roman" w:eastAsia="宋体" w:cs="Times New Roman"/>
                <w:b w:val="0"/>
                <w:bCs/>
                <w:color w:val="auto"/>
                <w:sz w:val="24"/>
                <w:szCs w:val="24"/>
                <w:lang w:val="en-US" w:eastAsia="zh-CN" w:bidi="ar-SA"/>
              </w:rPr>
              <w:t>项目给排水平衡，见图</w:t>
            </w:r>
            <w:r>
              <w:rPr>
                <w:rFonts w:hint="eastAsia" w:ascii="Times New Roman" w:hAnsi="Times New Roman" w:eastAsia="宋体" w:cs="Times New Roman"/>
                <w:b w:val="0"/>
                <w:bCs/>
                <w:color w:val="auto"/>
                <w:sz w:val="24"/>
                <w:szCs w:val="24"/>
                <w:lang w:val="en-US" w:eastAsia="zh-CN" w:bidi="ar-SA"/>
              </w:rPr>
              <w:t>2</w:t>
            </w:r>
            <w:r>
              <w:rPr>
                <w:rFonts w:hint="default" w:ascii="Times New Roman" w:hAnsi="Times New Roman" w:eastAsia="宋体" w:cs="Times New Roman"/>
                <w:b w:val="0"/>
                <w:bCs/>
                <w:color w:val="auto"/>
                <w:sz w:val="24"/>
                <w:szCs w:val="24"/>
                <w:lang w:val="en-US" w:eastAsia="zh-CN" w:bidi="ar-SA"/>
              </w:rPr>
              <w:t>-1。</w:t>
            </w:r>
          </w:p>
          <w:p>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0"/>
                <w:sz w:val="24"/>
                <w:szCs w:val="24"/>
                <w:lang w:val="en-US" w:eastAsia="zh-CN"/>
              </w:rPr>
            </w:pPr>
            <w:r>
              <w:rPr>
                <w:rFonts w:hint="eastAsia" w:cs="Times New Roman"/>
                <w:color w:val="auto"/>
                <w:highlight w:val="none"/>
              </w:rPr>
              <w:object>
                <v:shape id="_x0000_i1025" o:spt="75" type="#_x0000_t75" style="height:270.75pt;width:394.3pt;" o:ole="t" filled="f" o:preferrelative="t" stroked="f" coordsize="21600,21600">
                  <v:path/>
                  <v:fill on="f" focussize="0,0"/>
                  <v:stroke on="f"/>
                  <v:imagedata r:id="rId22" o:title=""/>
                  <o:lock v:ext="edit" aspectratio="f"/>
                  <w10:wrap type="none"/>
                  <w10:anchorlock/>
                </v:shape>
                <o:OLEObject Type="Embed" ProgID="Visio.Drawing.11" ShapeID="_x0000_i1025" DrawAspect="Content" ObjectID="_1468075725" r:id="rId21">
                  <o:LockedField>false</o:LockedField>
                </o:OLEObject>
              </w:object>
            </w:r>
            <w:r>
              <w:rPr>
                <w:rFonts w:hint="default" w:ascii="Times New Roman" w:hAnsi="Times New Roman" w:eastAsia="宋体" w:cs="Times New Roman"/>
                <w:b/>
                <w:bCs/>
                <w:color w:val="auto"/>
                <w:kern w:val="0"/>
                <w:sz w:val="24"/>
                <w:szCs w:val="24"/>
                <w:lang w:eastAsia="zh-CN"/>
              </w:rPr>
              <w:t>图</w:t>
            </w:r>
            <w:r>
              <w:rPr>
                <w:rFonts w:hint="eastAsia" w:ascii="Times New Roman" w:hAnsi="Times New Roman"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 xml:space="preserve">-1   </w:t>
            </w:r>
            <w:r>
              <w:rPr>
                <w:rFonts w:hint="eastAsia" w:cs="Times New Roman"/>
                <w:b/>
                <w:bCs/>
                <w:color w:val="auto"/>
                <w:kern w:val="0"/>
                <w:sz w:val="24"/>
                <w:szCs w:val="24"/>
                <w:lang w:val="en-US" w:eastAsia="zh-CN"/>
              </w:rPr>
              <w:t>项目</w:t>
            </w:r>
            <w:r>
              <w:rPr>
                <w:rFonts w:hint="default" w:ascii="Times New Roman" w:hAnsi="Times New Roman" w:eastAsia="宋体" w:cs="Times New Roman"/>
                <w:b/>
                <w:bCs/>
                <w:color w:val="auto"/>
                <w:kern w:val="0"/>
                <w:sz w:val="24"/>
                <w:szCs w:val="24"/>
                <w:lang w:val="en-US" w:eastAsia="zh-CN"/>
              </w:rPr>
              <w:t>给排水平衡（m</w:t>
            </w:r>
            <w:r>
              <w:rPr>
                <w:rFonts w:hint="default" w:ascii="Times New Roman" w:hAnsi="Times New Roman" w:eastAsia="宋体" w:cs="Times New Roman"/>
                <w:b/>
                <w:bCs/>
                <w:color w:val="auto"/>
                <w:kern w:val="0"/>
                <w:sz w:val="24"/>
                <w:szCs w:val="24"/>
                <w:vertAlign w:val="superscript"/>
                <w:lang w:val="en-US" w:eastAsia="zh-CN"/>
              </w:rPr>
              <w:t>3</w:t>
            </w:r>
            <w:r>
              <w:rPr>
                <w:rFonts w:hint="default" w:ascii="Times New Roman" w:hAnsi="Times New Roman" w:eastAsia="宋体" w:cs="Times New Roman"/>
                <w:b/>
                <w:bCs/>
                <w:color w:val="auto"/>
                <w:kern w:val="0"/>
                <w:sz w:val="24"/>
                <w:szCs w:val="24"/>
                <w:lang w:val="en-US" w:eastAsia="zh-CN"/>
              </w:rPr>
              <w:t>/d）</w:t>
            </w:r>
          </w:p>
          <w:p>
            <w:pPr>
              <w:keepNext w:val="0"/>
              <w:keepLines w:val="0"/>
              <w:pageBreakBefore w:val="0"/>
              <w:widowControl w:val="0"/>
              <w:kinsoku/>
              <w:wordWrap/>
              <w:overflowPunct/>
              <w:topLinePunct w:val="0"/>
              <w:autoSpaceDE/>
              <w:autoSpaceDN/>
              <w:bidi w:val="0"/>
              <w:adjustRightInd/>
              <w:spacing w:line="440" w:lineRule="exact"/>
              <w:ind w:firstLine="456"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6"/>
                <w:kern w:val="0"/>
                <w:sz w:val="24"/>
              </w:rPr>
              <w:t>②</w:t>
            </w:r>
            <w:r>
              <w:rPr>
                <w:rFonts w:hint="eastAsia" w:ascii="Times New Roman" w:hAnsi="Times New Roman" w:cs="Times New Roman"/>
                <w:bCs/>
                <w:color w:val="auto"/>
                <w:spacing w:val="-6"/>
                <w:kern w:val="0"/>
                <w:sz w:val="24"/>
                <w:lang w:val="en-US" w:eastAsia="zh-CN"/>
              </w:rPr>
              <w:t>双龙镇污水处理厂扩建完成前水平衡</w:t>
            </w:r>
          </w:p>
          <w:p>
            <w:pPr>
              <w:keepNext w:val="0"/>
              <w:keepLines w:val="0"/>
              <w:pageBreakBefore w:val="0"/>
              <w:widowControl w:val="0"/>
              <w:kinsoku/>
              <w:wordWrap/>
              <w:overflowPunct/>
              <w:topLinePunct w:val="0"/>
              <w:autoSpaceDE/>
              <w:autoSpaceDN/>
              <w:bidi w:val="0"/>
              <w:adjustRightInd/>
              <w:spacing w:line="440" w:lineRule="exact"/>
              <w:ind w:firstLine="456" w:firstLineChars="200"/>
              <w:textAlignment w:val="baseline"/>
              <w:rPr>
                <w:rFonts w:hint="default" w:ascii="Times New Roman" w:hAnsi="Times New Roman" w:eastAsia="宋体" w:cs="Times New Roman"/>
                <w:bCs/>
                <w:color w:val="auto"/>
                <w:spacing w:val="-6"/>
                <w:kern w:val="0"/>
                <w:sz w:val="24"/>
              </w:rPr>
            </w:pPr>
            <w:r>
              <w:rPr>
                <w:rFonts w:hint="eastAsia" w:cs="Times New Roman"/>
                <w:bCs/>
                <w:color w:val="auto"/>
                <w:spacing w:val="-6"/>
                <w:kern w:val="0"/>
                <w:sz w:val="24"/>
                <w:lang w:val="en-US" w:eastAsia="zh-CN"/>
              </w:rPr>
              <w:t>双龙镇污水处理厂扩建完成前，</w:t>
            </w:r>
            <w:r>
              <w:rPr>
                <w:rFonts w:hint="default" w:ascii="Times New Roman" w:hAnsi="Times New Roman" w:eastAsia="宋体" w:cs="Times New Roman"/>
                <w:bCs/>
                <w:color w:val="auto"/>
                <w:spacing w:val="-6"/>
                <w:kern w:val="0"/>
                <w:sz w:val="24"/>
              </w:rPr>
              <w:t>拟建项目给排水平衡，见表</w:t>
            </w:r>
            <w:r>
              <w:rPr>
                <w:rFonts w:hint="eastAsia" w:ascii="Times New Roman" w:hAnsi="Times New Roman" w:cs="Times New Roman"/>
                <w:bCs/>
                <w:color w:val="auto"/>
                <w:spacing w:val="-6"/>
                <w:kern w:val="0"/>
                <w:sz w:val="24"/>
                <w:lang w:val="en-US" w:eastAsia="zh-CN"/>
              </w:rPr>
              <w:t>2-</w:t>
            </w:r>
            <w:r>
              <w:rPr>
                <w:rFonts w:hint="eastAsia" w:cs="Times New Roman"/>
                <w:bCs/>
                <w:color w:val="auto"/>
                <w:spacing w:val="-6"/>
                <w:kern w:val="0"/>
                <w:sz w:val="24"/>
                <w:lang w:val="en-US" w:eastAsia="zh-CN"/>
              </w:rPr>
              <w:t>8</w:t>
            </w:r>
            <w:r>
              <w:rPr>
                <w:rFonts w:hint="default" w:ascii="Times New Roman" w:hAnsi="Times New Roman" w:eastAsia="宋体" w:cs="Times New Roman"/>
                <w:bCs/>
                <w:color w:val="auto"/>
                <w:spacing w:val="-6"/>
                <w:kern w:val="0"/>
                <w:sz w:val="24"/>
              </w:rPr>
              <w:t>。</w:t>
            </w:r>
          </w:p>
          <w:p>
            <w:pPr>
              <w:keepNext w:val="0"/>
              <w:keepLines w:val="0"/>
              <w:pageBreakBefore w:val="0"/>
              <w:widowControl/>
              <w:kinsoku/>
              <w:wordWrap/>
              <w:overflowPunct/>
              <w:topLinePunct w:val="0"/>
              <w:autoSpaceDE/>
              <w:autoSpaceDN/>
              <w:bidi w:val="0"/>
              <w:adjustRightInd/>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ascii="Times New Roman" w:hAnsi="Times New Roman" w:cs="Times New Roman"/>
                <w:b/>
                <w:color w:val="auto"/>
                <w:kern w:val="0"/>
                <w:sz w:val="24"/>
                <w:szCs w:val="24"/>
                <w:lang w:val="en-US" w:eastAsia="zh-CN"/>
              </w:rPr>
              <w:t>2-</w:t>
            </w:r>
            <w:r>
              <w:rPr>
                <w:rFonts w:hint="eastAsia" w:cs="Times New Roman"/>
                <w:b/>
                <w:color w:val="auto"/>
                <w:kern w:val="0"/>
                <w:sz w:val="24"/>
                <w:szCs w:val="24"/>
                <w:lang w:val="en-US" w:eastAsia="zh-CN"/>
              </w:rPr>
              <w:t>8</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拟建项目给排水平衡表</w:t>
            </w:r>
            <w:r>
              <w:rPr>
                <w:rFonts w:hint="eastAsia"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(单位：m</w:t>
            </w:r>
            <w:r>
              <w:rPr>
                <w:rFonts w:hint="default" w:ascii="Times New Roman" w:hAnsi="Times New Roman" w:eastAsia="宋体" w:cs="Times New Roman"/>
                <w:b/>
                <w:color w:val="auto"/>
                <w:kern w:val="0"/>
                <w:sz w:val="24"/>
                <w:szCs w:val="24"/>
                <w:vertAlign w:val="superscript"/>
              </w:rPr>
              <w:t>3</w:t>
            </w:r>
            <w:r>
              <w:rPr>
                <w:rFonts w:hint="default" w:ascii="Times New Roman" w:hAnsi="Times New Roman" w:eastAsia="宋体" w:cs="Times New Roman"/>
                <w:b/>
                <w:color w:val="auto"/>
                <w:kern w:val="0"/>
                <w:sz w:val="24"/>
                <w:szCs w:val="24"/>
              </w:rPr>
              <w:t>/d)</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264"/>
              <w:gridCol w:w="891"/>
              <w:gridCol w:w="940"/>
              <w:gridCol w:w="706"/>
              <w:gridCol w:w="779"/>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用水类别</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用水标准</w:t>
                  </w:r>
                </w:p>
              </w:tc>
              <w:tc>
                <w:tcPr>
                  <w:tcW w:w="886"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cs="Times New Roman"/>
                      <w:b w:val="0"/>
                      <w:bCs/>
                      <w:color w:val="auto"/>
                      <w:sz w:val="21"/>
                      <w:szCs w:val="21"/>
                      <w:lang w:val="en-US" w:eastAsia="zh-CN" w:bidi="ar-SA"/>
                    </w:rPr>
                  </w:pPr>
                  <w:r>
                    <w:rPr>
                      <w:rFonts w:hint="eastAsia" w:cs="Times New Roman"/>
                      <w:b w:val="0"/>
                      <w:bCs/>
                      <w:color w:val="auto"/>
                      <w:sz w:val="21"/>
                      <w:szCs w:val="21"/>
                      <w:lang w:val="en-US" w:eastAsia="zh-CN" w:bidi="ar-SA"/>
                    </w:rPr>
                    <w:t>规模</w:t>
                  </w:r>
                </w:p>
              </w:tc>
              <w:tc>
                <w:tcPr>
                  <w:tcW w:w="93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用水量（m</w:t>
                  </w:r>
                  <w:r>
                    <w:rPr>
                      <w:rFonts w:hint="eastAsia" w:cs="Times New Roman"/>
                      <w:b w:val="0"/>
                      <w:bCs/>
                      <w:color w:val="auto"/>
                      <w:sz w:val="21"/>
                      <w:szCs w:val="21"/>
                      <w:vertAlign w:val="superscript"/>
                      <w:lang w:val="en-US" w:eastAsia="zh-CN" w:bidi="ar-SA"/>
                    </w:rPr>
                    <w:t>3</w:t>
                  </w:r>
                  <w:r>
                    <w:rPr>
                      <w:rFonts w:hint="eastAsia" w:cs="Times New Roman"/>
                      <w:b w:val="0"/>
                      <w:bCs/>
                      <w:color w:val="auto"/>
                      <w:sz w:val="21"/>
                      <w:szCs w:val="21"/>
                      <w:lang w:val="en-US" w:eastAsia="zh-CN" w:bidi="ar-SA"/>
                    </w:rPr>
                    <w:t>/d）</w:t>
                  </w:r>
                </w:p>
              </w:tc>
              <w:tc>
                <w:tcPr>
                  <w:tcW w:w="702"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排放系数</w:t>
                  </w:r>
                </w:p>
              </w:tc>
              <w:tc>
                <w:tcPr>
                  <w:tcW w:w="77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排放量</w:t>
                  </w:r>
                </w:p>
              </w:tc>
              <w:tc>
                <w:tcPr>
                  <w:tcW w:w="1890"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生活用水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120</w:t>
                  </w:r>
                  <w:r>
                    <w:rPr>
                      <w:rFonts w:hint="default" w:ascii="Times New Roman" w:hAnsi="Times New Roman" w:eastAsia="宋体" w:cs="Times New Roman"/>
                      <w:b w:val="0"/>
                      <w:bCs/>
                      <w:color w:val="auto"/>
                      <w:sz w:val="21"/>
                      <w:szCs w:val="21"/>
                      <w:lang w:val="en-US" w:eastAsia="zh-CN" w:bidi="ar-SA"/>
                    </w:rPr>
                    <w:t>L/人·天</w:t>
                  </w:r>
                </w:p>
              </w:tc>
              <w:tc>
                <w:tcPr>
                  <w:tcW w:w="886"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28</w:t>
                  </w:r>
                </w:p>
              </w:tc>
              <w:tc>
                <w:tcPr>
                  <w:tcW w:w="93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3.36</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w:t>
                  </w:r>
                </w:p>
              </w:tc>
              <w:tc>
                <w:tcPr>
                  <w:tcW w:w="189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定期清掏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食堂用水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25</w:t>
                  </w:r>
                  <w:r>
                    <w:rPr>
                      <w:rFonts w:hint="default" w:ascii="Times New Roman" w:hAnsi="Times New Roman" w:eastAsia="宋体" w:cs="Times New Roman"/>
                      <w:b w:val="0"/>
                      <w:bCs/>
                      <w:color w:val="auto"/>
                      <w:sz w:val="21"/>
                      <w:szCs w:val="21"/>
                      <w:lang w:val="en-US" w:eastAsia="zh-CN" w:bidi="ar-SA"/>
                    </w:rPr>
                    <w:t>L/人·次</w:t>
                  </w:r>
                </w:p>
              </w:tc>
              <w:tc>
                <w:tcPr>
                  <w:tcW w:w="886"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84</w:t>
                  </w:r>
                </w:p>
              </w:tc>
              <w:tc>
                <w:tcPr>
                  <w:tcW w:w="93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2.1</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1.68</w:t>
                  </w:r>
                </w:p>
              </w:tc>
              <w:tc>
                <w:tcPr>
                  <w:tcW w:w="189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化验用水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886"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93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0.5</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0.45</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按危废处置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bCs w:val="0"/>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油罐清洗用水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160m</w:t>
                  </w:r>
                  <w:r>
                    <w:rPr>
                      <w:rFonts w:hint="default" w:ascii="Times New Roman" w:hAnsi="Times New Roman" w:eastAsia="宋体" w:cs="Times New Roman"/>
                      <w:b w:val="0"/>
                      <w:bCs/>
                      <w:color w:val="auto"/>
                      <w:sz w:val="21"/>
                      <w:szCs w:val="21"/>
                      <w:vertAlign w:val="superscript"/>
                      <w:lang w:val="en-US" w:eastAsia="zh-CN" w:bidi="ar-SA"/>
                    </w:rPr>
                    <w:t>3</w:t>
                  </w:r>
                  <w:r>
                    <w:rPr>
                      <w:rFonts w:hint="default" w:ascii="Times New Roman" w:hAnsi="Times New Roman" w:eastAsia="宋体" w:cs="Times New Roman"/>
                      <w:b w:val="0"/>
                      <w:bCs/>
                      <w:color w:val="auto"/>
                      <w:sz w:val="21"/>
                      <w:szCs w:val="21"/>
                      <w:lang w:val="en-US" w:eastAsia="zh-CN" w:bidi="ar-SA"/>
                    </w:rPr>
                    <w:t>/次·罐</w:t>
                  </w:r>
                </w:p>
              </w:tc>
              <w:tc>
                <w:tcPr>
                  <w:tcW w:w="886"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93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0.914</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0.823</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3年清洗一次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装卸区地面冲洗水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p>
              </w:tc>
              <w:tc>
                <w:tcPr>
                  <w:tcW w:w="886"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726m</w:t>
                  </w:r>
                  <w:r>
                    <w:rPr>
                      <w:rFonts w:hint="eastAsia" w:cs="Times New Roman"/>
                      <w:bCs/>
                      <w:color w:val="auto"/>
                      <w:kern w:val="0"/>
                      <w:sz w:val="21"/>
                      <w:szCs w:val="21"/>
                      <w:vertAlign w:val="superscript"/>
                      <w:lang w:val="en-US" w:eastAsia="zh-CN"/>
                    </w:rPr>
                    <w:t>2</w:t>
                  </w:r>
                </w:p>
              </w:tc>
              <w:tc>
                <w:tcPr>
                  <w:tcW w:w="93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0.207</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0.9</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0.168</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rPr>
                  </w:pPr>
                  <w:r>
                    <w:rPr>
                      <w:rFonts w:hint="default" w:ascii="Times New Roman" w:hAnsi="Times New Roman" w:eastAsia="宋体" w:cs="Times New Roman"/>
                      <w:bCs/>
                      <w:color w:val="auto"/>
                      <w:kern w:val="0"/>
                      <w:sz w:val="21"/>
                      <w:szCs w:val="21"/>
                    </w:rPr>
                    <w:t>按3</w:t>
                  </w:r>
                  <w:r>
                    <w:rPr>
                      <w:rFonts w:hint="eastAsia" w:cs="Times New Roman"/>
                      <w:bCs/>
                      <w:color w:val="auto"/>
                      <w:kern w:val="0"/>
                      <w:sz w:val="21"/>
                      <w:szCs w:val="21"/>
                      <w:lang w:val="en-US" w:eastAsia="zh-CN"/>
                    </w:rPr>
                    <w:t>50</w:t>
                  </w:r>
                  <w:r>
                    <w:rPr>
                      <w:rFonts w:hint="default" w:ascii="Times New Roman" w:hAnsi="Times New Roman" w:eastAsia="宋体" w:cs="Times New Roman"/>
                      <w:bCs/>
                      <w:color w:val="auto"/>
                      <w:kern w:val="0"/>
                      <w:sz w:val="21"/>
                      <w:szCs w:val="21"/>
                    </w:rPr>
                    <w:t>天</w:t>
                  </w:r>
                  <w:r>
                    <w:rPr>
                      <w:rFonts w:hint="default" w:ascii="Times New Roman" w:hAnsi="Times New Roman" w:eastAsia="宋体" w:cs="Times New Roman"/>
                      <w:bCs/>
                      <w:color w:val="auto"/>
                      <w:kern w:val="0"/>
                      <w:sz w:val="21"/>
                      <w:szCs w:val="21"/>
                      <w:lang w:eastAsia="zh-CN"/>
                    </w:rPr>
                    <w:t>折算</w:t>
                  </w:r>
                  <w:r>
                    <w:rPr>
                      <w:rFonts w:hint="eastAsia" w:cs="Times New Roman"/>
                      <w:bCs/>
                      <w:color w:val="auto"/>
                      <w:kern w:val="0"/>
                      <w:sz w:val="21"/>
                      <w:szCs w:val="21"/>
                      <w:lang w:val="en-US" w:eastAsia="zh-CN"/>
                    </w:rPr>
                    <w:t>每年清洗50次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Cs/>
                      <w:color w:val="auto"/>
                      <w:kern w:val="0"/>
                      <w:sz w:val="21"/>
                      <w:szCs w:val="21"/>
                    </w:rPr>
                    <w:t>夏季罐体降温喷淋水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r>
                    <w:rPr>
                      <w:rFonts w:hint="default" w:ascii="Times New Roman" w:hAnsi="Times New Roman" w:eastAsia="宋体" w:cs="Times New Roman"/>
                      <w:b w:val="0"/>
                      <w:color w:val="auto"/>
                      <w:sz w:val="21"/>
                      <w:szCs w:val="21"/>
                      <w:vertAlign w:val="subscript"/>
                      <w:lang w:val="en-US" w:eastAsia="zh-CN" w:bidi="ar-SA"/>
                    </w:rPr>
                    <w:t>˙</w:t>
                  </w:r>
                  <w:r>
                    <w:rPr>
                      <w:rFonts w:hint="default" w:ascii="Times New Roman" w:hAnsi="Times New Roman" w:eastAsia="宋体" w:cs="Times New Roman"/>
                      <w:b w:val="0"/>
                      <w:bCs/>
                      <w:color w:val="auto"/>
                      <w:sz w:val="21"/>
                      <w:szCs w:val="21"/>
                      <w:lang w:val="en-US" w:eastAsia="zh-CN" w:bidi="ar-SA"/>
                    </w:rPr>
                    <w:t>min</w:t>
                  </w:r>
                </w:p>
              </w:tc>
              <w:tc>
                <w:tcPr>
                  <w:tcW w:w="886"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9842m</w:t>
                  </w:r>
                  <w:r>
                    <w:rPr>
                      <w:rFonts w:hint="eastAsia" w:cs="Times New Roman"/>
                      <w:bCs/>
                      <w:color w:val="auto"/>
                      <w:kern w:val="0"/>
                      <w:sz w:val="21"/>
                      <w:szCs w:val="21"/>
                      <w:vertAlign w:val="superscript"/>
                      <w:lang w:val="en-US" w:eastAsia="zh-CN"/>
                    </w:rPr>
                    <w:t>2</w:t>
                  </w:r>
                </w:p>
              </w:tc>
              <w:tc>
                <w:tcPr>
                  <w:tcW w:w="93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33.744</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0.8</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26.995</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eastAsia="zh-CN"/>
                    </w:rPr>
                    <w:t>夏季高温按</w:t>
                  </w:r>
                  <w:r>
                    <w:rPr>
                      <w:rFonts w:hint="eastAsia" w:cs="Times New Roman"/>
                      <w:bCs/>
                      <w:color w:val="auto"/>
                      <w:kern w:val="0"/>
                      <w:sz w:val="21"/>
                      <w:szCs w:val="21"/>
                      <w:lang w:val="en-US" w:eastAsia="zh-CN"/>
                    </w:rPr>
                    <w:t>60天</w:t>
                  </w:r>
                  <w:r>
                    <w:rPr>
                      <w:rFonts w:hint="default" w:ascii="Times New Roman" w:hAnsi="Times New Roman" w:eastAsia="宋体" w:cs="Times New Roman"/>
                      <w:bCs/>
                      <w:color w:val="auto"/>
                      <w:kern w:val="0"/>
                      <w:sz w:val="21"/>
                      <w:szCs w:val="21"/>
                      <w:lang w:val="en-US" w:eastAsia="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油罐底切水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886"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93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0.11</w:t>
                  </w:r>
                  <w:r>
                    <w:rPr>
                      <w:rFonts w:hint="eastAsia" w:cs="Times New Roman"/>
                      <w:bCs/>
                      <w:color w:val="auto"/>
                      <w:kern w:val="0"/>
                      <w:sz w:val="21"/>
                      <w:szCs w:val="21"/>
                      <w:lang w:val="en-US" w:eastAsia="zh-CN"/>
                    </w:rPr>
                    <w:t>2</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半年排放一次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含油初期雨水</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886"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93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02"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74"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6.194</w:t>
                  </w:r>
                </w:p>
              </w:tc>
              <w:tc>
                <w:tcPr>
                  <w:tcW w:w="1890" w:type="dxa"/>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eastAsia="zh-CN"/>
                    </w:rPr>
                    <w:t>按一年</w:t>
                  </w:r>
                  <w:r>
                    <w:rPr>
                      <w:rFonts w:hint="eastAsia" w:ascii="Times New Roman" w:hAnsi="Times New Roman" w:eastAsia="宋体" w:cs="Times New Roman"/>
                      <w:bCs/>
                      <w:color w:val="auto"/>
                      <w:kern w:val="0"/>
                      <w:sz w:val="21"/>
                      <w:szCs w:val="21"/>
                      <w:lang w:val="en-US" w:eastAsia="zh-CN"/>
                    </w:rPr>
                    <w:t>10次计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总计</w:t>
                  </w:r>
                </w:p>
              </w:tc>
              <w:tc>
                <w:tcPr>
                  <w:tcW w:w="1257"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886"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p>
              </w:tc>
              <w:tc>
                <w:tcPr>
                  <w:tcW w:w="93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40.825</w:t>
                  </w:r>
                </w:p>
              </w:tc>
              <w:tc>
                <w:tcPr>
                  <w:tcW w:w="702"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774"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39.112</w:t>
                  </w:r>
                </w:p>
              </w:tc>
              <w:tc>
                <w:tcPr>
                  <w:tcW w:w="1890" w:type="dxa"/>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除定期清掏和危废外，其他用于绿化、泼洒抑尘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42" w:type="dxa"/>
                  <w:gridSpan w:val="7"/>
                  <w:noWrap w:val="0"/>
                  <w:vAlign w:val="center"/>
                </w:tcPr>
                <w:p>
                  <w:pPr>
                    <w:keepNext w:val="0"/>
                    <w:keepLines w:val="0"/>
                    <w:pageBreakBefore w:val="0"/>
                    <w:kinsoku/>
                    <w:wordWrap/>
                    <w:overflowPunct/>
                    <w:topLinePunct w:val="0"/>
                    <w:autoSpaceDE/>
                    <w:autoSpaceDN/>
                    <w:bidi w:val="0"/>
                    <w:adjustRightInd w:val="0"/>
                    <w:snapToGrid w:val="0"/>
                    <w:spacing w:before="0" w:after="0" w:line="300" w:lineRule="exact"/>
                    <w:ind w:firstLine="0"/>
                    <w:jc w:val="both"/>
                    <w:textAlignment w:val="baseline"/>
                    <w:outlineLvl w:val="9"/>
                    <w:rPr>
                      <w:rFonts w:hint="default" w:cs="Times New Roman"/>
                      <w:b w:val="0"/>
                      <w:bCs/>
                      <w:color w:val="auto"/>
                      <w:sz w:val="21"/>
                      <w:szCs w:val="21"/>
                      <w:lang w:val="en-US" w:eastAsia="zh-CN" w:bidi="ar-SA"/>
                    </w:rPr>
                  </w:pPr>
                  <w:r>
                    <w:rPr>
                      <w:rFonts w:hint="eastAsia" w:cs="Times New Roman"/>
                      <w:b w:val="0"/>
                      <w:bCs/>
                      <w:color w:val="auto"/>
                      <w:sz w:val="18"/>
                      <w:szCs w:val="18"/>
                      <w:lang w:val="en-US" w:eastAsia="zh-CN" w:bidi="ar-SA"/>
                    </w:rPr>
                    <w:t>注：双龙镇污水处理厂扩建完成前，本项目无废水排放入管网。</w:t>
                  </w:r>
                </w:p>
              </w:tc>
            </w:tr>
          </w:tbl>
          <w:p>
            <w:pPr>
              <w:keepNext w:val="0"/>
              <w:keepLines w:val="0"/>
              <w:pageBreakBefore w:val="0"/>
              <w:widowControl w:val="0"/>
              <w:kinsoku/>
              <w:wordWrap/>
              <w:overflowPunct/>
              <w:topLinePunct w:val="0"/>
              <w:autoSpaceDE/>
              <w:autoSpaceDN/>
              <w:bidi w:val="0"/>
              <w:adjustRightInd w:val="0"/>
              <w:snapToGrid w:val="0"/>
              <w:spacing w:before="0" w:after="0" w:line="440" w:lineRule="exact"/>
              <w:ind w:firstLine="480" w:firstLineChars="200"/>
              <w:jc w:val="both"/>
              <w:textAlignment w:val="baseline"/>
              <w:outlineLvl w:val="9"/>
              <w:rPr>
                <w:rFonts w:hint="default" w:ascii="Times New Roman" w:hAnsi="Times New Roman" w:eastAsia="宋体" w:cs="Times New Roman"/>
                <w:b w:val="0"/>
                <w:bCs/>
                <w:color w:val="auto"/>
                <w:sz w:val="24"/>
                <w:szCs w:val="24"/>
                <w:lang w:val="en-US" w:eastAsia="zh-CN" w:bidi="ar-SA"/>
              </w:rPr>
            </w:pPr>
            <w:r>
              <w:rPr>
                <w:rFonts w:hint="default" w:ascii="Times New Roman" w:hAnsi="Times New Roman" w:eastAsia="宋体" w:cs="Times New Roman"/>
                <w:b w:val="0"/>
                <w:bCs/>
                <w:color w:val="auto"/>
                <w:sz w:val="24"/>
                <w:szCs w:val="24"/>
                <w:lang w:val="en-US" w:eastAsia="zh-CN" w:bidi="ar-SA"/>
              </w:rPr>
              <w:t>项目给排水平衡，见图</w:t>
            </w:r>
            <w:r>
              <w:rPr>
                <w:rFonts w:hint="eastAsia" w:ascii="Times New Roman" w:hAnsi="Times New Roman" w:eastAsia="宋体" w:cs="Times New Roman"/>
                <w:b w:val="0"/>
                <w:bCs/>
                <w:color w:val="auto"/>
                <w:sz w:val="24"/>
                <w:szCs w:val="24"/>
                <w:lang w:val="en-US" w:eastAsia="zh-CN" w:bidi="ar-SA"/>
              </w:rPr>
              <w:t>2</w:t>
            </w:r>
            <w:r>
              <w:rPr>
                <w:rFonts w:hint="default" w:ascii="Times New Roman" w:hAnsi="Times New Roman" w:eastAsia="宋体" w:cs="Times New Roman"/>
                <w:b w:val="0"/>
                <w:bCs/>
                <w:color w:val="auto"/>
                <w:sz w:val="24"/>
                <w:szCs w:val="24"/>
                <w:lang w:val="en-US" w:eastAsia="zh-CN" w:bidi="ar-SA"/>
              </w:rPr>
              <w:t>-</w:t>
            </w:r>
            <w:r>
              <w:rPr>
                <w:rFonts w:hint="eastAsia" w:cs="Times New Roman"/>
                <w:b w:val="0"/>
                <w:bCs/>
                <w:color w:val="auto"/>
                <w:sz w:val="24"/>
                <w:szCs w:val="24"/>
                <w:lang w:val="en-US" w:eastAsia="zh-CN" w:bidi="ar-SA"/>
              </w:rPr>
              <w:t>2</w:t>
            </w:r>
            <w:r>
              <w:rPr>
                <w:rFonts w:hint="default" w:ascii="Times New Roman" w:hAnsi="Times New Roman" w:eastAsia="宋体" w:cs="Times New Roman"/>
                <w:b w:val="0"/>
                <w:bCs/>
                <w:color w:val="auto"/>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4"/>
                <w:szCs w:val="24"/>
              </w:rPr>
            </w:pPr>
            <w:r>
              <w:rPr>
                <w:rFonts w:hint="eastAsia" w:cs="Times New Roman"/>
                <w:color w:val="auto"/>
                <w:highlight w:val="none"/>
              </w:rPr>
              <w:object>
                <v:shape id="_x0000_i1026" o:spt="75" type="#_x0000_t75" style="height:270.75pt;width:394.25pt;" o:ole="t" filled="f" o:preferrelative="t" stroked="f" coordsize="21600,21600">
                  <v:path/>
                  <v:fill on="f" focussize="0,0"/>
                  <v:stroke on="f"/>
                  <v:imagedata r:id="rId24" o:title=""/>
                  <o:lock v:ext="edit" aspectratio="f"/>
                  <w10:wrap type="none"/>
                  <w10:anchorlock/>
                </v:shape>
                <o:OLEObject Type="Embed" ProgID="Visio.Drawing.11" ShapeID="_x0000_i1026" DrawAspect="Content" ObjectID="_1468075726" r:id="rId23">
                  <o:LockedField>false</o:LockedField>
                </o:OLEObject>
              </w:object>
            </w:r>
            <w:r>
              <w:rPr>
                <w:rFonts w:hint="default" w:ascii="Times New Roman" w:hAnsi="Times New Roman" w:eastAsia="宋体" w:cs="Times New Roman"/>
                <w:b/>
                <w:bCs/>
                <w:color w:val="auto"/>
                <w:kern w:val="0"/>
                <w:sz w:val="24"/>
                <w:szCs w:val="24"/>
                <w:lang w:eastAsia="zh-CN"/>
              </w:rPr>
              <w:t>图</w:t>
            </w:r>
            <w:r>
              <w:rPr>
                <w:rFonts w:hint="eastAsia" w:ascii="Times New Roman" w:hAnsi="Times New Roman"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w:t>
            </w:r>
            <w:r>
              <w:rPr>
                <w:rFonts w:hint="eastAsia"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 xml:space="preserve">   </w:t>
            </w:r>
            <w:r>
              <w:rPr>
                <w:rFonts w:hint="eastAsia" w:cs="Times New Roman"/>
                <w:b/>
                <w:bCs/>
                <w:color w:val="auto"/>
                <w:kern w:val="0"/>
                <w:sz w:val="24"/>
                <w:szCs w:val="24"/>
                <w:lang w:val="en-US" w:eastAsia="zh-CN"/>
              </w:rPr>
              <w:t>项目</w:t>
            </w:r>
            <w:r>
              <w:rPr>
                <w:rFonts w:hint="default" w:ascii="Times New Roman" w:hAnsi="Times New Roman" w:eastAsia="宋体" w:cs="Times New Roman"/>
                <w:b/>
                <w:bCs/>
                <w:color w:val="auto"/>
                <w:kern w:val="0"/>
                <w:sz w:val="24"/>
                <w:szCs w:val="24"/>
                <w:lang w:val="en-US" w:eastAsia="zh-CN"/>
              </w:rPr>
              <w:t>给排水平衡（m</w:t>
            </w:r>
            <w:r>
              <w:rPr>
                <w:rFonts w:hint="default" w:ascii="Times New Roman" w:hAnsi="Times New Roman" w:eastAsia="宋体" w:cs="Times New Roman"/>
                <w:b/>
                <w:bCs/>
                <w:color w:val="auto"/>
                <w:kern w:val="0"/>
                <w:sz w:val="24"/>
                <w:szCs w:val="24"/>
                <w:vertAlign w:val="superscript"/>
                <w:lang w:val="en-US" w:eastAsia="zh-CN"/>
              </w:rPr>
              <w:t>3</w:t>
            </w:r>
            <w:r>
              <w:rPr>
                <w:rFonts w:hint="default" w:ascii="Times New Roman" w:hAnsi="Times New Roman" w:eastAsia="宋体" w:cs="Times New Roman"/>
                <w:b/>
                <w:bCs/>
                <w:color w:val="auto"/>
                <w:kern w:val="0"/>
                <w:sz w:val="24"/>
                <w:szCs w:val="24"/>
                <w:lang w:val="en-US" w:eastAsia="zh-CN"/>
              </w:rPr>
              <w:t>/d）</w:t>
            </w:r>
          </w:p>
          <w:p>
            <w:pPr>
              <w:widowControl w:val="0"/>
              <w:spacing w:line="48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（3）供电</w:t>
            </w:r>
          </w:p>
          <w:p>
            <w:pPr>
              <w:widowControl w:val="0"/>
              <w:autoSpaceDE w:val="0"/>
              <w:autoSpaceDN w:val="0"/>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建设项目用电</w:t>
            </w:r>
            <w:r>
              <w:rPr>
                <w:rStyle w:val="62"/>
                <w:rFonts w:hint="default" w:ascii="Times New Roman" w:hAnsi="Times New Roman" w:eastAsia="宋体" w:cs="Times New Roman"/>
                <w:color w:val="auto"/>
                <w:kern w:val="0"/>
              </w:rPr>
              <w:t>由双龙物流园配电网引1回10kV，沿地块外围西南侧规划道路侧布设架空线敷设到油库围墙外，其容量满足油库供电需求，具备为油库提供电源的能力。</w:t>
            </w:r>
            <w:r>
              <w:rPr>
                <w:rFonts w:hint="default" w:ascii="Times New Roman" w:hAnsi="Times New Roman" w:eastAsia="宋体" w:cs="Times New Roman"/>
                <w:color w:val="auto"/>
                <w:kern w:val="0"/>
                <w:sz w:val="24"/>
                <w:szCs w:val="24"/>
              </w:rPr>
              <w:t>本项目年用电量85.8万kW·h。另配置一台300KW的柴油发电机，作为消防系统的应急备用电源。</w:t>
            </w:r>
          </w:p>
          <w:p>
            <w:pPr>
              <w:widowControl w:val="0"/>
              <w:autoSpaceDE w:val="0"/>
              <w:autoSpaceDN w:val="0"/>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szCs w:val="24"/>
              </w:rPr>
              <w:t>（4）</w:t>
            </w:r>
            <w:r>
              <w:rPr>
                <w:rFonts w:hint="default" w:ascii="Times New Roman" w:hAnsi="Times New Roman" w:eastAsia="宋体" w:cs="Times New Roman"/>
                <w:color w:val="auto"/>
                <w:kern w:val="0"/>
                <w:sz w:val="24"/>
              </w:rPr>
              <w:t>消防</w:t>
            </w:r>
          </w:p>
          <w:p>
            <w:pPr>
              <w:widowControl/>
              <w:adjustRightInd w:val="0"/>
              <w:snapToGrid w:val="0"/>
              <w:spacing w:line="440" w:lineRule="exact"/>
              <w:ind w:firstLine="480" w:firstLineChars="200"/>
              <w:textAlignment w:val="baseline"/>
              <w:rPr>
                <w:rStyle w:val="62"/>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rPr>
              <w:t>本项目工程新建拟设有2座</w:t>
            </w:r>
            <w:r>
              <w:rPr>
                <w:rFonts w:hint="eastAsia" w:ascii="Times New Roman" w:hAnsi="Times New Roman" w:eastAsia="宋体" w:cs="Times New Roman"/>
                <w:color w:val="auto"/>
                <w:kern w:val="0"/>
                <w:sz w:val="24"/>
                <w:lang w:val="en-US" w:eastAsia="zh-CN"/>
              </w:rPr>
              <w:t>800</w:t>
            </w:r>
            <w:r>
              <w:rPr>
                <w:rFonts w:hint="default" w:ascii="Times New Roman" w:hAnsi="Times New Roman" w:eastAsia="宋体" w:cs="Times New Roman"/>
                <w:color w:val="auto"/>
                <w:kern w:val="0"/>
                <w:sz w:val="24"/>
              </w:rPr>
              <w:t>m³消防水罐，并在消防泵房设</w:t>
            </w:r>
            <w:r>
              <w:rPr>
                <w:rStyle w:val="62"/>
                <w:rFonts w:hint="default" w:ascii="Times New Roman" w:hAnsi="Times New Roman" w:eastAsia="宋体" w:cs="Times New Roman"/>
                <w:color w:val="auto"/>
                <w:kern w:val="0"/>
              </w:rPr>
              <w:t>2台泡沫消防泵，一电一柴，供水能力Q=40L/s，H=100m。泵房内设置1套</w:t>
            </w:r>
            <w:r>
              <w:rPr>
                <w:rStyle w:val="62"/>
                <w:rFonts w:hint="eastAsia" w:ascii="Times New Roman" w:hAnsi="Times New Roman" w:eastAsia="宋体" w:cs="Times New Roman"/>
                <w:color w:val="auto"/>
                <w:kern w:val="0"/>
                <w:lang w:eastAsia="zh-CN"/>
              </w:rPr>
              <w:t>储罐</w:t>
            </w:r>
            <w:r>
              <w:rPr>
                <w:rStyle w:val="62"/>
                <w:rFonts w:hint="default" w:ascii="Times New Roman" w:hAnsi="Times New Roman" w:eastAsia="宋体" w:cs="Times New Roman"/>
                <w:color w:val="auto"/>
                <w:kern w:val="0"/>
              </w:rPr>
              <w:t>压力式空气泡沫比例混合灭火装置PHYM48/50。泡沫液罐容积5m</w:t>
            </w:r>
            <w:r>
              <w:rPr>
                <w:rStyle w:val="62"/>
                <w:rFonts w:hint="default" w:ascii="Times New Roman" w:hAnsi="Times New Roman" w:eastAsia="宋体" w:cs="Times New Roman"/>
                <w:color w:val="auto"/>
                <w:kern w:val="0"/>
                <w:vertAlign w:val="superscript"/>
              </w:rPr>
              <w:t>3</w:t>
            </w:r>
            <w:r>
              <w:rPr>
                <w:rStyle w:val="62"/>
                <w:rFonts w:hint="default" w:ascii="Times New Roman" w:hAnsi="Times New Roman" w:eastAsia="宋体" w:cs="Times New Roman"/>
                <w:color w:val="auto"/>
                <w:kern w:val="0"/>
              </w:rPr>
              <w:t>，混合液流量12～48L/s，泡沫液混合比为3%，泡沫液选用抗溶型水成膜泡沫液。</w:t>
            </w:r>
          </w:p>
          <w:p>
            <w:pPr>
              <w:keepNext w:val="0"/>
              <w:keepLines w:val="0"/>
              <w:pageBreakBefore w:val="0"/>
              <w:widowControl w:val="0"/>
              <w:kinsoku/>
              <w:wordWrap/>
              <w:overflowPunct/>
              <w:topLinePunct w:val="0"/>
              <w:autoSpaceDE w:val="0"/>
              <w:autoSpaceDN/>
              <w:bidi w:val="0"/>
              <w:adjustRightInd/>
              <w:snapToGrid/>
              <w:spacing w:line="440" w:lineRule="exact"/>
              <w:ind w:firstLine="480" w:firstLineChars="200"/>
              <w:contextualSpacing/>
              <w:textAlignment w:val="auto"/>
              <w:rPr>
                <w:rFonts w:hint="eastAsia" w:eastAsia="宋体" w:cs="Times New Roman"/>
                <w:bCs/>
                <w:color w:val="auto"/>
                <w:kern w:val="36"/>
                <w:sz w:val="24"/>
                <w:szCs w:val="24"/>
                <w:highlight w:val="none"/>
                <w:lang w:val="en-US" w:eastAsia="zh-CN"/>
              </w:rPr>
            </w:pPr>
            <w:r>
              <w:rPr>
                <w:rFonts w:hint="default" w:ascii="Times New Roman" w:hAnsi="Times New Roman" w:eastAsia="宋体" w:cs="Times New Roman"/>
                <w:b w:val="0"/>
                <w:bCs w:val="0"/>
                <w:color w:val="auto"/>
                <w:kern w:val="0"/>
                <w:sz w:val="24"/>
              </w:rPr>
              <w:t>油库罐区的消防排水通过水封井、隔油池、沉砂池之后用明沟排入石油库事故池，再分批进入</w:t>
            </w:r>
            <w:r>
              <w:rPr>
                <w:rFonts w:hint="eastAsia" w:ascii="Times New Roman" w:hAnsi="Times New Roman" w:eastAsia="宋体" w:cs="Times New Roman"/>
                <w:b w:val="0"/>
                <w:bCs w:val="0"/>
                <w:color w:val="auto"/>
                <w:kern w:val="0"/>
                <w:sz w:val="24"/>
                <w:lang w:eastAsia="zh-CN"/>
              </w:rPr>
              <w:t>废水处理站</w:t>
            </w:r>
            <w:r>
              <w:rPr>
                <w:rFonts w:hint="default" w:ascii="Times New Roman" w:hAnsi="Times New Roman" w:eastAsia="宋体" w:cs="Times New Roman"/>
                <w:b w:val="0"/>
                <w:bCs w:val="0"/>
                <w:color w:val="auto"/>
                <w:kern w:val="0"/>
                <w:sz w:val="24"/>
              </w:rPr>
              <w:t>处理，排入市政管网。</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12、劳动定员及工作制度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b/>
                <w:bCs/>
                <w:color w:val="auto"/>
                <w:spacing w:val="-6"/>
                <w:sz w:val="24"/>
                <w:szCs w:val="24"/>
                <w:highlight w:val="none"/>
                <w:lang w:eastAsia="zh-CN"/>
              </w:rPr>
            </w:pPr>
            <w:r>
              <w:rPr>
                <w:rFonts w:hint="default" w:ascii="Times New Roman" w:hAnsi="Times New Roman" w:eastAsia="宋体" w:cs="Times New Roman"/>
                <w:color w:val="auto"/>
                <w:kern w:val="2"/>
                <w:sz w:val="24"/>
                <w:szCs w:val="24"/>
                <w:lang w:val="en-US" w:eastAsia="zh-CN" w:bidi="ar-SA"/>
              </w:rPr>
              <w:t>本项目劳动定员共计</w:t>
            </w:r>
            <w:r>
              <w:rPr>
                <w:rFonts w:hint="eastAsia" w:cs="Times New Roman"/>
                <w:color w:val="auto"/>
                <w:kern w:val="2"/>
                <w:sz w:val="24"/>
                <w:szCs w:val="24"/>
                <w:lang w:val="en-US" w:eastAsia="zh-CN" w:bidi="ar-SA"/>
              </w:rPr>
              <w:t>28</w:t>
            </w:r>
            <w:r>
              <w:rPr>
                <w:rFonts w:hint="default" w:ascii="Times New Roman" w:hAnsi="Times New Roman" w:eastAsia="宋体" w:cs="Times New Roman"/>
                <w:color w:val="auto"/>
                <w:kern w:val="2"/>
                <w:sz w:val="24"/>
                <w:szCs w:val="24"/>
                <w:lang w:val="en-US" w:eastAsia="zh-CN" w:bidi="ar-SA"/>
              </w:rPr>
              <w:t>人。实行三班两运转，每班工作8小时，年平均工作时间</w:t>
            </w:r>
            <w:r>
              <w:rPr>
                <w:rFonts w:hint="eastAsia" w:cs="Times New Roman"/>
                <w:color w:val="auto"/>
                <w:kern w:val="2"/>
                <w:sz w:val="24"/>
                <w:szCs w:val="24"/>
                <w:lang w:val="en-US" w:eastAsia="zh-CN" w:bidi="ar-SA"/>
              </w:rPr>
              <w:t>350</w:t>
            </w:r>
            <w:r>
              <w:rPr>
                <w:rFonts w:hint="default" w:ascii="Times New Roman" w:hAnsi="Times New Roman" w:eastAsia="宋体" w:cs="Times New Roman"/>
                <w:color w:val="auto"/>
                <w:kern w:val="2"/>
                <w:sz w:val="24"/>
                <w:szCs w:val="24"/>
                <w:lang w:val="en-US" w:eastAsia="zh-CN" w:bidi="ar-SA"/>
              </w:rPr>
              <w:t>天，年工作时间为</w:t>
            </w:r>
            <w:r>
              <w:rPr>
                <w:rFonts w:hint="eastAsia" w:cs="Times New Roman"/>
                <w:color w:val="auto"/>
                <w:kern w:val="2"/>
                <w:sz w:val="24"/>
                <w:szCs w:val="24"/>
                <w:lang w:val="en-US" w:eastAsia="zh-CN" w:bidi="ar-SA"/>
              </w:rPr>
              <w:t>8400</w:t>
            </w:r>
            <w:r>
              <w:rPr>
                <w:rFonts w:hint="default" w:ascii="Times New Roman" w:hAnsi="Times New Roman" w:eastAsia="宋体" w:cs="Times New Roman"/>
                <w:color w:val="auto"/>
                <w:kern w:val="2"/>
                <w:sz w:val="24"/>
                <w:szCs w:val="24"/>
                <w:lang w:val="en-US" w:eastAsia="zh-CN" w:bidi="ar-SA"/>
              </w:rPr>
              <w:t>h。</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13、建设周期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b/>
                <w:bCs/>
                <w:color w:val="auto"/>
                <w:sz w:val="24"/>
                <w:szCs w:val="24"/>
                <w:highlight w:val="none"/>
                <w:lang w:eastAsia="zh-CN"/>
              </w:rPr>
            </w:pPr>
            <w:r>
              <w:rPr>
                <w:rFonts w:hint="eastAsia" w:cs="Times New Roman"/>
                <w:color w:val="auto"/>
                <w:kern w:val="0"/>
                <w:sz w:val="24"/>
                <w:szCs w:val="24"/>
                <w:highlight w:val="none"/>
                <w:lang w:eastAsia="zh-CN" w:bidi="ar"/>
              </w:rPr>
              <w:t>本次评价</w:t>
            </w:r>
            <w:r>
              <w:rPr>
                <w:rFonts w:hint="eastAsia" w:cs="Times New Roman"/>
                <w:color w:val="auto"/>
                <w:kern w:val="0"/>
                <w:sz w:val="24"/>
                <w:szCs w:val="24"/>
                <w:highlight w:val="none"/>
                <w:lang w:bidi="ar"/>
              </w:rPr>
              <w:t>建设周期为</w:t>
            </w:r>
            <w:r>
              <w:rPr>
                <w:rFonts w:hint="eastAsia" w:cs="Times New Roman"/>
                <w:color w:val="auto"/>
                <w:kern w:val="0"/>
                <w:sz w:val="24"/>
                <w:szCs w:val="24"/>
                <w:highlight w:val="none"/>
                <w:lang w:val="en-US" w:eastAsia="zh-CN" w:bidi="ar"/>
              </w:rPr>
              <w:t>24</w:t>
            </w:r>
            <w:r>
              <w:rPr>
                <w:rFonts w:hint="eastAsia" w:cs="Times New Roman"/>
                <w:color w:val="auto"/>
                <w:kern w:val="0"/>
                <w:sz w:val="24"/>
                <w:szCs w:val="24"/>
                <w:highlight w:val="none"/>
                <w:lang w:bidi="ar"/>
              </w:rPr>
              <w:t>个月</w:t>
            </w:r>
            <w:r>
              <w:rPr>
                <w:rFonts w:hint="eastAsia" w:cs="Times New Roman"/>
                <w:color w:val="auto"/>
                <w:kern w:val="0"/>
                <w:sz w:val="24"/>
                <w:szCs w:val="24"/>
                <w:highlight w:val="none"/>
                <w:lang w:eastAsia="zh-CN" w:bidi="ar"/>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lang w:val="en-US" w:eastAsia="zh-CN"/>
              </w:rPr>
              <w:t>平面布置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储罐</w:t>
            </w:r>
            <w:r>
              <w:rPr>
                <w:rFonts w:hint="default" w:ascii="Times New Roman" w:hAnsi="Times New Roman" w:eastAsia="宋体" w:cs="Times New Roman"/>
                <w:color w:val="auto"/>
                <w:kern w:val="2"/>
                <w:sz w:val="24"/>
                <w:szCs w:val="24"/>
                <w:lang w:val="en-US" w:eastAsia="zh-CN" w:bidi="ar-SA"/>
              </w:rPr>
              <w:t>区位于库区东部，设置一个储罐组，设置4座5000m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、3座3000m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和2座1000m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内浮顶储罐，双排布置。</w:t>
            </w:r>
            <w:r>
              <w:rPr>
                <w:rFonts w:hint="eastAsia" w:cs="Times New Roman"/>
                <w:color w:val="auto"/>
                <w:kern w:val="2"/>
                <w:sz w:val="24"/>
                <w:szCs w:val="24"/>
                <w:lang w:val="en-US" w:eastAsia="zh-CN" w:bidi="ar-SA"/>
              </w:rPr>
              <w:t>罐区四周设置防火堤，布置了跨越防火堤和隔堤的人行过桥。防火堤外侧设置6m宽路面的环形消防道路。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公路装</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区布置在库区西部，设置1座公路发油棚（下设5座装车岛）</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营业控制室，采用铁艺围墙与其他区域分隔，</w:t>
            </w:r>
            <w:r>
              <w:rPr>
                <w:rFonts w:hint="eastAsia" w:cs="Times New Roman"/>
                <w:color w:val="auto"/>
                <w:kern w:val="2"/>
                <w:sz w:val="24"/>
                <w:szCs w:val="24"/>
                <w:lang w:val="en-US" w:eastAsia="zh-CN" w:bidi="ar-SA"/>
              </w:rPr>
              <w:t>单独成区。装车区与库外道路间设置停车场，装车区与停车场之间设置门禁道闸。</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铁路卸</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区位于库区南</w:t>
            </w:r>
            <w:r>
              <w:rPr>
                <w:rFonts w:hint="eastAsia" w:cs="Times New Roman"/>
                <w:color w:val="auto"/>
                <w:kern w:val="2"/>
                <w:sz w:val="24"/>
                <w:szCs w:val="24"/>
                <w:lang w:val="en-US" w:eastAsia="zh-CN" w:bidi="ar-SA"/>
              </w:rPr>
              <w:t>部</w:t>
            </w:r>
            <w:r>
              <w:rPr>
                <w:rFonts w:hint="default" w:ascii="Times New Roman" w:hAnsi="Times New Roman" w:eastAsia="宋体" w:cs="Times New Roman"/>
                <w:color w:val="auto"/>
                <w:kern w:val="2"/>
                <w:sz w:val="24"/>
                <w:szCs w:val="24"/>
                <w:lang w:val="en-US" w:eastAsia="zh-CN" w:bidi="ar-SA"/>
              </w:rPr>
              <w:t>，设置</w:t>
            </w:r>
            <w:r>
              <w:rPr>
                <w:rFonts w:hint="eastAsia" w:cs="Times New Roman"/>
                <w:color w:val="auto"/>
                <w:kern w:val="2"/>
                <w:sz w:val="24"/>
                <w:szCs w:val="24"/>
                <w:lang w:val="en-US" w:eastAsia="zh-CN" w:bidi="ar-SA"/>
              </w:rPr>
              <w:t>一</w:t>
            </w:r>
            <w:r>
              <w:rPr>
                <w:rFonts w:hint="default" w:ascii="Times New Roman" w:hAnsi="Times New Roman" w:eastAsia="宋体" w:cs="Times New Roman"/>
                <w:color w:val="auto"/>
                <w:kern w:val="2"/>
                <w:sz w:val="24"/>
                <w:szCs w:val="24"/>
                <w:lang w:val="en-US" w:eastAsia="zh-CN" w:bidi="ar-SA"/>
              </w:rPr>
              <w:t>座铁路卸车栈桥（</w:t>
            </w:r>
            <w:r>
              <w:rPr>
                <w:rFonts w:hint="eastAsia" w:ascii="Times New Roman" w:hAnsi="Times New Roman" w:eastAsia="宋体" w:cs="Times New Roman"/>
                <w:color w:val="auto"/>
                <w:kern w:val="2"/>
                <w:sz w:val="24"/>
                <w:szCs w:val="24"/>
                <w:lang w:val="en-US" w:eastAsia="zh-CN" w:bidi="ar-SA"/>
              </w:rPr>
              <w:t>24</w:t>
            </w:r>
            <w:r>
              <w:rPr>
                <w:rFonts w:hint="default" w:ascii="Times New Roman" w:hAnsi="Times New Roman" w:eastAsia="宋体" w:cs="Times New Roman"/>
                <w:color w:val="auto"/>
                <w:kern w:val="2"/>
                <w:sz w:val="24"/>
                <w:szCs w:val="24"/>
                <w:lang w:val="en-US" w:eastAsia="zh-CN" w:bidi="ar-SA"/>
              </w:rPr>
              <w:t>套鹤管、双侧卸车）、双股铁路卸车专用线，</w:t>
            </w:r>
            <w:r>
              <w:rPr>
                <w:rFonts w:hint="eastAsia" w:cs="Times New Roman"/>
                <w:color w:val="auto"/>
                <w:kern w:val="2"/>
                <w:sz w:val="24"/>
                <w:szCs w:val="24"/>
                <w:lang w:val="en-US" w:eastAsia="zh-CN" w:bidi="ar-SA"/>
              </w:rPr>
              <w:t>铁路卸车专用线北侧为铁路卸车泵棚、扫仓罐区、2160m</w:t>
            </w:r>
            <w:r>
              <w:rPr>
                <w:rFonts w:hint="eastAsia"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漏油及事故污水收集池、密闭隔油池、含油污水处理装置、油气回收装置、危废间</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行政管理区位于库区西北，设有综合办公楼、门卫，</w:t>
            </w:r>
            <w:r>
              <w:rPr>
                <w:rFonts w:hint="eastAsia" w:cs="Times New Roman"/>
                <w:color w:val="auto"/>
                <w:kern w:val="2"/>
                <w:sz w:val="24"/>
                <w:szCs w:val="24"/>
                <w:lang w:val="en-US" w:eastAsia="zh-CN" w:bidi="ar-SA"/>
              </w:rPr>
              <w:t>该区独立成区。</w:t>
            </w:r>
          </w:p>
          <w:p>
            <w:pPr>
              <w:keepNext w:val="0"/>
              <w:keepLines w:val="0"/>
              <w:pageBreakBefore w:val="0"/>
              <w:widowControl w:val="0"/>
              <w:kinsoku/>
              <w:wordWrap/>
              <w:overflowPunct/>
              <w:topLinePunct w:val="0"/>
              <w:autoSpaceDE/>
              <w:autoSpaceDN/>
              <w:bidi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2"/>
                <w:sz w:val="24"/>
                <w:szCs w:val="24"/>
                <w:lang w:val="en-US" w:eastAsia="zh-CN" w:bidi="ar-SA"/>
              </w:rPr>
              <w:t>辅助作业区位于库区中部，设有化验室、消防泵房、变配电间、2座</w:t>
            </w:r>
            <w:r>
              <w:rPr>
                <w:rFonts w:hint="eastAsia" w:ascii="Times New Roman" w:hAnsi="Times New Roman" w:eastAsia="宋体" w:cs="Times New Roman"/>
                <w:color w:val="auto"/>
                <w:kern w:val="2"/>
                <w:sz w:val="24"/>
                <w:szCs w:val="24"/>
                <w:lang w:val="en-US" w:eastAsia="zh-CN" w:bidi="ar-SA"/>
              </w:rPr>
              <w:t>800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消防水罐</w:t>
            </w:r>
            <w:r>
              <w:rPr>
                <w:rFonts w:hint="eastAsia"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spacing w:line="440" w:lineRule="exact"/>
              <w:ind w:firstLine="480" w:firstLineChars="200"/>
              <w:textAlignment w:val="baseline"/>
              <w:rPr>
                <w:rFonts w:hint="default"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rPr>
              <w:t>库区平面布置图见附图3。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39" w:type="dxa"/>
            <w:noWrap w:val="0"/>
            <w:vAlign w:val="center"/>
          </w:tcPr>
          <w:p>
            <w:pPr>
              <w:pStyle w:val="17"/>
              <w:adjustRightInd w:val="0"/>
              <w:snapToGrid w:val="0"/>
              <w:spacing w:before="0" w:beforeAutospacing="0" w:after="0" w:afterAutospacing="0"/>
              <w:jc w:val="center"/>
              <w:rPr>
                <w:rFonts w:cs="宋体"/>
                <w:b/>
                <w:bCs/>
                <w:color w:val="auto"/>
                <w:sz w:val="24"/>
                <w:szCs w:val="24"/>
              </w:rPr>
            </w:pPr>
            <w:r>
              <w:rPr>
                <w:rFonts w:hint="eastAsia" w:cs="宋体"/>
                <w:b/>
                <w:bCs/>
                <w:color w:val="auto"/>
                <w:sz w:val="24"/>
                <w:szCs w:val="24"/>
              </w:rPr>
              <w:t>工艺流程和产排污环节</w:t>
            </w:r>
          </w:p>
        </w:tc>
        <w:tc>
          <w:tcPr>
            <w:tcW w:w="8221" w:type="dxa"/>
            <w:noWrap w:val="0"/>
            <w:vAlign w:val="top"/>
          </w:tcPr>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firstLine="0"/>
              <w:textAlignment w:val="auto"/>
              <w:rPr>
                <w:rFonts w:hint="eastAsia" w:ascii="宋体" w:hAnsi="宋体"/>
                <w:b/>
                <w:bCs/>
                <w:color w:val="auto"/>
                <w:sz w:val="28"/>
                <w:szCs w:val="28"/>
                <w:lang w:eastAsia="zh-CN"/>
              </w:rPr>
            </w:pPr>
            <w:r>
              <w:rPr>
                <w:rFonts w:hint="eastAsia" w:ascii="宋体" w:hAnsi="宋体"/>
                <w:b/>
                <w:bCs/>
                <w:color w:val="auto"/>
                <w:sz w:val="28"/>
                <w:szCs w:val="28"/>
                <w:lang w:eastAsia="zh-CN"/>
              </w:rPr>
              <w:t>施工期工艺流程分析</w:t>
            </w:r>
          </w:p>
          <w:p>
            <w:pPr>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eastAsia="zh-CN"/>
              </w:rPr>
              <w:t>拟建项目</w:t>
            </w:r>
            <w:r>
              <w:rPr>
                <w:rFonts w:cs="Times New Roman"/>
                <w:color w:val="auto"/>
                <w:sz w:val="24"/>
                <w:szCs w:val="24"/>
                <w:highlight w:val="none"/>
              </w:rPr>
              <w:t>施工期主要分为</w:t>
            </w:r>
            <w:r>
              <w:rPr>
                <w:rFonts w:hint="eastAsia" w:cs="Times New Roman"/>
                <w:color w:val="auto"/>
                <w:sz w:val="24"/>
                <w:szCs w:val="24"/>
                <w:highlight w:val="none"/>
                <w:lang w:eastAsia="zh-CN"/>
              </w:rPr>
              <w:t>场地平整、</w:t>
            </w:r>
            <w:r>
              <w:rPr>
                <w:rFonts w:cs="Times New Roman"/>
                <w:color w:val="auto"/>
                <w:sz w:val="24"/>
                <w:szCs w:val="24"/>
                <w:highlight w:val="none"/>
              </w:rPr>
              <w:t>基础工程、主体工程、装饰工程、安装</w:t>
            </w:r>
            <w:r>
              <w:rPr>
                <w:rFonts w:hint="eastAsia" w:cs="Times New Roman"/>
                <w:color w:val="auto"/>
                <w:sz w:val="24"/>
                <w:szCs w:val="24"/>
                <w:highlight w:val="none"/>
                <w:lang w:eastAsia="zh-CN"/>
              </w:rPr>
              <w:t>工程</w:t>
            </w:r>
            <w:r>
              <w:rPr>
                <w:rFonts w:cs="Times New Roman"/>
                <w:color w:val="auto"/>
                <w:sz w:val="24"/>
                <w:szCs w:val="24"/>
                <w:highlight w:val="none"/>
              </w:rPr>
              <w:t>等，其建设过程中产生的噪声、扬尘、施工废气、固体废物、施工废水等污染物，其污染物排放量随工序的施工强度变化而变化，施工期结束后环境影响也随之消除。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施工期的具体工艺流程及产污环节见下图。</w:t>
            </w:r>
          </w:p>
          <w:p>
            <w:pPr>
              <w:spacing w:line="240" w:lineRule="auto"/>
              <w:ind w:firstLine="0" w:firstLineChars="0"/>
              <w:jc w:val="center"/>
              <w:rPr>
                <w:rFonts w:hint="eastAsia" w:cs="Times New Roman"/>
                <w:color w:val="auto"/>
                <w:highlight w:val="none"/>
              </w:rPr>
            </w:pPr>
            <w:r>
              <w:rPr>
                <w:rFonts w:hint="default"/>
                <w:color w:val="auto"/>
                <w:lang w:val="en-US" w:eastAsia="zh-CN"/>
              </w:rPr>
              <w:drawing>
                <wp:inline distT="0" distB="0" distL="114300" distR="114300">
                  <wp:extent cx="4188460" cy="1541145"/>
                  <wp:effectExtent l="0" t="0" r="2540" b="1905"/>
                  <wp:docPr id="2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4"/>
                          <pic:cNvPicPr>
                            <a:picLocks noChangeAspect="1"/>
                          </pic:cNvPicPr>
                        </pic:nvPicPr>
                        <pic:blipFill>
                          <a:blip r:embed="rId25"/>
                          <a:stretch>
                            <a:fillRect/>
                          </a:stretch>
                        </pic:blipFill>
                        <pic:spPr>
                          <a:xfrm>
                            <a:off x="0" y="0"/>
                            <a:ext cx="4188460" cy="1541145"/>
                          </a:xfrm>
                          <a:prstGeom prst="rect">
                            <a:avLst/>
                          </a:prstGeom>
                          <a:noFill/>
                          <a:ln>
                            <a:noFill/>
                          </a:ln>
                        </pic:spPr>
                      </pic:pic>
                    </a:graphicData>
                  </a:graphic>
                </wp:inline>
              </w:drawing>
            </w:r>
          </w:p>
          <w:p>
            <w:pPr>
              <w:spacing w:line="240" w:lineRule="auto"/>
              <w:ind w:firstLine="0" w:firstLineChars="0"/>
              <w:jc w:val="center"/>
              <w:rPr>
                <w:rFonts w:cs="Times New Roman"/>
                <w:b/>
                <w:bCs/>
                <w:color w:val="auto"/>
                <w:highlight w:val="none"/>
              </w:rPr>
            </w:pPr>
            <w:r>
              <w:rPr>
                <w:rFonts w:cs="Times New Roman"/>
                <w:b/>
                <w:bCs/>
                <w:color w:val="auto"/>
                <w:sz w:val="24"/>
                <w:szCs w:val="24"/>
                <w:highlight w:val="none"/>
              </w:rPr>
              <w:t>图2-</w:t>
            </w:r>
            <w:r>
              <w:rPr>
                <w:rFonts w:hint="eastAsia" w:cs="Times New Roman"/>
                <w:b/>
                <w:bCs/>
                <w:color w:val="auto"/>
                <w:sz w:val="24"/>
                <w:szCs w:val="24"/>
                <w:highlight w:val="none"/>
                <w:lang w:val="en-US" w:eastAsia="zh-CN"/>
              </w:rPr>
              <w:t>3</w:t>
            </w:r>
            <w:r>
              <w:rPr>
                <w:rFonts w:cs="Times New Roman"/>
                <w:b/>
                <w:bCs/>
                <w:color w:val="auto"/>
                <w:sz w:val="24"/>
                <w:szCs w:val="24"/>
                <w:highlight w:val="none"/>
              </w:rPr>
              <w:t xml:space="preserve">    项目施工期工艺流程及产污</w:t>
            </w:r>
            <w:r>
              <w:rPr>
                <w:rFonts w:hint="eastAsia" w:cs="Times New Roman"/>
                <w:b/>
                <w:bCs/>
                <w:color w:val="auto"/>
                <w:sz w:val="24"/>
                <w:szCs w:val="24"/>
                <w:highlight w:val="none"/>
                <w:lang w:val="en-US" w:eastAsia="zh-CN"/>
              </w:rPr>
              <w:t>环节</w:t>
            </w:r>
            <w:r>
              <w:rPr>
                <w:rFonts w:cs="Times New Roman"/>
                <w:b/>
                <w:bCs/>
                <w:color w:val="auto"/>
                <w:sz w:val="24"/>
                <w:szCs w:val="24"/>
                <w:highlight w:val="none"/>
              </w:rPr>
              <w:t>示意图</w:t>
            </w:r>
          </w:p>
          <w:p>
            <w:pPr>
              <w:pStyle w:val="12"/>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施工期主要污染工序：</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（1）废气</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主要为场地平整、基础开挖、</w:t>
            </w:r>
            <w:r>
              <w:rPr>
                <w:rFonts w:ascii="Times New Roman" w:hAnsi="Times New Roman"/>
                <w:color w:val="auto"/>
                <w:sz w:val="24"/>
              </w:rPr>
              <w:t>建筑材料运输及装卸</w:t>
            </w:r>
            <w:r>
              <w:rPr>
                <w:rFonts w:hint="eastAsia" w:ascii="Times New Roman" w:hAnsi="Times New Roman"/>
                <w:color w:val="auto"/>
                <w:sz w:val="24"/>
                <w:lang w:eastAsia="zh-CN"/>
              </w:rPr>
              <w:t>、</w:t>
            </w:r>
            <w:r>
              <w:rPr>
                <w:rFonts w:hint="eastAsia" w:ascii="Times New Roman" w:hAnsi="Times New Roman"/>
                <w:color w:val="auto"/>
                <w:sz w:val="24"/>
                <w:lang w:val="en-US" w:eastAsia="zh-CN"/>
              </w:rPr>
              <w:t>弃土堆存等过程产生的扬尘，施工机械和施工运输车辆产生的机动车尾气，罐体焊接产生的烟气，罐体涂装产生的废气，储罐底座防渗产生的废气。</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（2）废水</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ascii="Times New Roman" w:hAnsi="Times New Roman"/>
                <w:color w:val="auto"/>
                <w:sz w:val="24"/>
              </w:rPr>
              <w:t>主要是在建设施工过程中产生的</w:t>
            </w:r>
            <w:r>
              <w:rPr>
                <w:rFonts w:hint="eastAsia" w:ascii="Times New Roman" w:hAnsi="Times New Roman"/>
                <w:color w:val="auto"/>
                <w:sz w:val="24"/>
                <w:lang w:val="en-US" w:eastAsia="zh-CN"/>
              </w:rPr>
              <w:t>泥浆</w:t>
            </w:r>
            <w:r>
              <w:rPr>
                <w:rFonts w:hint="eastAsia"/>
                <w:color w:val="auto"/>
                <w:sz w:val="24"/>
                <w:lang w:val="en-US" w:eastAsia="zh-CN"/>
              </w:rPr>
              <w:t>废水</w:t>
            </w:r>
            <w:r>
              <w:rPr>
                <w:rFonts w:hint="eastAsia" w:ascii="Times New Roman" w:hAnsi="Times New Roman"/>
                <w:color w:val="auto"/>
                <w:sz w:val="24"/>
                <w:lang w:val="en-US" w:eastAsia="zh-CN"/>
              </w:rPr>
              <w:t>、混凝土养护废水、各种车辆冲洗</w:t>
            </w:r>
            <w:r>
              <w:rPr>
                <w:rFonts w:ascii="Times New Roman" w:hAnsi="Times New Roman"/>
                <w:color w:val="auto"/>
                <w:sz w:val="24"/>
              </w:rPr>
              <w:t>废水</w:t>
            </w:r>
            <w:r>
              <w:rPr>
                <w:rFonts w:hint="eastAsia" w:ascii="Times New Roman" w:hAnsi="Times New Roman"/>
                <w:color w:val="auto"/>
                <w:sz w:val="24"/>
                <w:lang w:eastAsia="zh-CN"/>
              </w:rPr>
              <w:t>，</w:t>
            </w:r>
            <w:r>
              <w:rPr>
                <w:rFonts w:ascii="Times New Roman" w:hAnsi="Times New Roman"/>
                <w:color w:val="auto"/>
                <w:sz w:val="24"/>
              </w:rPr>
              <w:t>施工人员产生的生活污水</w:t>
            </w:r>
            <w:r>
              <w:rPr>
                <w:rFonts w:hint="eastAsia" w:ascii="Times New Roman" w:hAnsi="Times New Roman"/>
                <w:color w:val="auto"/>
                <w:sz w:val="24"/>
                <w:lang w:eastAsia="zh-CN"/>
              </w:rPr>
              <w:t>，</w:t>
            </w:r>
            <w:r>
              <w:rPr>
                <w:rFonts w:hint="eastAsia" w:ascii="Times New Roman" w:hAnsi="Times New Roman"/>
                <w:color w:val="auto"/>
                <w:sz w:val="24"/>
                <w:lang w:val="en-US" w:eastAsia="zh-CN"/>
              </w:rPr>
              <w:t>储罐试压试漏产生的废水。</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（3）噪声</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ascii="Times New Roman" w:hAnsi="Times New Roman"/>
                <w:color w:val="auto"/>
                <w:sz w:val="24"/>
              </w:rPr>
              <w:t>主要是施工过程中装载机、推土机、挖掘机、</w:t>
            </w:r>
            <w:r>
              <w:rPr>
                <w:rFonts w:hint="eastAsia" w:ascii="Times New Roman" w:hAnsi="Times New Roman"/>
                <w:color w:val="auto"/>
                <w:sz w:val="24"/>
                <w:lang w:val="en-US" w:eastAsia="zh-CN"/>
              </w:rPr>
              <w:t>轮式机、起重机、钻机、搅拌机、</w:t>
            </w:r>
            <w:r>
              <w:rPr>
                <w:rFonts w:ascii="Times New Roman" w:hAnsi="Times New Roman"/>
                <w:color w:val="auto"/>
                <w:sz w:val="24"/>
              </w:rPr>
              <w:t>运输车辆等运行时产生的噪声。</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（4）固体废物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主要为基础开挖产生的土方，建筑施工产生的建筑垃圾，装饰过程中产生的废包装材料，拆迁过程产生的拆迁固体废物，施工人员产生的生活垃圾。</w:t>
            </w:r>
          </w:p>
          <w:p>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firstLine="0"/>
              <w:textAlignment w:val="auto"/>
              <w:rPr>
                <w:rFonts w:hint="eastAsia" w:ascii="宋体" w:hAnsi="宋体"/>
                <w:b/>
                <w:bCs/>
                <w:color w:val="auto"/>
                <w:sz w:val="28"/>
                <w:szCs w:val="28"/>
                <w:lang w:eastAsia="zh-CN"/>
              </w:rPr>
            </w:pPr>
            <w:r>
              <w:rPr>
                <w:rFonts w:hint="eastAsia" w:ascii="宋体" w:hAnsi="宋体"/>
                <w:b/>
                <w:bCs/>
                <w:color w:val="auto"/>
                <w:sz w:val="28"/>
                <w:szCs w:val="28"/>
                <w:lang w:eastAsia="zh-CN"/>
              </w:rPr>
              <w:t>运营期工艺流程分析</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eastAsia" w:cs="Times New Roman"/>
                <w:color w:val="auto"/>
                <w:sz w:val="24"/>
                <w:szCs w:val="24"/>
                <w:lang w:val="en-US" w:eastAsia="zh-CN"/>
              </w:rPr>
              <w:t>生产工艺流程及其说明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olor w:val="auto"/>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zh-CN"/>
              </w:rPr>
              <w:t>油品主要来自</w:t>
            </w:r>
            <w:r>
              <w:rPr>
                <w:rFonts w:hint="default" w:ascii="Times New Roman" w:hAnsi="Times New Roman" w:cs="Times New Roman"/>
                <w:color w:val="auto"/>
                <w:sz w:val="24"/>
                <w:szCs w:val="24"/>
              </w:rPr>
              <w:t>运石达化工成品油及周边炼油厂企业油品</w:t>
            </w:r>
            <w:r>
              <w:rPr>
                <w:rFonts w:hint="default" w:ascii="Times New Roman" w:hAnsi="Times New Roman" w:cs="Times New Roman"/>
                <w:color w:val="auto"/>
                <w:sz w:val="24"/>
                <w:szCs w:val="24"/>
                <w:lang w:val="zh-CN"/>
              </w:rPr>
              <w:t>，</w:t>
            </w:r>
            <w:r>
              <w:rPr>
                <w:rFonts w:hint="eastAsia" w:cs="Times New Roman"/>
                <w:color w:val="auto"/>
                <w:sz w:val="24"/>
                <w:szCs w:val="24"/>
                <w:lang w:val="en-US" w:eastAsia="zh-CN"/>
              </w:rPr>
              <w:t>采用铁路卸车、公路卸车（临时应急），公路发油模式</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①铁路</w:t>
            </w:r>
            <w:r>
              <w:rPr>
                <w:rFonts w:hint="eastAsia" w:cs="Times New Roman"/>
                <w:color w:val="auto"/>
                <w:sz w:val="24"/>
                <w:szCs w:val="24"/>
                <w:lang w:val="en-US" w:eastAsia="zh-CN"/>
              </w:rPr>
              <w:t>卸车</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铁路槽车进入铁路卸车区，作业人员放置防溜设备，检查刹车和铅封，并根据油料预报单确认停车线路、货号、车号及油品，插入鹤管，启动鹤管前端液动潜油泵进行灌油，然后开启卸车泵进行正常输油，卸油过程中当油料快抽尽时微开另一组鹤管阀门，听到鹤管吸入有空气响声时迅速关闭该组鹤管阀门，全开另一组阀门，每次必须抽干净罐车底部剩余油品。灌装完毕，缓慢取出鹤管，待油料静置15分钟后计量，关闭槽车口盖，并实施铅封。作业完毕，设备复位，切断点源，填写运行记录，办理相关凭证。</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车用汽油、车用柴油卸车流程：</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火车槽车</w:t>
            </w:r>
            <w:r>
              <w:rPr>
                <w:rFonts w:hint="default" w:ascii="Times New Roman" w:hAnsi="Times New Roman" w:cs="Times New Roman"/>
                <w:color w:val="auto"/>
                <w:sz w:val="24"/>
                <w:szCs w:val="24"/>
              </w:rPr>
              <w:t>→液动潜油泵→</w:t>
            </w:r>
            <w:r>
              <w:rPr>
                <w:rFonts w:hint="eastAsia" w:cs="Times New Roman"/>
                <w:color w:val="auto"/>
                <w:sz w:val="24"/>
                <w:szCs w:val="24"/>
                <w:lang w:val="en-US" w:eastAsia="zh-CN"/>
              </w:rPr>
              <w:t>鹤管</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集油管</w:t>
            </w:r>
            <w:r>
              <w:rPr>
                <w:rFonts w:hint="default" w:ascii="Times New Roman" w:hAnsi="Times New Roman" w:cs="Times New Roman"/>
                <w:color w:val="auto"/>
                <w:sz w:val="24"/>
                <w:szCs w:val="24"/>
              </w:rPr>
              <w:t>→</w:t>
            </w:r>
            <w:r>
              <w:rPr>
                <w:rFonts w:hint="eastAsia" w:cs="Times New Roman"/>
                <w:color w:val="auto"/>
                <w:sz w:val="24"/>
                <w:szCs w:val="24"/>
                <w:lang w:val="en-US" w:eastAsia="zh-CN"/>
              </w:rPr>
              <w:t>铁路卸车泵</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储罐</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②</w:t>
            </w:r>
            <w:r>
              <w:rPr>
                <w:rFonts w:hint="eastAsia" w:cs="Times New Roman"/>
                <w:color w:val="auto"/>
                <w:sz w:val="24"/>
                <w:szCs w:val="24"/>
                <w:lang w:val="en-US" w:eastAsia="zh-CN"/>
              </w:rPr>
              <w:t>铁路卸车扫仓</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本项目栈桥长度288m，考虑到扫仓效果，栈桥下扫</w:t>
            </w:r>
            <w:r>
              <w:rPr>
                <w:rFonts w:hint="eastAsia" w:cs="Times New Roman"/>
                <w:color w:val="auto"/>
                <w:sz w:val="24"/>
                <w:szCs w:val="24"/>
                <w:lang w:val="en-US" w:eastAsia="zh-CN"/>
              </w:rPr>
              <w:t>仓</w:t>
            </w:r>
            <w:r>
              <w:rPr>
                <w:rFonts w:hint="default" w:ascii="Times New Roman" w:hAnsi="Times New Roman" w:cs="Times New Roman"/>
                <w:color w:val="auto"/>
                <w:sz w:val="24"/>
                <w:szCs w:val="24"/>
              </w:rPr>
              <w:t>主管道分两段设置，每段分别设置扫</w:t>
            </w:r>
            <w:r>
              <w:rPr>
                <w:rFonts w:hint="eastAsia" w:cs="Times New Roman"/>
                <w:color w:val="auto"/>
                <w:sz w:val="24"/>
                <w:szCs w:val="24"/>
                <w:lang w:val="en-US" w:eastAsia="zh-CN"/>
              </w:rPr>
              <w:t>仓</w:t>
            </w:r>
            <w:r>
              <w:rPr>
                <w:rFonts w:hint="default" w:ascii="Times New Roman" w:hAnsi="Times New Roman" w:cs="Times New Roman"/>
                <w:color w:val="auto"/>
                <w:sz w:val="24"/>
                <w:szCs w:val="24"/>
              </w:rPr>
              <w:t>泵，</w:t>
            </w:r>
            <w:r>
              <w:rPr>
                <w:rFonts w:hint="eastAsia" w:cs="Times New Roman"/>
                <w:color w:val="auto"/>
                <w:sz w:val="24"/>
                <w:szCs w:val="24"/>
                <w:lang w:val="en-US" w:eastAsia="zh-CN"/>
              </w:rPr>
              <w:t>扫仓泵采用</w:t>
            </w:r>
            <w:r>
              <w:rPr>
                <w:rFonts w:hint="default" w:ascii="Times New Roman" w:hAnsi="Times New Roman" w:cs="Times New Roman"/>
                <w:color w:val="auto"/>
                <w:sz w:val="24"/>
                <w:szCs w:val="24"/>
              </w:rPr>
              <w:t>活塞转子泵。</w:t>
            </w:r>
            <w:r>
              <w:rPr>
                <w:rFonts w:hint="eastAsia" w:cs="Times New Roman"/>
                <w:color w:val="auto"/>
                <w:sz w:val="24"/>
                <w:szCs w:val="24"/>
                <w:lang w:val="en-US" w:eastAsia="zh-CN"/>
              </w:rPr>
              <w:t>启动活塞转子泵，泵的吸入端将产生真空，排出端形成负载压力，可将底油输送至扫仓罐内，扫仓罐内的油品经扫仓泵输送至储罐。</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车用汽油、车用柴油扫仓流程：火车槽车底油→扫仓泵→扫仓罐→扫仓泵→储罐。</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③</w:t>
            </w:r>
            <w:r>
              <w:rPr>
                <w:rFonts w:hint="eastAsia" w:cs="Times New Roman"/>
                <w:color w:val="auto"/>
                <w:sz w:val="24"/>
                <w:szCs w:val="24"/>
                <w:lang w:val="en-US" w:eastAsia="zh-CN"/>
              </w:rPr>
              <w:t>铁路卸车汇管扫线</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铁路卸车汇管采用</w:t>
            </w:r>
            <w:r>
              <w:rPr>
                <w:rFonts w:hint="eastAsia" w:cs="Times New Roman"/>
                <w:color w:val="auto"/>
                <w:sz w:val="24"/>
                <w:szCs w:val="24"/>
                <w:lang w:val="en-US" w:eastAsia="zh-CN"/>
              </w:rPr>
              <w:t>活塞转子</w:t>
            </w:r>
            <w:r>
              <w:rPr>
                <w:rFonts w:hint="default" w:ascii="Times New Roman" w:hAnsi="Times New Roman" w:cs="Times New Roman"/>
                <w:color w:val="auto"/>
                <w:sz w:val="24"/>
                <w:szCs w:val="24"/>
              </w:rPr>
              <w:t>泵扫线，扫</w:t>
            </w:r>
            <w:r>
              <w:rPr>
                <w:rFonts w:hint="eastAsia" w:cs="Times New Roman"/>
                <w:color w:val="auto"/>
                <w:sz w:val="24"/>
                <w:szCs w:val="24"/>
                <w:lang w:val="en-US" w:eastAsia="zh-CN"/>
              </w:rPr>
              <w:t>仓</w:t>
            </w:r>
            <w:r>
              <w:rPr>
                <w:rFonts w:hint="default" w:ascii="Times New Roman" w:hAnsi="Times New Roman" w:cs="Times New Roman"/>
                <w:color w:val="auto"/>
                <w:sz w:val="24"/>
                <w:szCs w:val="24"/>
              </w:rPr>
              <w:t>泵兼做扫线泵使用。</w:t>
            </w:r>
            <w:r>
              <w:rPr>
                <w:rFonts w:hint="eastAsia" w:cs="Times New Roman"/>
                <w:color w:val="auto"/>
                <w:sz w:val="24"/>
                <w:szCs w:val="24"/>
                <w:lang w:val="en-US" w:eastAsia="zh-CN"/>
              </w:rPr>
              <w:t>启动扫线泵，泵的吸入端将产生真空，排出端形成负载压力，可将管内油品输送至扫仓罐内，扫仓罐内的油品经扫线泵输送至储罐。</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color w:val="auto"/>
              </w:rPr>
            </w:pPr>
            <w:r>
              <w:rPr>
                <w:rFonts w:hint="eastAsia" w:ascii="Times New Roman" w:hAnsi="Times New Roman" w:eastAsia="宋体" w:cs="Times New Roman"/>
                <w:color w:val="auto"/>
                <w:sz w:val="24"/>
                <w:szCs w:val="24"/>
                <w:lang w:val="en-US" w:eastAsia="zh-CN"/>
              </w:rPr>
              <w:t>车用汽油、车用柴油卸车汇管扫线流程：卸车汇管存油→扫线泵→扫仓罐→扫线泵→储罐。</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④</w:t>
            </w:r>
            <w:r>
              <w:rPr>
                <w:rFonts w:hint="eastAsia" w:cs="Times New Roman"/>
                <w:color w:val="auto"/>
                <w:sz w:val="24"/>
                <w:szCs w:val="24"/>
                <w:lang w:val="en-US" w:eastAsia="zh-CN"/>
              </w:rPr>
              <w:t>公路卸车</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油库设置公路接卸进库功能，作为油库临时应急进油保供措施。当油库需要临时应急保供进油时，能够实现0#车用柴油、92#、95#车用汽油公路接卸进库的功能。0#车用柴油、92#、95#车用汽油自公路槽车经公路卸车软管、公路卸车泵、</w:t>
            </w:r>
            <w:r>
              <w:rPr>
                <w:rFonts w:hint="eastAsia" w:ascii="Times New Roman" w:hAnsi="Times New Roman" w:eastAsia="宋体" w:cs="Times New Roman"/>
                <w:color w:val="auto"/>
                <w:sz w:val="24"/>
                <w:szCs w:val="24"/>
                <w:lang w:val="en-US" w:eastAsia="zh-CN"/>
              </w:rPr>
              <w:t>卸进罐管线（与公路发油共用）卸车至储罐。</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流程描述：汽车槽车→卸车软管→卸车泵→卸进罐管线（公路发油管线）→储罐。</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⑤公路装车</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车用汽油、车用柴油自储罐经公路装车泵、下装鹤管自动计量</w:t>
            </w:r>
            <w:r>
              <w:rPr>
                <w:rFonts w:hint="default" w:ascii="Times New Roman" w:hAnsi="Times New Roman" w:eastAsia="宋体" w:cs="Times New Roman"/>
                <w:color w:val="auto"/>
                <w:sz w:val="24"/>
                <w:szCs w:val="24"/>
              </w:rPr>
              <w:t>装车外运。</w:t>
            </w:r>
            <w:r>
              <w:rPr>
                <w:rFonts w:hint="eastAsia" w:ascii="Times New Roman" w:hAnsi="Times New Roman" w:eastAsia="宋体" w:cs="Times New Roman"/>
                <w:color w:val="auto"/>
                <w:sz w:val="24"/>
                <w:szCs w:val="24"/>
                <w:lang w:val="en-US" w:eastAsia="zh-CN"/>
              </w:rPr>
              <w:t>汽车到达指定的装车台，将静电接地钳与槽车连接好，检查罐底无余油后，连接下装发油鹤管，连接溢流防静电接头盒油汽回收管接头，启动装车泵开始发油，自动计量发油完毕，关闭阀门，鹤管复位。每路装车管线分别安装双转子流量计、数字电液阀、温度变送器，可精确控制发油量。</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发油流程：</w:t>
            </w:r>
            <w:r>
              <w:rPr>
                <w:rFonts w:hint="eastAsia" w:ascii="Times New Roman" w:hAnsi="Times New Roman" w:eastAsia="宋体" w:cs="Times New Roman"/>
                <w:color w:val="auto"/>
                <w:sz w:val="24"/>
                <w:szCs w:val="24"/>
                <w:lang w:val="en-US" w:eastAsia="zh-CN"/>
              </w:rPr>
              <w:t>储罐→装车泵→流量计→下装鹤管→汽车槽车。</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⑥</w:t>
            </w:r>
            <w:r>
              <w:rPr>
                <w:rFonts w:hint="eastAsia" w:cs="Times New Roman"/>
                <w:color w:val="auto"/>
                <w:sz w:val="24"/>
                <w:szCs w:val="24"/>
                <w:lang w:val="en-US" w:eastAsia="zh-CN"/>
              </w:rPr>
              <w:t>油气回收</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本项目油气回收装置采用冷凝+活性炭吸附再生组合技术，改技术通过三级低温冷凝，不凝气再采用活性炭吸附，吸附饱和后利用减压再生，再生的油气重新进入低温冷凝器处理。</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1）</w:t>
            </w:r>
            <w:r>
              <w:rPr>
                <w:rFonts w:hint="default" w:ascii="Times New Roman" w:hAnsi="Times New Roman" w:cs="Times New Roman"/>
                <w:color w:val="auto"/>
                <w:sz w:val="24"/>
                <w:szCs w:val="24"/>
              </w:rPr>
              <w:t>冷凝单元</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常温油气挥发气体由分支收集管线汇入主油气管线</w:t>
            </w:r>
            <w:r>
              <w:rPr>
                <w:rFonts w:hint="eastAsia" w:cs="Times New Roman"/>
                <w:color w:val="auto"/>
                <w:sz w:val="24"/>
                <w:szCs w:val="24"/>
                <w:lang w:eastAsia="zh-CN"/>
              </w:rPr>
              <w:t>，</w:t>
            </w:r>
            <w:r>
              <w:rPr>
                <w:rFonts w:hint="default" w:ascii="Times New Roman" w:hAnsi="Times New Roman" w:cs="Times New Roman"/>
                <w:color w:val="auto"/>
                <w:sz w:val="24"/>
                <w:szCs w:val="24"/>
              </w:rPr>
              <w:t>气体经缓冲罐由防爆变频风机(回收设备内置)送入冷凝单元，风机和装在油气主管上的压力传感器联锁，根据排气量的大小自动变频运行。</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预冷级</w:t>
            </w:r>
            <w:r>
              <w:rPr>
                <w:rFonts w:hint="eastAsia" w:cs="Times New Roman"/>
                <w:color w:val="auto"/>
                <w:sz w:val="24"/>
                <w:szCs w:val="24"/>
                <w:lang w:eastAsia="zh-CN"/>
              </w:rPr>
              <w:t>：</w:t>
            </w:r>
            <w:r>
              <w:rPr>
                <w:rFonts w:hint="default" w:ascii="Times New Roman" w:hAnsi="Times New Roman" w:cs="Times New Roman"/>
                <w:color w:val="auto"/>
                <w:sz w:val="24"/>
                <w:szCs w:val="24"/>
              </w:rPr>
              <w:t>本级冷凝是将第三级级冷凝后的带有冷量的不凝气，与持续进入的</w:t>
            </w:r>
            <w:r>
              <w:rPr>
                <w:rFonts w:hint="default" w:ascii="Times New Roman" w:hAnsi="Times New Roman" w:eastAsia="宋体" w:cs="Times New Roman"/>
                <w:color w:val="auto"/>
                <w:sz w:val="24"/>
                <w:szCs w:val="24"/>
              </w:rPr>
              <w:t>常温油气进行换热冷却，将油气冷却至</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℃，使油气中部分</w:t>
            </w:r>
            <w:r>
              <w:rPr>
                <w:rFonts w:hint="eastAsia" w:ascii="Times New Roman" w:hAnsi="Times New Roman" w:eastAsia="宋体" w:cs="Times New Roman"/>
                <w:color w:val="auto"/>
                <w:sz w:val="24"/>
                <w:szCs w:val="24"/>
                <w:lang w:val="en-US" w:eastAsia="zh-CN"/>
              </w:rPr>
              <w:t>烃</w:t>
            </w:r>
            <w:r>
              <w:rPr>
                <w:rFonts w:hint="default" w:ascii="Times New Roman" w:hAnsi="Times New Roman" w:eastAsia="宋体" w:cs="Times New Roman"/>
                <w:color w:val="auto"/>
                <w:sz w:val="24"/>
                <w:szCs w:val="24"/>
              </w:rPr>
              <w:t>类组分和大部分水蒸气冷凝液化，同时回收部分冷量后进入中冷冷凝级。</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中冷冷凝级</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预冷级来的油气继续进入中冷冷凝级，本级冷凝将冷场温度保持在-35℃，将</w:t>
            </w:r>
            <w:r>
              <w:rPr>
                <w:rFonts w:hint="eastAsia" w:ascii="Times New Roman" w:hAnsi="Times New Roman" w:eastAsia="宋体" w:cs="Times New Roman"/>
                <w:color w:val="auto"/>
                <w:sz w:val="24"/>
                <w:szCs w:val="24"/>
                <w:lang w:val="en-US" w:eastAsia="zh-CN"/>
              </w:rPr>
              <w:t>油气中含有C6、C5、C4的烃类组分冷凝液化</w:t>
            </w:r>
            <w:r>
              <w:rPr>
                <w:rFonts w:hint="default" w:ascii="Times New Roman" w:hAnsi="Times New Roman" w:cs="Times New Roman"/>
                <w:color w:val="auto"/>
                <w:sz w:val="24"/>
                <w:szCs w:val="24"/>
              </w:rPr>
              <w:t>，同时回收部分冷量后进入深冷冷凝级。</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深冷冷凝级</w:t>
            </w:r>
            <w:r>
              <w:rPr>
                <w:rFonts w:hint="eastAsia" w:cs="Times New Roman"/>
                <w:color w:val="auto"/>
                <w:sz w:val="24"/>
                <w:szCs w:val="24"/>
                <w:lang w:eastAsia="zh-CN"/>
              </w:rPr>
              <w:t>：</w:t>
            </w:r>
            <w:r>
              <w:rPr>
                <w:rFonts w:hint="default" w:ascii="Times New Roman" w:hAnsi="Times New Roman" w:cs="Times New Roman"/>
                <w:color w:val="auto"/>
                <w:sz w:val="24"/>
                <w:szCs w:val="24"/>
              </w:rPr>
              <w:t>中冷冷凝级来的油气继续进入深冷冷凝级，本级冷凝将冷场温度保持在-60℃，将</w:t>
            </w:r>
            <w:r>
              <w:rPr>
                <w:rFonts w:hint="eastAsia" w:ascii="Times New Roman" w:hAnsi="Times New Roman" w:eastAsia="宋体" w:cs="Times New Roman"/>
                <w:color w:val="auto"/>
                <w:sz w:val="24"/>
                <w:szCs w:val="24"/>
                <w:lang w:val="en-US" w:eastAsia="zh-CN"/>
              </w:rPr>
              <w:t>油气中含有C4、C3的烃类组分冷凝液化</w:t>
            </w:r>
            <w:r>
              <w:rPr>
                <w:rFonts w:hint="default" w:ascii="Times New Roman" w:hAnsi="Times New Roman" w:cs="Times New Roman"/>
                <w:color w:val="auto"/>
                <w:sz w:val="24"/>
                <w:szCs w:val="24"/>
              </w:rPr>
              <w:t>，同时回收部分冷量后进入深冷冷凝级。未被冷凝的低温贫油不凝气再回到热交换器进行热交换，温度回升到接近常温，送至吸附单元。</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冷凝单元采用的制冷设备为半封闭活塞式制冷压缩机、双机复叠制冷机组的制冷系统，制冷剂为R23，制冷量为21KW。冷凝单元产生的冷凝液暂存至储油罐内，经输油泵送至轻燃料油储罐回收利用。</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2）</w:t>
            </w:r>
            <w:r>
              <w:rPr>
                <w:rFonts w:hint="default" w:ascii="Times New Roman" w:hAnsi="Times New Roman" w:cs="Times New Roman"/>
                <w:color w:val="auto"/>
                <w:sz w:val="24"/>
                <w:szCs w:val="24"/>
              </w:rPr>
              <w:t>吸附单元</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吸附单元由2个活性炭吸附罐组成</w:t>
            </w:r>
            <w:r>
              <w:rPr>
                <w:rFonts w:hint="eastAsia" w:cs="Times New Roman"/>
                <w:color w:val="auto"/>
                <w:sz w:val="24"/>
                <w:szCs w:val="24"/>
                <w:lang w:eastAsia="zh-CN"/>
              </w:rPr>
              <w:t>，</w:t>
            </w:r>
            <w:r>
              <w:rPr>
                <w:rFonts w:hint="default" w:ascii="Times New Roman" w:hAnsi="Times New Roman" w:cs="Times New Roman"/>
                <w:color w:val="auto"/>
                <w:sz w:val="24"/>
                <w:szCs w:val="24"/>
              </w:rPr>
              <w:t>2个吸附罐通过PLC控制系统进行切换来完成吸附/再生状态。油气进入吸附罐吸附时，油气中的绝大部分有机物被</w:t>
            </w:r>
            <w:r>
              <w:rPr>
                <w:rFonts w:hint="eastAsia" w:cs="Times New Roman"/>
                <w:color w:val="auto"/>
                <w:sz w:val="24"/>
                <w:szCs w:val="24"/>
                <w:lang w:val="en-US" w:eastAsia="zh-CN"/>
              </w:rPr>
              <w:t>活性炭</w:t>
            </w:r>
            <w:r>
              <w:rPr>
                <w:rFonts w:hint="default" w:ascii="Times New Roman" w:hAnsi="Times New Roman" w:cs="Times New Roman"/>
                <w:color w:val="auto"/>
                <w:sz w:val="24"/>
                <w:szCs w:val="24"/>
              </w:rPr>
              <w:t>吸附，达标尾气则直接穿过</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层，通过排气筒排入大气中。</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3）</w:t>
            </w:r>
            <w:r>
              <w:rPr>
                <w:rFonts w:hint="default" w:ascii="Times New Roman" w:hAnsi="Times New Roman" w:cs="Times New Roman"/>
                <w:color w:val="auto"/>
                <w:sz w:val="24"/>
                <w:szCs w:val="24"/>
              </w:rPr>
              <w:t>再生单元</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w:t>
            </w:r>
            <w:r>
              <w:rPr>
                <w:rFonts w:hint="eastAsia" w:cs="Times New Roman"/>
                <w:color w:val="auto"/>
                <w:sz w:val="24"/>
                <w:szCs w:val="24"/>
                <w:lang w:eastAsia="zh-CN"/>
              </w:rPr>
              <w:t>“</w:t>
            </w:r>
            <w:r>
              <w:rPr>
                <w:rFonts w:hint="default" w:ascii="Times New Roman" w:hAnsi="Times New Roman" w:cs="Times New Roman"/>
                <w:color w:val="auto"/>
                <w:sz w:val="24"/>
                <w:szCs w:val="24"/>
              </w:rPr>
              <w:t>吸附</w:t>
            </w:r>
            <w:r>
              <w:rPr>
                <w:rFonts w:hint="eastAsia" w:cs="Times New Roman"/>
                <w:color w:val="auto"/>
                <w:sz w:val="24"/>
                <w:szCs w:val="24"/>
                <w:lang w:eastAsia="zh-CN"/>
              </w:rPr>
              <w:t>”</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床接近饱和状态时，“吸附”</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床转入“再生”状态，再生过程采用机械解吸，利用干式双螺杆真空泵降低活性炭床层的压力，使吸附在活性炭微孔中的经分子</w:t>
            </w:r>
            <w:r>
              <w:rPr>
                <w:rFonts w:hint="eastAsia" w:cs="Times New Roman"/>
                <w:color w:val="auto"/>
                <w:sz w:val="24"/>
                <w:szCs w:val="24"/>
                <w:lang w:eastAsia="zh-CN"/>
              </w:rPr>
              <w:t>“</w:t>
            </w:r>
            <w:r>
              <w:rPr>
                <w:rFonts w:hint="default" w:ascii="Times New Roman" w:hAnsi="Times New Roman" w:cs="Times New Roman"/>
                <w:color w:val="auto"/>
                <w:sz w:val="24"/>
                <w:szCs w:val="24"/>
              </w:rPr>
              <w:t>脱离</w:t>
            </w:r>
            <w:r>
              <w:rPr>
                <w:rFonts w:hint="eastAsia" w:cs="Times New Roman"/>
                <w:color w:val="auto"/>
                <w:sz w:val="24"/>
                <w:szCs w:val="24"/>
                <w:lang w:eastAsia="zh-CN"/>
              </w:rPr>
              <w:t>”</w:t>
            </w:r>
            <w:r>
              <w:rPr>
                <w:rFonts w:hint="default" w:ascii="Times New Roman" w:hAnsi="Times New Roman" w:cs="Times New Roman"/>
                <w:color w:val="auto"/>
                <w:sz w:val="24"/>
                <w:szCs w:val="24"/>
              </w:rPr>
              <w:t>，并被真空泵抽出，然后采用氮气对活性炭进行吹扫以提高再生效率。再生出的油气进入冷凝单元的预冷级前段，重新进行冷凝处理。与此同时，原</w:t>
            </w:r>
            <w:r>
              <w:rPr>
                <w:rFonts w:hint="eastAsia" w:cs="Times New Roman"/>
                <w:color w:val="auto"/>
                <w:sz w:val="24"/>
                <w:szCs w:val="24"/>
                <w:lang w:eastAsia="zh-CN"/>
              </w:rPr>
              <w:t>“</w:t>
            </w:r>
            <w:r>
              <w:rPr>
                <w:rFonts w:hint="default" w:ascii="Times New Roman" w:hAnsi="Times New Roman" w:cs="Times New Roman"/>
                <w:color w:val="auto"/>
                <w:sz w:val="24"/>
                <w:szCs w:val="24"/>
              </w:rPr>
              <w:t>再生</w:t>
            </w:r>
            <w:r>
              <w:rPr>
                <w:rFonts w:hint="eastAsia" w:cs="Times New Roman"/>
                <w:color w:val="auto"/>
                <w:sz w:val="24"/>
                <w:szCs w:val="24"/>
                <w:lang w:eastAsia="zh-CN"/>
              </w:rPr>
              <w:t>”</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床已再生完毕而转入油气吸附状态。两个吸附罐的切换采用PLC控制系统自动完成</w:t>
            </w:r>
            <w:r>
              <w:rPr>
                <w:rFonts w:hint="eastAsia" w:cs="Times New Roman"/>
                <w:color w:val="auto"/>
                <w:sz w:val="24"/>
                <w:szCs w:val="24"/>
                <w:lang w:eastAsia="zh-CN"/>
              </w:rPr>
              <w:t>，</w:t>
            </w:r>
            <w:r>
              <w:rPr>
                <w:rFonts w:hint="default" w:ascii="Times New Roman" w:hAnsi="Times New Roman" w:cs="Times New Roman"/>
                <w:color w:val="auto"/>
                <w:sz w:val="24"/>
                <w:szCs w:val="24"/>
              </w:rPr>
              <w:t>保证油气回收装置的稳定运行</w:t>
            </w:r>
            <w:r>
              <w:rPr>
                <w:rFonts w:hint="eastAsia" w:cs="Times New Roman"/>
                <w:color w:val="auto"/>
                <w:sz w:val="24"/>
                <w:szCs w:val="24"/>
                <w:lang w:eastAsia="zh-CN"/>
              </w:rPr>
              <w:t>，</w:t>
            </w:r>
            <w:r>
              <w:rPr>
                <w:rFonts w:hint="default" w:ascii="Times New Roman" w:hAnsi="Times New Roman" w:cs="Times New Roman"/>
                <w:color w:val="auto"/>
                <w:sz w:val="24"/>
                <w:szCs w:val="24"/>
              </w:rPr>
              <w:t>以满足油气的达标排放。</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⑦</w:t>
            </w:r>
            <w:r>
              <w:rPr>
                <w:rFonts w:hint="eastAsia" w:cs="Times New Roman"/>
                <w:color w:val="auto"/>
                <w:sz w:val="24"/>
                <w:szCs w:val="24"/>
                <w:lang w:val="en-US" w:eastAsia="zh-CN"/>
              </w:rPr>
              <w:t>倒罐</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储罐需要维修或清罐时可通过倒罐泵来完成，通过流程切换完成倒罐作业。铁路卸车泵兼做倒罐泵使用，不再单独设置倒罐泵。倒罐时，倒罐泵按照1台铁路卸车泵进行倒罐考虑。公路发油管线兼做倒罐进泵管线，不再单独设置倒罐进泵管线。铁路接卸进罐管线兼做倒罐进罐管线，不再单独设置倒罐进罐管线。</w:t>
            </w:r>
          </w:p>
          <w:p>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本项目工艺流程及产污节点见下图。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rPr>
            </w:pPr>
            <w:r>
              <w:rPr>
                <w:rFonts w:hint="default"/>
                <w:color w:val="auto"/>
              </w:rPr>
              <w:object>
                <v:shape id="_x0000_i1027" o:spt="75" type="#_x0000_t75" style="height:315.85pt;width:250.9pt;" o:ole="t" filled="f" o:preferrelative="t" stroked="f" coordsize="21600,21600">
                  <v:path/>
                  <v:fill on="f" focussize="0,0"/>
                  <v:stroke on="f"/>
                  <v:imagedata r:id="rId27" o:title=""/>
                  <o:lock v:ext="edit" aspectratio="t"/>
                  <w10:wrap type="none"/>
                  <w10:anchorlock/>
                </v:shape>
                <o:OLEObject Type="Embed" ProgID="Visio.Drawing.11" ShapeID="_x0000_i1027" DrawAspect="Content" ObjectID="_1468075727" r:id="rId26">
                  <o:LockedField>false</o:LockedField>
                </o:OLEObject>
              </w:objec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cs="Times New Roman"/>
                <w:color w:val="auto"/>
                <w:sz w:val="24"/>
                <w:szCs w:val="24"/>
              </w:rPr>
            </w:pPr>
            <w:r>
              <w:rPr>
                <w:rFonts w:hint="default"/>
                <w:b/>
                <w:bCs/>
                <w:color w:val="auto"/>
                <w:sz w:val="24"/>
                <w:szCs w:val="24"/>
              </w:rPr>
              <w:t>图</w:t>
            </w:r>
            <w:r>
              <w:rPr>
                <w:rFonts w:hint="eastAsia"/>
                <w:b/>
                <w:bCs/>
                <w:color w:val="auto"/>
                <w:sz w:val="24"/>
                <w:szCs w:val="24"/>
                <w:lang w:val="en-US" w:eastAsia="zh-CN"/>
              </w:rPr>
              <w:t>2</w:t>
            </w:r>
            <w:r>
              <w:rPr>
                <w:rFonts w:hint="default"/>
                <w:b/>
                <w:bCs/>
                <w:color w:val="auto"/>
                <w:sz w:val="24"/>
                <w:szCs w:val="24"/>
                <w:lang w:val="en-US" w:eastAsia="zh-CN"/>
              </w:rPr>
              <w:t>-</w:t>
            </w:r>
            <w:r>
              <w:rPr>
                <w:rFonts w:hint="eastAsia"/>
                <w:b/>
                <w:bCs/>
                <w:color w:val="auto"/>
                <w:sz w:val="24"/>
                <w:szCs w:val="24"/>
                <w:lang w:val="en-US" w:eastAsia="zh-CN"/>
              </w:rPr>
              <w:t>4</w:t>
            </w:r>
            <w:r>
              <w:rPr>
                <w:rFonts w:hint="default"/>
                <w:b/>
                <w:bCs/>
                <w:color w:val="auto"/>
                <w:sz w:val="24"/>
                <w:szCs w:val="24"/>
                <w:lang w:val="en-US" w:eastAsia="zh-CN"/>
              </w:rPr>
              <w:t xml:space="preserve">    </w:t>
            </w:r>
            <w:r>
              <w:rPr>
                <w:rFonts w:hint="eastAsia"/>
                <w:b/>
                <w:bCs/>
                <w:color w:val="auto"/>
                <w:sz w:val="24"/>
                <w:szCs w:val="24"/>
                <w:lang w:val="en-US" w:eastAsia="zh-CN"/>
              </w:rPr>
              <w:t>本项目生产工艺流程及</w:t>
            </w:r>
            <w:r>
              <w:rPr>
                <w:rFonts w:hint="default"/>
                <w:b/>
                <w:bCs/>
                <w:color w:val="auto"/>
                <w:sz w:val="24"/>
                <w:szCs w:val="24"/>
              </w:rPr>
              <w:t>产污节点图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olor w:val="auto"/>
                <w:sz w:val="24"/>
                <w:szCs w:val="24"/>
                <w:lang w:val="en-US"/>
              </w:rPr>
            </w:pPr>
            <w:r>
              <w:rPr>
                <w:rFonts w:hint="eastAsia" w:cs="Times New Roman"/>
                <w:color w:val="auto"/>
                <w:sz w:val="24"/>
                <w:szCs w:val="24"/>
                <w:lang w:val="en-US" w:eastAsia="zh-CN"/>
              </w:rPr>
              <w:t>本项目油气回收工艺流程见下图。</w:t>
            </w:r>
          </w:p>
          <w:p>
            <w:pPr>
              <w:pStyle w:val="68"/>
              <w:ind w:firstLine="0" w:firstLineChars="0"/>
              <w:jc w:val="center"/>
              <w:rPr>
                <w:rFonts w:hint="default"/>
                <w:color w:val="auto"/>
              </w:rPr>
            </w:pPr>
            <w:r>
              <w:rPr>
                <w:color w:val="auto"/>
              </w:rPr>
              <w:drawing>
                <wp:inline distT="0" distB="0" distL="114300" distR="114300">
                  <wp:extent cx="4135755" cy="2133600"/>
                  <wp:effectExtent l="0" t="0" r="17145"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8"/>
                          <a:stretch>
                            <a:fillRect/>
                          </a:stretch>
                        </pic:blipFill>
                        <pic:spPr>
                          <a:xfrm>
                            <a:off x="0" y="0"/>
                            <a:ext cx="4135755" cy="2133600"/>
                          </a:xfrm>
                          <a:prstGeom prst="rect">
                            <a:avLst/>
                          </a:prstGeom>
                          <a:noFill/>
                          <a:ln>
                            <a:noFill/>
                          </a:ln>
                        </pic:spPr>
                      </pic:pic>
                    </a:graphicData>
                  </a:graphic>
                </wp:inline>
              </w:drawing>
            </w:r>
          </w:p>
          <w:p>
            <w:pPr>
              <w:keepNext w:val="0"/>
              <w:keepLines w:val="0"/>
              <w:pageBreakBefore w:val="0"/>
              <w:widowControl w:val="0"/>
              <w:tabs>
                <w:tab w:val="left" w:pos="1680"/>
              </w:tabs>
              <w:kinsoku/>
              <w:wordWrap/>
              <w:overflowPunct/>
              <w:topLinePunct w:val="0"/>
              <w:autoSpaceDE/>
              <w:autoSpaceDN/>
              <w:bidi w:val="0"/>
              <w:adjustRightInd/>
              <w:snapToGrid/>
              <w:spacing w:line="440" w:lineRule="exact"/>
              <w:ind w:right="0"/>
              <w:jc w:val="center"/>
              <w:textAlignment w:val="auto"/>
              <w:rPr>
                <w:rFonts w:hint="default"/>
                <w:b/>
                <w:bCs/>
                <w:color w:val="auto"/>
                <w:sz w:val="24"/>
                <w:szCs w:val="24"/>
              </w:rPr>
            </w:pPr>
            <w:r>
              <w:rPr>
                <w:rFonts w:hint="default"/>
                <w:b/>
                <w:bCs/>
                <w:color w:val="auto"/>
                <w:sz w:val="24"/>
                <w:szCs w:val="24"/>
              </w:rPr>
              <w:t>图</w:t>
            </w:r>
            <w:r>
              <w:rPr>
                <w:rFonts w:hint="eastAsia"/>
                <w:b/>
                <w:bCs/>
                <w:color w:val="auto"/>
                <w:sz w:val="24"/>
                <w:szCs w:val="24"/>
                <w:lang w:val="en-US" w:eastAsia="zh-CN"/>
              </w:rPr>
              <w:t>2-5</w:t>
            </w:r>
            <w:r>
              <w:rPr>
                <w:rFonts w:hint="default"/>
                <w:b/>
                <w:bCs/>
                <w:color w:val="auto"/>
                <w:sz w:val="24"/>
                <w:szCs w:val="24"/>
                <w:lang w:val="en-US" w:eastAsia="zh-CN"/>
              </w:rPr>
              <w:t xml:space="preserve">    </w:t>
            </w:r>
            <w:r>
              <w:rPr>
                <w:rFonts w:hint="default"/>
                <w:b/>
                <w:bCs/>
                <w:color w:val="auto"/>
                <w:sz w:val="24"/>
                <w:szCs w:val="24"/>
              </w:rPr>
              <w:t>油气回收工艺流程图</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运营期污染工序</w:t>
            </w:r>
            <w:r>
              <w:rPr>
                <w:rFonts w:ascii="Times New Roman" w:hAnsi="Times New Roman" w:eastAsia="宋体" w:cs="Times New Roman"/>
                <w:b/>
                <w:bCs/>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废气：</w:t>
            </w:r>
            <w:r>
              <w:rPr>
                <w:rFonts w:hint="eastAsia" w:cs="Times New Roman"/>
                <w:color w:val="auto"/>
                <w:sz w:val="24"/>
                <w:szCs w:val="24"/>
                <w:highlight w:val="none"/>
                <w:lang w:val="en-US" w:eastAsia="zh-CN"/>
              </w:rPr>
              <w:t>油品卸油、储存</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发油（装车）等作业产生的油气，化验室废气，污水处理站废气，柴油发电机废气，车辆尾气，</w:t>
            </w:r>
            <w:r>
              <w:rPr>
                <w:rFonts w:ascii="Times New Roman" w:hAnsi="Times New Roman" w:eastAsia="宋体" w:cs="Times New Roman"/>
                <w:color w:val="auto"/>
                <w:sz w:val="24"/>
                <w:szCs w:val="24"/>
                <w:highlight w:val="none"/>
              </w:rPr>
              <w:t>食堂油烟</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废水：生活</w:t>
            </w:r>
            <w:r>
              <w:rPr>
                <w:rFonts w:hint="eastAsia" w:ascii="Times New Roman" w:hAnsi="Times New Roman" w:eastAsia="宋体" w:cs="Times New Roman"/>
                <w:color w:val="auto"/>
                <w:sz w:val="24"/>
                <w:szCs w:val="24"/>
                <w:highlight w:val="none"/>
              </w:rPr>
              <w:t>污</w:t>
            </w:r>
            <w:r>
              <w:rPr>
                <w:rFonts w:ascii="Times New Roman" w:hAnsi="Times New Roman" w:eastAsia="宋体" w:cs="Times New Roman"/>
                <w:color w:val="auto"/>
                <w:sz w:val="24"/>
                <w:szCs w:val="24"/>
                <w:highlight w:val="none"/>
              </w:rPr>
              <w:t>水、食堂废水</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含油污水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初期雨水、夏季罐体降温喷淋排水、地面冲洗水</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噪声：</w:t>
            </w:r>
            <w:r>
              <w:rPr>
                <w:rFonts w:hint="eastAsia" w:cs="Times New Roman"/>
                <w:color w:val="auto"/>
                <w:sz w:val="24"/>
                <w:szCs w:val="24"/>
                <w:highlight w:val="none"/>
                <w:lang w:val="en-US" w:eastAsia="zh-CN"/>
              </w:rPr>
              <w:t>泵等设备以及运输车辆行驶时产生的噪声</w:t>
            </w:r>
            <w:r>
              <w:rPr>
                <w:rFonts w:hint="eastAsia"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固废：</w:t>
            </w:r>
            <w:r>
              <w:rPr>
                <w:rFonts w:hint="eastAsia" w:ascii="Times New Roman" w:hAnsi="Times New Roman" w:eastAsia="宋体" w:cs="Times New Roman"/>
                <w:color w:val="auto"/>
                <w:sz w:val="24"/>
                <w:szCs w:val="24"/>
                <w:highlight w:val="none"/>
                <w:lang w:val="en-US" w:eastAsia="zh-CN"/>
              </w:rPr>
              <w:t>储罐污泥，废水处理站污泥，废油，降质油，废活性炭，</w:t>
            </w:r>
            <w:r>
              <w:rPr>
                <w:rFonts w:hint="eastAsia" w:ascii="Times New Roman" w:hAnsi="Times New Roman" w:eastAsia="宋体" w:cs="Times New Roman"/>
                <w:color w:val="auto"/>
                <w:sz w:val="24"/>
                <w:szCs w:val="24"/>
                <w:highlight w:val="none"/>
                <w:lang w:eastAsia="zh-CN"/>
              </w:rPr>
              <w:t>化验室废酸、废碱、废化学试剂，生活垃圾，</w:t>
            </w:r>
            <w:r>
              <w:rPr>
                <w:rFonts w:hint="eastAsia" w:ascii="Times New Roman" w:hAnsi="Times New Roman" w:eastAsia="宋体" w:cs="Times New Roman"/>
                <w:color w:val="auto"/>
                <w:sz w:val="24"/>
                <w:szCs w:val="24"/>
                <w:highlight w:val="none"/>
                <w:lang w:val="en-US" w:eastAsia="zh-CN"/>
              </w:rPr>
              <w:t>化粪池污泥</w:t>
            </w:r>
            <w:r>
              <w:rPr>
                <w:rFonts w:hint="eastAsia" w:cs="Times New Roman"/>
                <w:color w:val="auto"/>
                <w:sz w:val="24"/>
                <w:szCs w:val="24"/>
                <w:highlight w:val="none"/>
                <w:lang w:val="en-US" w:eastAsia="zh-CN"/>
              </w:rPr>
              <w:t>，生活污水处理站污泥，食堂废水隔油池废油，罐底切水，油罐清洗废水</w:t>
            </w:r>
            <w:r>
              <w:rPr>
                <w:rFonts w:hint="eastAsia" w:ascii="Times New Roman" w:hAnsi="Times New Roman" w:eastAsia="宋体" w:cs="Times New Roman"/>
                <w:color w:val="auto"/>
                <w:sz w:val="24"/>
                <w:szCs w:val="24"/>
                <w:highlight w:val="none"/>
                <w:lang w:eastAsia="zh-CN"/>
              </w:rPr>
              <w:t>等</w:t>
            </w:r>
            <w:r>
              <w:rPr>
                <w:rFonts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s="Times New Roman"/>
                <w:color w:val="auto"/>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9" w:hRule="atLeast"/>
          <w:jc w:val="center"/>
        </w:trPr>
        <w:tc>
          <w:tcPr>
            <w:tcW w:w="839" w:type="dxa"/>
            <w:noWrap w:val="0"/>
            <w:vAlign w:val="center"/>
          </w:tcPr>
          <w:p>
            <w:pPr>
              <w:pStyle w:val="17"/>
              <w:adjustRightInd w:val="0"/>
              <w:snapToGrid w:val="0"/>
              <w:spacing w:before="0" w:beforeAutospacing="0" w:after="0" w:afterAutospacing="0"/>
              <w:jc w:val="center"/>
              <w:rPr>
                <w:rFonts w:cs="宋体"/>
                <w:b/>
                <w:bCs/>
                <w:color w:val="auto"/>
                <w:sz w:val="24"/>
                <w:szCs w:val="24"/>
              </w:rPr>
            </w:pPr>
            <w:r>
              <w:rPr>
                <w:rFonts w:hint="eastAsia" w:cs="宋体"/>
                <w:b/>
                <w:bCs/>
                <w:color w:val="auto"/>
                <w:kern w:val="2"/>
                <w:sz w:val="24"/>
                <w:szCs w:val="24"/>
              </w:rPr>
              <w:t>与项目有关的原有环境污染问题</w:t>
            </w:r>
          </w:p>
        </w:tc>
        <w:tc>
          <w:tcPr>
            <w:tcW w:w="8221"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7101油库地处达州市通川区西外镇白庙社区，距离市区5km，占地105亩。始建于1971年</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1982年投入使用，油库经2003年和2011年技改，目前总容量3100立方米，为二级石油库。</w:t>
            </w:r>
            <w:r>
              <w:rPr>
                <w:rFonts w:hint="eastAsia" w:cs="Times New Roman"/>
                <w:color w:val="auto"/>
                <w:kern w:val="0"/>
                <w:sz w:val="24"/>
                <w:szCs w:val="24"/>
                <w:lang w:val="en-US" w:eastAsia="zh-CN" w:bidi="ar"/>
              </w:rPr>
              <w:t>现有立式油罐9个，其中5000立方米2个、3000立方米7个，储量分别是0#车用柴油16000立方米、92#车用汽油9000立方米、95#车用汽油3000立方米、98#车用汽油3000立方米。铁路专用线1280米，卸油鹤管14组，公路发油台5个，其中上装鹤管1个，下装发油鹤管6个，其它弃用。均为铁路槽车入库，公路出库。油库主要辐射重庆万州、巴中平昌、广安部分地区等地，平均运距65公里，是川东地区最大的成品油中转油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2013年，根据省政府批准的《达州市城市总体规划》(2011-2030)，7101油库所在区域已规划为发展现代服务业为主的城市功能区，按照控制性详细规划，油库所在地土地用途已发生改变，需要整体搬迁。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2019年6月，经中国石油四川销售公司同意，达州公司与达州市政府授权的达州发展公司，签订了《7101油库拆除还建框架协议》。</w:t>
            </w:r>
            <w:r>
              <w:rPr>
                <w:rFonts w:hint="default" w:ascii="Times New Roman" w:hAnsi="Times New Roman" w:eastAsia="宋体" w:cs="Times New Roman"/>
                <w:color w:val="auto"/>
                <w:kern w:val="0"/>
                <w:sz w:val="24"/>
                <w:szCs w:val="24"/>
                <w:lang w:val="en-US" w:eastAsia="zh-CN" w:bidi="ar"/>
              </w:rPr>
              <w:t>根据达州市人民政府与达州分公司达成的协议，7101油库采用“先建后拆、异地还建”的置换原则，还建一座同规模、同功能、同时具有公路及铁路收发油功能的自动化油库。因此</w:t>
            </w:r>
            <w:r>
              <w:rPr>
                <w:rFonts w:hint="default" w:ascii="Times New Roman" w:hAnsi="Times New Roman" w:eastAsia="宋体" w:cs="Times New Roman"/>
                <w:color w:val="auto"/>
                <w:kern w:val="0"/>
                <w:sz w:val="24"/>
                <w:szCs w:val="24"/>
              </w:rPr>
              <w:t>达州发展（控股）有限责任公司拟</w:t>
            </w:r>
            <w:r>
              <w:rPr>
                <w:rFonts w:hint="default" w:ascii="Times New Roman" w:hAnsi="Times New Roman" w:eastAsia="宋体" w:cs="Times New Roman"/>
                <w:color w:val="auto"/>
                <w:kern w:val="0"/>
                <w:sz w:val="24"/>
                <w:szCs w:val="24"/>
                <w:lang w:eastAsia="zh-CN"/>
              </w:rPr>
              <w:t>在</w:t>
            </w:r>
            <w:r>
              <w:rPr>
                <w:rFonts w:hint="default" w:ascii="Times New Roman" w:hAnsi="Times New Roman" w:eastAsia="宋体" w:cs="Times New Roman"/>
                <w:color w:val="auto"/>
                <w:sz w:val="24"/>
                <w:szCs w:val="24"/>
              </w:rPr>
              <w:t>四川双龙铁路物流园</w:t>
            </w:r>
            <w:r>
              <w:rPr>
                <w:rFonts w:hint="default" w:ascii="Times New Roman" w:hAnsi="Times New Roman" w:eastAsia="宋体" w:cs="Times New Roman"/>
                <w:color w:val="auto"/>
                <w:kern w:val="0"/>
                <w:sz w:val="24"/>
                <w:szCs w:val="24"/>
              </w:rPr>
              <w:t>建</w:t>
            </w:r>
            <w:r>
              <w:rPr>
                <w:rFonts w:hint="default" w:ascii="Times New Roman" w:hAnsi="Times New Roman" w:eastAsia="宋体" w:cs="Times New Roman"/>
                <w:color w:val="auto"/>
                <w:kern w:val="0"/>
                <w:sz w:val="24"/>
                <w:szCs w:val="24"/>
                <w:lang w:eastAsia="zh-CN"/>
              </w:rPr>
              <w:t>设</w:t>
            </w:r>
            <w:r>
              <w:rPr>
                <w:rFonts w:hint="default" w:ascii="Times New Roman" w:hAnsi="Times New Roman" w:eastAsia="宋体" w:cs="Times New Roman"/>
                <w:color w:val="auto"/>
                <w:kern w:val="0"/>
                <w:sz w:val="24"/>
                <w:szCs w:val="24"/>
              </w:rPr>
              <w:t>达州市中石油7101油库迁建项目。</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本环评要求项目现有场地搬迁时，必须严格按照国家环保部环发</w:t>
            </w:r>
            <w:r>
              <w:rPr>
                <w:rFonts w:hint="eastAsia" w:hAnsi="Times New Roman" w:cs="Times New Roman"/>
                <w:color w:val="auto"/>
                <w:kern w:val="0"/>
                <w:sz w:val="24"/>
                <w:lang w:val="en-US" w:eastAsia="zh-CN"/>
              </w:rPr>
              <w:t>[</w:t>
            </w:r>
            <w:r>
              <w:rPr>
                <w:rFonts w:hint="default" w:ascii="Times New Roman" w:hAnsi="Times New Roman" w:eastAsia="宋体" w:cs="Times New Roman"/>
                <w:color w:val="auto"/>
                <w:kern w:val="0"/>
                <w:sz w:val="24"/>
              </w:rPr>
              <w:t>2014</w:t>
            </w:r>
            <w:r>
              <w:rPr>
                <w:rFonts w:hint="eastAsia" w:hAnsi="Times New Roman" w:cs="Times New Roman"/>
                <w:color w:val="auto"/>
                <w:kern w:val="0"/>
                <w:sz w:val="24"/>
                <w:lang w:val="en-US" w:eastAsia="zh-CN"/>
              </w:rPr>
              <w:t>]</w:t>
            </w:r>
            <w:r>
              <w:rPr>
                <w:rFonts w:hint="default" w:ascii="Times New Roman" w:hAnsi="Times New Roman" w:eastAsia="宋体" w:cs="Times New Roman"/>
                <w:color w:val="auto"/>
                <w:kern w:val="0"/>
                <w:sz w:val="24"/>
              </w:rPr>
              <w:t>66号文《关于加强工业企业关停、搬迁及原址场地再开发利用过程中污染防治工作的通知》的要求。</w:t>
            </w:r>
            <w:r>
              <w:rPr>
                <w:rFonts w:hint="default" w:ascii="Times New Roman" w:hAnsi="Times New Roman" w:eastAsia="宋体" w:cs="Times New Roman"/>
                <w:color w:val="auto"/>
                <w:kern w:val="0"/>
                <w:sz w:val="24"/>
                <w:highlight w:val="none"/>
              </w:rPr>
              <w:t>本项目关于原有场地环境的恢复内容及要求不纳入本次评价的范围以内。</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（1）强化工业企业关停搬迁过程污染防治</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编制应急预案防范环境影响。为避免各类关停搬迁过程中突发环境事件的发生，企业关停搬迁前应认真排查搬迁过程中可能引发突发环境事件的风险源和风险因素，根据各种情形制定有针对性的专项环境应急预案，报所在地县级环保部门备案，储备必要的应急装备、物资，落实应急救援人员，加强搬迁、运输过程中的风险防控，同时提供生产期内厂区总平面布置图、主要产品、原辅材料、工艺设备、主要污染物及污染防治措施等环境信息资料。搬迁过程中如遇到紧急或不明情况，应及时应对处置并向当地政府和环保部门报告。</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规范各类设施拆除流程。企业在关停搬迁过程中应确保污染防治设施正常运行或使用，妥善处理遗留或搬迁过程中产生的污染物，待生产设备拆除完毕且相关污染物处理处置结束后方可拆除污染治理设施。如果污染防治设施不能正常运行或使用，企业在关停搬迁过程中应制定并实施各类污染物临时处理处置方案。对地上及地下的建筑物、构筑物、生产装置、管线、污染治理设施、有毒有害化学品及石油产品储存设施等予以规范清理和拆除。</w:t>
            </w:r>
          </w:p>
          <w:p>
            <w:pPr>
              <w:adjustRightInd w:val="0"/>
              <w:snapToGrid w:val="0"/>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安全处置企业遗留固体废物。企业应对原有场地残留和关停搬迁过程中产生的有毒有害物质、危险废物、一般工业固体废物等进行处理处置。属危险废物的，应委托具有危险废物经营许可证的专业单位进行安全处置，并执行危险废物转移联单制度</w:t>
            </w:r>
            <w:r>
              <w:rPr>
                <w:rFonts w:hint="eastAsia" w:cs="Times New Roman"/>
                <w:color w:val="auto"/>
                <w:sz w:val="24"/>
                <w:lang w:val="en-US" w:eastAsia="zh-CN"/>
              </w:rPr>
              <w:t>；</w:t>
            </w:r>
            <w:r>
              <w:rPr>
                <w:rFonts w:hint="default" w:ascii="Times New Roman" w:hAnsi="Times New Roman" w:eastAsia="宋体" w:cs="Times New Roman"/>
                <w:color w:val="auto"/>
                <w:sz w:val="24"/>
              </w:rPr>
              <w:t>属一般工业固体废物的，应按照国家相关环保标准制定处置方案</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对不能直接判定其危险特性的固体废物，应按照《危险废物鉴别标准》的有关要求进行鉴别。</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（2）组织开展关停搬迁工业企业场地环境调查</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市、县环保局要按照相关法规政策要求，积极组织和督促场地使用权人等相关责任人委托专业机构开展关停搬迁工业企业原址场地的环境调查和风险评估工作。经场地环境调查及风险评估认定为污染场地的，应督促场地使用权人等相关责任人落实关停搬迁企业治理修复责任并编制治理修复方案，将场地调查、风险评估和治理修复等所需费用列入搬迁成本。</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（3）严控污染场地流转和开发建设审批</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市、县环保局要积极配合国土、建设部门，对于拟开发利用的关停搬迁企业场地，未按有关规定开展场地环境调查及风险评估的、未明确治理修复责任主体的，禁止进行土地流转；污染场地未经治理修复的，禁止开工建设与治理修复无关的任何项目。对暂不开发利用的关停搬迁企业场地，要督促责任人采取隔离等措施，防止污染扩散。</w:t>
            </w:r>
          </w:p>
          <w:p>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（4）加强场地调查评估及治理修复监管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olor w:val="auto"/>
                <w:sz w:val="24"/>
                <w:szCs w:val="24"/>
                <w:lang w:val="en-US" w:eastAsia="zh-CN"/>
              </w:rPr>
            </w:pPr>
            <w:r>
              <w:rPr>
                <w:rFonts w:hint="default" w:ascii="Times New Roman" w:hAnsi="Times New Roman" w:eastAsia="宋体" w:cs="Times New Roman"/>
                <w:color w:val="auto"/>
                <w:sz w:val="24"/>
              </w:rPr>
              <w:t>市、县环保局应当督促搬迁关停工业企业公开搬迁过程中的污染防治信息。搬迁关停工业企业应当及时公布场地的土壤和地下水环境质量状况。场地使用权人等相关责任人应当将场地污染调查评估情况及相应的治理修复工作进展情况等信息，通过其门户网站、有关媒体予以公开，或者印制专门的资料供公众查阅。地方各级环保部门应当公开工业企业关停、搬迁及原址场地再开发过程中污染防治监管信息。</w:t>
            </w:r>
            <w:r>
              <w:rPr>
                <w:rStyle w:val="62"/>
                <w:rFonts w:hint="default" w:ascii="Times New Roman" w:hAnsi="Times New Roman" w:eastAsia="宋体" w:cs="Times New Roman"/>
                <w:color w:val="auto"/>
              </w:rPr>
              <w:t>新库址位于</w:t>
            </w:r>
            <w:r>
              <w:rPr>
                <w:rStyle w:val="62"/>
                <w:rFonts w:hint="eastAsia" w:ascii="Times New Roman" w:hAnsi="Times New Roman" w:eastAsia="宋体" w:cs="Times New Roman"/>
                <w:color w:val="auto"/>
                <w:lang w:eastAsia="zh-CN"/>
              </w:rPr>
              <w:t>调整后的</w:t>
            </w:r>
            <w:r>
              <w:rPr>
                <w:rStyle w:val="62"/>
                <w:rFonts w:hint="default" w:ascii="Times New Roman" w:hAnsi="Times New Roman" w:eastAsia="宋体" w:cs="Times New Roman"/>
                <w:color w:val="auto"/>
              </w:rPr>
              <w:t>达州市通川区双龙铁路物流园区</w:t>
            </w:r>
            <w:r>
              <w:rPr>
                <w:rStyle w:val="62"/>
                <w:rFonts w:hint="eastAsia" w:ascii="Times New Roman" w:hAnsi="Times New Roman" w:eastAsia="宋体" w:cs="Times New Roman"/>
                <w:color w:val="auto"/>
                <w:lang w:eastAsia="zh-CN"/>
              </w:rPr>
              <w:t>北部</w:t>
            </w:r>
            <w:r>
              <w:rPr>
                <w:rStyle w:val="62"/>
                <w:rFonts w:hint="default" w:ascii="Times New Roman" w:hAnsi="Times New Roman" w:eastAsia="宋体" w:cs="Times New Roman"/>
                <w:color w:val="auto"/>
              </w:rPr>
              <w:t>。库址现状地形为山地，库址西侧山间泄洪通道，库址范围内存在少量农田及民房。</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szCs w:val="24"/>
                <w:lang w:val="en-US" w:eastAsia="zh-CN"/>
              </w:rPr>
            </w:pPr>
          </w:p>
          <w:p>
            <w:pPr>
              <w:rPr>
                <w:rFonts w:hint="eastAsia"/>
                <w:color w:val="auto"/>
                <w:lang w:val="en-US" w:eastAsia="zh-CN"/>
              </w:rPr>
            </w:pPr>
          </w:p>
          <w:p>
            <w:pPr>
              <w:pStyle w:val="10"/>
              <w:rPr>
                <w:rFonts w:hint="eastAsia"/>
                <w:color w:val="auto"/>
                <w:lang w:val="en-US" w:eastAsia="zh-CN"/>
              </w:rPr>
            </w:pPr>
          </w:p>
        </w:tc>
      </w:tr>
    </w:tbl>
    <w:p>
      <w:pPr>
        <w:pStyle w:val="17"/>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jc w:val="center"/>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三、区域环境质量现状、环境保护目标及评价标准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2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20" w:type="dxa"/>
            <w:noWrap w:val="0"/>
            <w:vAlign w:val="center"/>
          </w:tcPr>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区域</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环境</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质量</w:t>
            </w:r>
          </w:p>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现状</w:t>
            </w:r>
          </w:p>
        </w:tc>
        <w:tc>
          <w:tcPr>
            <w:tcW w:w="824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b/>
                <w:bCs/>
                <w:color w:val="auto"/>
                <w:sz w:val="24"/>
                <w:szCs w:val="24"/>
                <w:lang w:eastAsia="zh-CN"/>
              </w:rPr>
            </w:pPr>
            <w:r>
              <w:rPr>
                <w:rFonts w:hint="eastAsia"/>
                <w:b/>
                <w:bCs/>
                <w:color w:val="auto"/>
                <w:sz w:val="24"/>
                <w:szCs w:val="24"/>
                <w:lang w:eastAsia="zh-CN"/>
              </w:rPr>
              <w:t>一、大气环境质量现状</w:t>
            </w:r>
          </w:p>
          <w:p>
            <w:pPr>
              <w:pStyle w:val="10"/>
              <w:keepNext w:val="0"/>
              <w:keepLines w:val="0"/>
              <w:pageBreakBefore w:val="0"/>
              <w:widowControl w:val="0"/>
              <w:numPr>
                <w:ilvl w:val="0"/>
                <w:numId w:val="14"/>
              </w:numPr>
              <w:kinsoku/>
              <w:wordWrap/>
              <w:overflowPunct/>
              <w:topLinePunct w:val="0"/>
              <w:autoSpaceDE/>
              <w:autoSpaceDN/>
              <w:bidi w:val="0"/>
              <w:adjustRightInd/>
              <w:snapToGrid/>
              <w:spacing w:line="440" w:lineRule="exact"/>
              <w:ind w:firstLine="50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区域环境空气达标情况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拟建项目</w:t>
            </w:r>
            <w:r>
              <w:rPr>
                <w:rFonts w:hint="default" w:ascii="Times New Roman" w:hAnsi="Times New Roman" w:cs="Times New Roman"/>
                <w:color w:val="auto"/>
                <w:sz w:val="24"/>
                <w:szCs w:val="24"/>
              </w:rPr>
              <w:t>位于</w:t>
            </w:r>
            <w:r>
              <w:rPr>
                <w:rFonts w:hint="eastAsia" w:cs="Times New Roman"/>
                <w:color w:val="auto"/>
                <w:sz w:val="24"/>
                <w:szCs w:val="24"/>
                <w:highlight w:val="none"/>
                <w:lang w:val="en-US" w:eastAsia="zh-CN"/>
              </w:rPr>
              <w:t>达州市通川区双龙铁路物流园，</w:t>
            </w:r>
            <w:r>
              <w:rPr>
                <w:rFonts w:hint="eastAsia" w:ascii="Times New Roman" w:hAnsi="Times New Roman" w:eastAsia="宋体" w:cs="Times New Roman"/>
                <w:color w:val="auto"/>
                <w:kern w:val="2"/>
                <w:sz w:val="24"/>
                <w:szCs w:val="24"/>
                <w:lang w:val="en-US" w:eastAsia="zh-CN" w:bidi="ar-SA"/>
              </w:rPr>
              <w:t>部分位于现有园区范围外</w:t>
            </w:r>
            <w:r>
              <w:rPr>
                <w:rFonts w:hint="eastAsia" w:ascii="Times New Roman" w:hAnsi="Times New Roman" w:eastAsia="宋体" w:cs="Times New Roman"/>
                <w:bCs/>
                <w:color w:val="auto"/>
                <w:spacing w:val="-2"/>
                <w:kern w:val="0"/>
                <w:sz w:val="24"/>
                <w:szCs w:val="24"/>
                <w:lang w:eastAsia="zh-CN"/>
              </w:rPr>
              <w:t>；</w:t>
            </w:r>
            <w:r>
              <w:rPr>
                <w:rFonts w:hint="default" w:ascii="Times New Roman" w:hAnsi="Times New Roman" w:cs="Times New Roman"/>
                <w:color w:val="auto"/>
                <w:sz w:val="24"/>
                <w:szCs w:val="24"/>
              </w:rPr>
              <w:t>本次环境空气质量数据采用《达州市</w:t>
            </w:r>
            <w:r>
              <w:rPr>
                <w:rFonts w:hint="eastAsia" w:cs="Times New Roman"/>
                <w:color w:val="auto"/>
                <w:sz w:val="24"/>
                <w:szCs w:val="24"/>
                <w:lang w:val="en-US" w:eastAsia="zh-CN"/>
              </w:rPr>
              <w:t>主</w:t>
            </w:r>
            <w:r>
              <w:rPr>
                <w:rFonts w:hint="default" w:ascii="Times New Roman" w:hAnsi="Times New Roman" w:cs="Times New Roman"/>
                <w:color w:val="auto"/>
                <w:sz w:val="24"/>
                <w:szCs w:val="24"/>
              </w:rPr>
              <w:t>城区</w:t>
            </w:r>
            <w:r>
              <w:rPr>
                <w:rFonts w:hint="eastAsia" w:cs="Times New Roman"/>
                <w:color w:val="auto"/>
                <w:sz w:val="24"/>
                <w:szCs w:val="24"/>
                <w:lang w:val="en-US" w:eastAsia="zh-CN"/>
              </w:rPr>
              <w:t>2021</w:t>
            </w:r>
            <w:r>
              <w:rPr>
                <w:rFonts w:hint="default" w:ascii="Times New Roman" w:hAnsi="Times New Roman" w:cs="Times New Roman"/>
                <w:color w:val="auto"/>
                <w:sz w:val="24"/>
                <w:szCs w:val="24"/>
              </w:rPr>
              <w:t>年环境空气质量》对区域环境空气质量现状进行评价，区域空气质量现状详见下表。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cs="Times New Roman"/>
                <w:b/>
                <w:bCs/>
                <w:color w:val="auto"/>
                <w:sz w:val="24"/>
                <w:szCs w:val="24"/>
                <w:lang w:val="en-US" w:eastAsia="zh-CN"/>
              </w:rPr>
              <w:t>3-1</w:t>
            </w:r>
            <w:r>
              <w:rPr>
                <w:rFonts w:hint="default" w:ascii="Times New Roman" w:hAnsi="Times New Roman" w:cs="Times New Roman"/>
                <w:b/>
                <w:bCs/>
                <w:color w:val="auto"/>
                <w:sz w:val="24"/>
                <w:szCs w:val="24"/>
              </w:rPr>
              <w:t xml:space="preserve">    达州市城区区域环境空气质量现状结果表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2567"/>
              <w:gridCol w:w="1193"/>
              <w:gridCol w:w="1052"/>
              <w:gridCol w:w="130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60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年评价指标</w:t>
                  </w:r>
                </w:p>
              </w:tc>
              <w:tc>
                <w:tcPr>
                  <w:tcW w:w="74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现状浓度</w:t>
                  </w:r>
                  <w:r>
                    <w:rPr>
                      <w:rFonts w:hint="eastAsia" w:ascii="Times New Roman" w:cs="Times New Roman"/>
                      <w:color w:val="auto"/>
                      <w:sz w:val="21"/>
                      <w:szCs w:val="21"/>
                      <w:lang w:eastAsia="zh-CN"/>
                    </w:rPr>
                    <w:t>（</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lang w:eastAsia="zh-CN"/>
                    </w:rPr>
                    <w:t>）</w:t>
                  </w:r>
                </w:p>
              </w:tc>
              <w:tc>
                <w:tcPr>
                  <w:tcW w:w="65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标准值</w:t>
                  </w:r>
                  <w:r>
                    <w:rPr>
                      <w:rFonts w:hint="eastAsia" w:ascii="Times New Roman" w:cs="Times New Roman"/>
                      <w:color w:val="auto"/>
                      <w:sz w:val="21"/>
                      <w:szCs w:val="21"/>
                      <w:lang w:eastAsia="zh-CN"/>
                    </w:rPr>
                    <w:t>（</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ascii="Times New Roman" w:cs="Times New Roman"/>
                      <w:color w:val="auto"/>
                      <w:sz w:val="21"/>
                      <w:szCs w:val="21"/>
                      <w:lang w:eastAsia="zh-CN"/>
                    </w:rPr>
                    <w:t>）</w:t>
                  </w:r>
                </w:p>
              </w:tc>
              <w:tc>
                <w:tcPr>
                  <w:tcW w:w="81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占标率</w:t>
                  </w:r>
                  <w:r>
                    <w:rPr>
                      <w:rFonts w:hint="eastAsia" w:ascii="Times New Roman" w:cs="Times New Roman"/>
                      <w:color w:val="auto"/>
                      <w:sz w:val="21"/>
                      <w:szCs w:val="21"/>
                      <w:lang w:eastAsia="zh-CN"/>
                    </w:rPr>
                    <w:t>（</w:t>
                  </w:r>
                  <w:r>
                    <w:rPr>
                      <w:rFonts w:hint="eastAsia" w:ascii="Times New Roman" w:cs="Times New Roman"/>
                      <w:color w:val="auto"/>
                      <w:sz w:val="21"/>
                      <w:szCs w:val="21"/>
                      <w:lang w:val="en-US" w:eastAsia="zh-CN"/>
                    </w:rPr>
                    <w:t>%）</w:t>
                  </w:r>
                </w:p>
              </w:tc>
              <w:tc>
                <w:tcPr>
                  <w:tcW w:w="64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60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w:t>
                  </w:r>
                </w:p>
              </w:tc>
              <w:tc>
                <w:tcPr>
                  <w:tcW w:w="65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w:t>
                  </w:r>
                </w:p>
              </w:tc>
              <w:tc>
                <w:tcPr>
                  <w:tcW w:w="81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15</w:t>
                  </w:r>
                </w:p>
              </w:tc>
              <w:tc>
                <w:tcPr>
                  <w:tcW w:w="64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NO</w:t>
                  </w:r>
                  <w:r>
                    <w:rPr>
                      <w:rFonts w:hint="eastAsia" w:ascii="Times New Roman" w:cs="Times New Roman"/>
                      <w:color w:val="auto"/>
                      <w:sz w:val="21"/>
                      <w:szCs w:val="21"/>
                      <w:vertAlign w:val="subscript"/>
                      <w:lang w:val="en-US" w:eastAsia="zh-CN"/>
                    </w:rPr>
                    <w:t>2</w:t>
                  </w:r>
                </w:p>
              </w:tc>
              <w:tc>
                <w:tcPr>
                  <w:tcW w:w="160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65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81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77.5</w:t>
                  </w:r>
                </w:p>
              </w:tc>
              <w:tc>
                <w:tcPr>
                  <w:tcW w:w="64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3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60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w:t>
                  </w:r>
                </w:p>
              </w:tc>
              <w:tc>
                <w:tcPr>
                  <w:tcW w:w="65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w:t>
                  </w:r>
                </w:p>
              </w:tc>
              <w:tc>
                <w:tcPr>
                  <w:tcW w:w="81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85.7</w:t>
                  </w:r>
                </w:p>
              </w:tc>
              <w:tc>
                <w:tcPr>
                  <w:tcW w:w="64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60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w:t>
                  </w:r>
                </w:p>
              </w:tc>
              <w:tc>
                <w:tcPr>
                  <w:tcW w:w="65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81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108.6</w:t>
                  </w:r>
                </w:p>
              </w:tc>
              <w:tc>
                <w:tcPr>
                  <w:tcW w:w="64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60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8小时平均第90百分位数</w:t>
                  </w:r>
                </w:p>
              </w:tc>
              <w:tc>
                <w:tcPr>
                  <w:tcW w:w="74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96</w:t>
                  </w:r>
                </w:p>
              </w:tc>
              <w:tc>
                <w:tcPr>
                  <w:tcW w:w="65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160</w:t>
                  </w:r>
                </w:p>
              </w:tc>
              <w:tc>
                <w:tcPr>
                  <w:tcW w:w="81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w:t>
                  </w:r>
                </w:p>
              </w:tc>
              <w:tc>
                <w:tcPr>
                  <w:tcW w:w="64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60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日均值第95百分位数</w:t>
                  </w:r>
                </w:p>
              </w:tc>
              <w:tc>
                <w:tcPr>
                  <w:tcW w:w="74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65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w:t>
                  </w:r>
                </w:p>
              </w:tc>
              <w:tc>
                <w:tcPr>
                  <w:tcW w:w="81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64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pStyle w:val="11"/>
              <w:keepNext w:val="0"/>
              <w:keepLines w:val="0"/>
              <w:pageBreakBefore w:val="0"/>
              <w:widowControl w:val="0"/>
              <w:numPr>
                <w:ilvl w:val="0"/>
                <w:numId w:val="0"/>
              </w:numPr>
              <w:kinsoku/>
              <w:wordWrap/>
              <w:overflowPunct/>
              <w:topLinePunct w:val="0"/>
              <w:autoSpaceDE/>
              <w:autoSpaceDN/>
              <w:bidi w:val="0"/>
              <w:adjustRightInd/>
              <w:snapToGrid/>
              <w:spacing w:before="0" w:after="0" w:line="440" w:lineRule="exact"/>
              <w:ind w:firstLine="480" w:firstLineChars="200"/>
              <w:jc w:val="both"/>
              <w:textAlignment w:val="auto"/>
              <w:rPr>
                <w:rFonts w:hint="default" w:ascii="Times New Roman" w:hAnsi="Times New Roman" w:eastAsia="宋体" w:cs="Times New Roman"/>
                <w:b w:val="0"/>
                <w:bCs w:val="0"/>
                <w:caps w:val="0"/>
                <w:color w:val="auto"/>
                <w:kern w:val="2"/>
                <w:sz w:val="24"/>
                <w:szCs w:val="24"/>
                <w:lang w:val="en-US" w:eastAsia="zh-CN" w:bidi="ar-SA"/>
              </w:rPr>
            </w:pPr>
            <w:r>
              <w:rPr>
                <w:rFonts w:hint="default" w:ascii="Times New Roman" w:hAnsi="Times New Roman" w:eastAsia="宋体" w:cs="Times New Roman"/>
                <w:b w:val="0"/>
                <w:bCs w:val="0"/>
                <w:caps w:val="0"/>
                <w:color w:val="auto"/>
                <w:kern w:val="2"/>
                <w:sz w:val="24"/>
                <w:szCs w:val="24"/>
                <w:lang w:val="en-US" w:eastAsia="zh-CN" w:bidi="ar-SA"/>
              </w:rPr>
              <w:t>根据上表数据分析可知，达州市城区城市环境空气质量中SO</w:t>
            </w:r>
            <w:r>
              <w:rPr>
                <w:rFonts w:hint="default" w:ascii="Times New Roman" w:hAnsi="Times New Roman" w:eastAsia="宋体" w:cs="Times New Roman"/>
                <w:b w:val="0"/>
                <w:bCs w:val="0"/>
                <w:caps w:val="0"/>
                <w:color w:val="auto"/>
                <w:kern w:val="2"/>
                <w:sz w:val="24"/>
                <w:szCs w:val="24"/>
                <w:vertAlign w:val="subscript"/>
                <w:lang w:val="en-US" w:eastAsia="zh-CN" w:bidi="ar-SA"/>
              </w:rPr>
              <w:t>2</w:t>
            </w:r>
            <w:r>
              <w:rPr>
                <w:rFonts w:hint="default" w:ascii="Times New Roman" w:hAnsi="Times New Roman" w:eastAsia="宋体" w:cs="Times New Roman"/>
                <w:b w:val="0"/>
                <w:bCs w:val="0"/>
                <w:caps w:val="0"/>
                <w:color w:val="auto"/>
                <w:kern w:val="2"/>
                <w:sz w:val="24"/>
                <w:szCs w:val="24"/>
                <w:lang w:val="en-US" w:eastAsia="zh-CN" w:bidi="ar-SA"/>
              </w:rPr>
              <w:t>、O</w:t>
            </w:r>
            <w:r>
              <w:rPr>
                <w:rFonts w:hint="default" w:ascii="Times New Roman" w:hAnsi="Times New Roman" w:eastAsia="宋体" w:cs="Times New Roman"/>
                <w:b w:val="0"/>
                <w:bCs w:val="0"/>
                <w:caps w:val="0"/>
                <w:color w:val="auto"/>
                <w:kern w:val="2"/>
                <w:sz w:val="24"/>
                <w:szCs w:val="24"/>
                <w:vertAlign w:val="subscript"/>
                <w:lang w:val="en-US" w:eastAsia="zh-CN" w:bidi="ar-SA"/>
              </w:rPr>
              <w:t>3</w:t>
            </w:r>
            <w:r>
              <w:rPr>
                <w:rFonts w:hint="default" w:ascii="Times New Roman" w:hAnsi="Times New Roman" w:eastAsia="宋体" w:cs="Times New Roman"/>
                <w:b w:val="0"/>
                <w:bCs w:val="0"/>
                <w:caps w:val="0"/>
                <w:color w:val="auto"/>
                <w:kern w:val="2"/>
                <w:sz w:val="24"/>
                <w:szCs w:val="24"/>
                <w:lang w:val="en-US" w:eastAsia="zh-CN" w:bidi="ar-SA"/>
              </w:rPr>
              <w:t>、CO</w:t>
            </w:r>
            <w:r>
              <w:rPr>
                <w:rFonts w:hint="eastAsia" w:ascii="Times New Roman" w:hAnsi="Times New Roman" w:eastAsia="宋体"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NO</w:t>
            </w:r>
            <w:r>
              <w:rPr>
                <w:rFonts w:hint="eastAsia" w:ascii="Times New Roman" w:hAnsi="Times New Roman" w:eastAsia="宋体" w:cs="Times New Roman"/>
                <w:b w:val="0"/>
                <w:bCs w:val="0"/>
                <w:caps w:val="0"/>
                <w:color w:val="auto"/>
                <w:kern w:val="2"/>
                <w:sz w:val="24"/>
                <w:szCs w:val="24"/>
                <w:vertAlign w:val="subscript"/>
                <w:lang w:val="en-US" w:eastAsia="zh-CN" w:bidi="ar-SA"/>
              </w:rPr>
              <w:t>2</w:t>
            </w:r>
            <w:r>
              <w:rPr>
                <w:rFonts w:hint="default" w:ascii="Times New Roman" w:hAnsi="Times New Roman" w:eastAsia="宋体" w:cs="Times New Roman"/>
                <w:b w:val="0"/>
                <w:bCs w:val="0"/>
                <w:caps w:val="0"/>
                <w:color w:val="auto"/>
                <w:kern w:val="2"/>
                <w:sz w:val="24"/>
                <w:szCs w:val="24"/>
                <w:lang w:val="en-US" w:eastAsia="zh-CN" w:bidi="ar-SA"/>
              </w:rPr>
              <w:t>、PM</w:t>
            </w:r>
            <w:r>
              <w:rPr>
                <w:rFonts w:hint="default" w:ascii="Times New Roman" w:hAnsi="Times New Roman" w:eastAsia="宋体" w:cs="Times New Roman"/>
                <w:b w:val="0"/>
                <w:bCs w:val="0"/>
                <w:caps w:val="0"/>
                <w:color w:val="auto"/>
                <w:kern w:val="2"/>
                <w:sz w:val="24"/>
                <w:szCs w:val="24"/>
                <w:vertAlign w:val="subscript"/>
                <w:lang w:val="en-US" w:eastAsia="zh-CN" w:bidi="ar-SA"/>
              </w:rPr>
              <w:t>10</w:t>
            </w:r>
            <w:r>
              <w:rPr>
                <w:rFonts w:hint="default" w:ascii="Times New Roman" w:hAnsi="Times New Roman" w:eastAsia="宋体" w:cs="Times New Roman"/>
                <w:b w:val="0"/>
                <w:bCs w:val="0"/>
                <w:caps w:val="0"/>
                <w:color w:val="auto"/>
                <w:kern w:val="2"/>
                <w:sz w:val="24"/>
                <w:szCs w:val="24"/>
                <w:lang w:val="en-US" w:eastAsia="zh-CN" w:bidi="ar-SA"/>
              </w:rPr>
              <w:t>浓度达到《环境空气质量标准》（GB3095-2012）二级标准；PM</w:t>
            </w:r>
            <w:r>
              <w:rPr>
                <w:rFonts w:hint="default" w:ascii="Times New Roman" w:hAnsi="Times New Roman" w:eastAsia="宋体" w:cs="Times New Roman"/>
                <w:b w:val="0"/>
                <w:bCs w:val="0"/>
                <w:caps w:val="0"/>
                <w:color w:val="auto"/>
                <w:kern w:val="2"/>
                <w:sz w:val="24"/>
                <w:szCs w:val="24"/>
                <w:vertAlign w:val="subscript"/>
                <w:lang w:val="en-US" w:eastAsia="zh-CN" w:bidi="ar-SA"/>
              </w:rPr>
              <w:t>2.5</w:t>
            </w:r>
            <w:r>
              <w:rPr>
                <w:rFonts w:hint="default" w:ascii="Times New Roman" w:hAnsi="Times New Roman" w:eastAsia="宋体" w:cs="Times New Roman"/>
                <w:b w:val="0"/>
                <w:bCs w:val="0"/>
                <w:caps w:val="0"/>
                <w:color w:val="auto"/>
                <w:kern w:val="2"/>
                <w:sz w:val="24"/>
                <w:szCs w:val="24"/>
                <w:lang w:val="en-US" w:eastAsia="zh-CN" w:bidi="ar-SA"/>
              </w:rPr>
              <w:t>浓度超过《环境空气质量标准》（GB3095-2012）二级标准要求，项目所在区域为环境空气质量不达标区。</w:t>
            </w:r>
          </w:p>
          <w:p>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其他污染物环境质量现状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2"/>
                <w:lang w:eastAsia="zh-CN"/>
              </w:rPr>
              <w:t>本项目</w:t>
            </w:r>
            <w:r>
              <w:rPr>
                <w:rFonts w:hint="default" w:ascii="Times New Roman" w:hAnsi="Times New Roman" w:eastAsia="宋体" w:cs="Times New Roman"/>
                <w:color w:val="auto"/>
                <w:kern w:val="2"/>
                <w:sz w:val="24"/>
                <w:szCs w:val="22"/>
              </w:rPr>
              <w:t>委托</w:t>
            </w:r>
            <w:r>
              <w:rPr>
                <w:rFonts w:hint="default" w:ascii="Times New Roman" w:hAnsi="Times New Roman" w:eastAsia="宋体" w:cs="Times New Roman"/>
                <w:color w:val="auto"/>
                <w:kern w:val="2"/>
                <w:sz w:val="24"/>
                <w:szCs w:val="22"/>
                <w:lang w:eastAsia="zh-CN"/>
              </w:rPr>
              <w:t>四川中斯诺检测服务有限公司</w:t>
            </w:r>
            <w:r>
              <w:rPr>
                <w:rFonts w:hint="default" w:ascii="Times New Roman" w:hAnsi="Times New Roman" w:eastAsia="宋体" w:cs="Times New Roman"/>
                <w:color w:val="auto"/>
                <w:kern w:val="2"/>
                <w:sz w:val="24"/>
                <w:szCs w:val="22"/>
              </w:rPr>
              <w:t>对</w:t>
            </w:r>
            <w:r>
              <w:rPr>
                <w:rFonts w:hint="eastAsia" w:cs="Times New Roman"/>
                <w:color w:val="auto"/>
                <w:kern w:val="2"/>
                <w:sz w:val="24"/>
                <w:szCs w:val="22"/>
                <w:lang w:val="en-US" w:eastAsia="zh-CN"/>
              </w:rPr>
              <w:t>非甲烷总烃、</w:t>
            </w:r>
            <w:r>
              <w:rPr>
                <w:rFonts w:hint="default" w:ascii="Times New Roman" w:hAnsi="Times New Roman" w:eastAsia="宋体" w:cs="Times New Roman"/>
                <w:color w:val="auto"/>
                <w:kern w:val="2"/>
                <w:sz w:val="24"/>
                <w:szCs w:val="22"/>
                <w:lang w:eastAsia="zh-CN"/>
              </w:rPr>
              <w:t>氨</w:t>
            </w:r>
            <w:r>
              <w:rPr>
                <w:rFonts w:hint="default" w:ascii="Times New Roman" w:hAnsi="Times New Roman" w:eastAsia="宋体" w:cs="Times New Roman"/>
                <w:color w:val="auto"/>
                <w:kern w:val="2"/>
                <w:sz w:val="24"/>
                <w:szCs w:val="22"/>
              </w:rPr>
              <w:t>、硫化氢环境空气质量进行监测，监测时间20</w:t>
            </w:r>
            <w:r>
              <w:rPr>
                <w:rFonts w:hint="default" w:ascii="Times New Roman" w:hAnsi="Times New Roman" w:eastAsia="宋体" w:cs="Times New Roman"/>
                <w:color w:val="auto"/>
                <w:kern w:val="2"/>
                <w:sz w:val="24"/>
                <w:szCs w:val="22"/>
                <w:lang w:val="en-US" w:eastAsia="zh-CN"/>
              </w:rPr>
              <w:t>20</w:t>
            </w:r>
            <w:r>
              <w:rPr>
                <w:rFonts w:hint="default" w:ascii="Times New Roman" w:hAnsi="Times New Roman" w:eastAsia="宋体" w:cs="Times New Roman"/>
                <w:color w:val="auto"/>
                <w:kern w:val="2"/>
                <w:sz w:val="24"/>
                <w:szCs w:val="22"/>
              </w:rPr>
              <w:t>年</w:t>
            </w:r>
            <w:r>
              <w:rPr>
                <w:rFonts w:hint="default" w:ascii="Times New Roman" w:hAnsi="Times New Roman" w:eastAsia="宋体" w:cs="Times New Roman"/>
                <w:color w:val="auto"/>
                <w:kern w:val="2"/>
                <w:sz w:val="24"/>
                <w:szCs w:val="22"/>
                <w:lang w:val="en-US" w:eastAsia="zh-CN"/>
              </w:rPr>
              <w:t>3</w:t>
            </w:r>
            <w:r>
              <w:rPr>
                <w:rFonts w:hint="default" w:ascii="Times New Roman" w:hAnsi="Times New Roman" w:eastAsia="宋体" w:cs="Times New Roman"/>
                <w:color w:val="auto"/>
                <w:kern w:val="2"/>
                <w:sz w:val="24"/>
                <w:szCs w:val="22"/>
              </w:rPr>
              <w:t>月1</w:t>
            </w:r>
            <w:r>
              <w:rPr>
                <w:rFonts w:hint="default" w:ascii="Times New Roman" w:hAnsi="Times New Roman" w:eastAsia="宋体" w:cs="Times New Roman"/>
                <w:color w:val="auto"/>
                <w:kern w:val="2"/>
                <w:sz w:val="24"/>
                <w:szCs w:val="22"/>
                <w:lang w:val="en-US" w:eastAsia="zh-CN"/>
              </w:rPr>
              <w:t>1</w:t>
            </w:r>
            <w:r>
              <w:rPr>
                <w:rFonts w:hint="default" w:ascii="Times New Roman" w:hAnsi="Times New Roman" w:eastAsia="宋体" w:cs="Times New Roman"/>
                <w:color w:val="auto"/>
                <w:kern w:val="2"/>
                <w:sz w:val="24"/>
                <w:szCs w:val="22"/>
              </w:rPr>
              <w:t>日至20</w:t>
            </w:r>
            <w:r>
              <w:rPr>
                <w:rFonts w:hint="default" w:ascii="Times New Roman" w:hAnsi="Times New Roman" w:eastAsia="宋体" w:cs="Times New Roman"/>
                <w:color w:val="auto"/>
                <w:kern w:val="2"/>
                <w:sz w:val="24"/>
                <w:szCs w:val="22"/>
                <w:lang w:val="en-US" w:eastAsia="zh-CN"/>
              </w:rPr>
              <w:t>20</w:t>
            </w:r>
            <w:r>
              <w:rPr>
                <w:rFonts w:hint="default" w:ascii="Times New Roman" w:hAnsi="Times New Roman" w:eastAsia="宋体" w:cs="Times New Roman"/>
                <w:color w:val="auto"/>
                <w:kern w:val="2"/>
                <w:sz w:val="24"/>
                <w:szCs w:val="22"/>
              </w:rPr>
              <w:t>年</w:t>
            </w:r>
            <w:r>
              <w:rPr>
                <w:rFonts w:hint="default" w:ascii="Times New Roman" w:hAnsi="Times New Roman" w:eastAsia="宋体" w:cs="Times New Roman"/>
                <w:color w:val="auto"/>
                <w:kern w:val="2"/>
                <w:sz w:val="24"/>
                <w:szCs w:val="22"/>
                <w:lang w:val="en-US" w:eastAsia="zh-CN"/>
              </w:rPr>
              <w:t>3</w:t>
            </w:r>
            <w:r>
              <w:rPr>
                <w:rFonts w:hint="default" w:ascii="Times New Roman" w:hAnsi="Times New Roman" w:eastAsia="宋体" w:cs="Times New Roman"/>
                <w:color w:val="auto"/>
                <w:kern w:val="2"/>
                <w:sz w:val="24"/>
                <w:szCs w:val="22"/>
              </w:rPr>
              <w:t>月</w:t>
            </w:r>
            <w:r>
              <w:rPr>
                <w:rFonts w:hint="default" w:ascii="Times New Roman" w:hAnsi="Times New Roman" w:eastAsia="宋体" w:cs="Times New Roman"/>
                <w:color w:val="auto"/>
                <w:kern w:val="2"/>
                <w:sz w:val="24"/>
                <w:szCs w:val="22"/>
                <w:lang w:val="en-US" w:eastAsia="zh-CN"/>
              </w:rPr>
              <w:t>17</w:t>
            </w:r>
            <w:r>
              <w:rPr>
                <w:rFonts w:hint="default" w:ascii="Times New Roman" w:hAnsi="Times New Roman" w:eastAsia="宋体" w:cs="Times New Roman"/>
                <w:color w:val="auto"/>
                <w:kern w:val="2"/>
                <w:sz w:val="24"/>
                <w:szCs w:val="22"/>
              </w:rPr>
              <w:t>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rPr>
              <w:t>（1）</w:t>
            </w:r>
            <w:r>
              <w:rPr>
                <w:rFonts w:hint="eastAsia" w:cs="Times New Roman"/>
                <w:color w:val="auto"/>
                <w:sz w:val="24"/>
                <w:szCs w:val="24"/>
                <w:highlight w:val="none"/>
                <w:lang w:eastAsia="zh-CN"/>
              </w:rPr>
              <w:t>监测</w:t>
            </w:r>
            <w:r>
              <w:rPr>
                <w:rFonts w:cs="Times New Roman"/>
                <w:color w:val="auto"/>
                <w:sz w:val="24"/>
                <w:szCs w:val="24"/>
                <w:highlight w:val="none"/>
              </w:rPr>
              <w:t>点位</w:t>
            </w:r>
            <w:r>
              <w:rPr>
                <w:rFonts w:hint="eastAsia" w:cs="Times New Roman"/>
                <w:color w:val="auto"/>
                <w:sz w:val="24"/>
                <w:szCs w:val="24"/>
                <w:highlight w:val="none"/>
                <w:lang w:eastAsia="zh-CN"/>
              </w:rPr>
              <w:t>及监测因子</w:t>
            </w:r>
          </w:p>
          <w:p>
            <w:pPr>
              <w:keepNext w:val="0"/>
              <w:keepLines w:val="0"/>
              <w:pageBreakBefore w:val="0"/>
              <w:widowControl w:val="0"/>
              <w:kinsoku/>
              <w:wordWrap/>
              <w:overflowPunct/>
              <w:topLinePunct w:val="0"/>
              <w:autoSpaceDE w:val="0"/>
              <w:autoSpaceDN/>
              <w:bidi w:val="0"/>
              <w:adjustRightInd w:val="0"/>
              <w:snapToGrid w:val="0"/>
              <w:spacing w:line="440" w:lineRule="exact"/>
              <w:ind w:firstLine="480" w:firstLineChars="200"/>
              <w:textAlignment w:val="baseline"/>
              <w:rPr>
                <w:rFonts w:cs="Times New Roman"/>
                <w:color w:val="auto"/>
                <w:sz w:val="24"/>
                <w:szCs w:val="24"/>
                <w:highlight w:val="none"/>
              </w:rPr>
            </w:pPr>
            <w:r>
              <w:rPr>
                <w:rFonts w:hint="default" w:ascii="Times New Roman" w:hAnsi="Times New Roman" w:eastAsia="宋体" w:cs="Times New Roman"/>
                <w:color w:val="auto"/>
                <w:kern w:val="2"/>
                <w:sz w:val="24"/>
                <w:szCs w:val="22"/>
              </w:rPr>
              <w:t>现状监测监测点位</w:t>
            </w:r>
            <w:r>
              <w:rPr>
                <w:rFonts w:hint="default" w:ascii="Times New Roman" w:hAnsi="Times New Roman" w:eastAsia="宋体" w:cs="Times New Roman"/>
                <w:color w:val="auto"/>
                <w:kern w:val="2"/>
                <w:sz w:val="24"/>
                <w:szCs w:val="24"/>
              </w:rPr>
              <w:t>具体见表</w:t>
            </w:r>
            <w:r>
              <w:rPr>
                <w:rFonts w:hint="default" w:ascii="Times New Roman" w:hAnsi="Times New Roman" w:eastAsia="宋体" w:cs="Times New Roman"/>
                <w:color w:val="auto"/>
                <w:kern w:val="2"/>
                <w:sz w:val="24"/>
                <w:szCs w:val="24"/>
                <w:lang w:val="en-US" w:eastAsia="zh-CN"/>
              </w:rPr>
              <w:t>3-2</w:t>
            </w:r>
            <w:r>
              <w:rPr>
                <w:rFonts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eastAsia="宋体" w:cs="Times New Roman"/>
                <w:b/>
                <w:bCs/>
                <w:color w:val="auto"/>
                <w:sz w:val="24"/>
                <w:szCs w:val="24"/>
                <w:highlight w:val="none"/>
                <w:lang w:eastAsia="zh-CN"/>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cs="Times New Roman"/>
                <w:b/>
                <w:bCs/>
                <w:color w:val="auto"/>
                <w:sz w:val="24"/>
                <w:szCs w:val="24"/>
                <w:highlight w:val="none"/>
              </w:rPr>
              <w:t xml:space="preserve">-2    </w:t>
            </w:r>
            <w:r>
              <w:rPr>
                <w:rFonts w:hint="eastAsia" w:cs="Times New Roman"/>
                <w:b/>
                <w:bCs/>
                <w:color w:val="auto"/>
                <w:sz w:val="24"/>
                <w:szCs w:val="24"/>
                <w:highlight w:val="none"/>
                <w:lang w:eastAsia="zh-CN"/>
              </w:rPr>
              <w:t>大气质量监测点位及监测因子一览表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998"/>
              <w:gridCol w:w="1161"/>
              <w:gridCol w:w="1148"/>
              <w:gridCol w:w="1273"/>
              <w:gridCol w:w="73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6"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2"/>
                    </w:rPr>
                    <w:t>监测点名称</w:t>
                  </w:r>
                </w:p>
              </w:tc>
              <w:tc>
                <w:tcPr>
                  <w:tcW w:w="1347" w:type="pct"/>
                  <w:gridSpan w:val="2"/>
                  <w:tcBorders>
                    <w:top w:val="single" w:color="auto" w:sz="4" w:space="0"/>
                    <w:left w:val="nil"/>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监测点坐标（°）</w:t>
                  </w:r>
                </w:p>
              </w:tc>
              <w:tc>
                <w:tcPr>
                  <w:tcW w:w="716" w:type="pct"/>
                  <w:vMerge w:val="restart"/>
                  <w:tcBorders>
                    <w:top w:val="single" w:color="auto" w:sz="4" w:space="0"/>
                    <w:left w:val="nil"/>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监测因子</w:t>
                  </w:r>
                </w:p>
              </w:tc>
              <w:tc>
                <w:tcPr>
                  <w:tcW w:w="794" w:type="pct"/>
                  <w:vMerge w:val="restart"/>
                  <w:tcBorders>
                    <w:top w:val="single" w:color="auto" w:sz="4" w:space="0"/>
                    <w:left w:val="nil"/>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监测时段</w:t>
                  </w:r>
                </w:p>
              </w:tc>
              <w:tc>
                <w:tcPr>
                  <w:tcW w:w="458" w:type="pct"/>
                  <w:vMerge w:val="restart"/>
                  <w:tcBorders>
                    <w:top w:val="single" w:color="auto" w:sz="4" w:space="0"/>
                    <w:left w:val="nil"/>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方位</w:t>
                  </w:r>
                </w:p>
              </w:tc>
              <w:tc>
                <w:tcPr>
                  <w:tcW w:w="686" w:type="pct"/>
                  <w:vMerge w:val="restart"/>
                  <w:tcBorders>
                    <w:top w:val="single" w:color="auto" w:sz="4" w:space="0"/>
                    <w:left w:val="nil"/>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相对厂址距离（m）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6"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left"/>
                    <w:textAlignment w:val="auto"/>
                    <w:rPr>
                      <w:rFonts w:hint="default" w:ascii="Times New Roman" w:hAnsi="Times New Roman" w:eastAsia="宋体" w:cs="Times New Roman"/>
                      <w:color w:val="auto"/>
                      <w:kern w:val="2"/>
                      <w:szCs w:val="21"/>
                    </w:rPr>
                  </w:pPr>
                </w:p>
              </w:tc>
              <w:tc>
                <w:tcPr>
                  <w:tcW w:w="623" w:type="pct"/>
                  <w:tcBorders>
                    <w:top w:val="single" w:color="auto" w:sz="4" w:space="0"/>
                    <w:left w:val="nil"/>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N</w:t>
                  </w:r>
                </w:p>
              </w:tc>
              <w:tc>
                <w:tcPr>
                  <w:tcW w:w="724" w:type="pct"/>
                  <w:tcBorders>
                    <w:top w:val="single" w:color="auto" w:sz="4" w:space="0"/>
                    <w:left w:val="nil"/>
                    <w:bottom w:val="single" w:color="auto" w:sz="4" w:space="0"/>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E</w:t>
                  </w:r>
                </w:p>
              </w:tc>
              <w:tc>
                <w:tcPr>
                  <w:tcW w:w="716" w:type="pct"/>
                  <w:vMerge w:val="continue"/>
                  <w:tcBorders>
                    <w:top w:val="single" w:color="auto" w:sz="4" w:space="0"/>
                    <w:left w:val="nil"/>
                    <w:bottom w:val="single" w:color="auto" w:sz="4" w:space="0"/>
                    <w:right w:val="single" w:color="auto" w:sz="4" w:space="0"/>
                  </w:tcBorders>
                  <w:noWrap w:val="0"/>
                  <w:vAlign w:val="center"/>
                </w:tcPr>
                <w:p>
                  <w:pPr>
                    <w:widowControl/>
                    <w:spacing w:line="360" w:lineRule="atLeast"/>
                    <w:jc w:val="left"/>
                    <w:textAlignment w:val="auto"/>
                    <w:rPr>
                      <w:rFonts w:hint="default" w:ascii="Times New Roman" w:hAnsi="Times New Roman" w:eastAsia="宋体" w:cs="Times New Roman"/>
                      <w:color w:val="auto"/>
                      <w:kern w:val="2"/>
                      <w:szCs w:val="21"/>
                    </w:rPr>
                  </w:pPr>
                </w:p>
              </w:tc>
              <w:tc>
                <w:tcPr>
                  <w:tcW w:w="794" w:type="pct"/>
                  <w:vMerge w:val="continue"/>
                  <w:tcBorders>
                    <w:top w:val="single" w:color="auto" w:sz="4" w:space="0"/>
                    <w:left w:val="nil"/>
                    <w:bottom w:val="single" w:color="auto" w:sz="4" w:space="0"/>
                    <w:right w:val="single" w:color="auto" w:sz="4" w:space="0"/>
                  </w:tcBorders>
                  <w:noWrap w:val="0"/>
                  <w:vAlign w:val="center"/>
                </w:tcPr>
                <w:p>
                  <w:pPr>
                    <w:widowControl/>
                    <w:spacing w:line="360" w:lineRule="atLeast"/>
                    <w:jc w:val="left"/>
                    <w:textAlignment w:val="auto"/>
                    <w:rPr>
                      <w:rFonts w:hint="default" w:ascii="Times New Roman" w:hAnsi="Times New Roman" w:eastAsia="宋体" w:cs="Times New Roman"/>
                      <w:color w:val="auto"/>
                      <w:kern w:val="2"/>
                      <w:szCs w:val="21"/>
                    </w:rPr>
                  </w:pPr>
                </w:p>
              </w:tc>
              <w:tc>
                <w:tcPr>
                  <w:tcW w:w="458" w:type="pct"/>
                  <w:vMerge w:val="continue"/>
                  <w:tcBorders>
                    <w:top w:val="single" w:color="auto" w:sz="4" w:space="0"/>
                    <w:left w:val="nil"/>
                    <w:bottom w:val="single" w:color="auto" w:sz="4" w:space="0"/>
                    <w:right w:val="single" w:color="auto" w:sz="4" w:space="0"/>
                  </w:tcBorders>
                  <w:noWrap w:val="0"/>
                  <w:vAlign w:val="center"/>
                </w:tcPr>
                <w:p>
                  <w:pPr>
                    <w:widowControl/>
                    <w:spacing w:line="360" w:lineRule="atLeast"/>
                    <w:jc w:val="left"/>
                    <w:textAlignment w:val="auto"/>
                    <w:rPr>
                      <w:rFonts w:hint="default" w:ascii="Times New Roman" w:hAnsi="Times New Roman" w:eastAsia="宋体" w:cs="Times New Roman"/>
                      <w:color w:val="auto"/>
                      <w:kern w:val="2"/>
                      <w:szCs w:val="21"/>
                    </w:rPr>
                  </w:pPr>
                </w:p>
              </w:tc>
              <w:tc>
                <w:tcPr>
                  <w:tcW w:w="686" w:type="pct"/>
                  <w:vMerge w:val="continue"/>
                  <w:tcBorders>
                    <w:top w:val="single" w:color="auto" w:sz="4" w:space="0"/>
                    <w:left w:val="nil"/>
                    <w:bottom w:val="single" w:color="auto" w:sz="4" w:space="0"/>
                    <w:right w:val="single" w:color="auto" w:sz="4" w:space="0"/>
                  </w:tcBorders>
                  <w:noWrap w:val="0"/>
                  <w:vAlign w:val="center"/>
                </w:tcPr>
                <w:p>
                  <w:pPr>
                    <w:widowControl/>
                    <w:spacing w:line="360" w:lineRule="atLeast"/>
                    <w:jc w:val="left"/>
                    <w:textAlignment w:val="auto"/>
                    <w:rPr>
                      <w:rFonts w:hint="default" w:ascii="Times New Roman" w:hAnsi="Times New Roman" w:eastAsia="宋体" w:cs="Times New Roman"/>
                      <w:color w:val="auto"/>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96" w:type="pct"/>
                  <w:tcBorders>
                    <w:top w:val="single" w:color="auto" w:sz="4" w:space="0"/>
                    <w:left w:val="single" w:color="auto" w:sz="4" w:space="0"/>
                    <w:right w:val="single" w:color="auto" w:sz="4" w:space="0"/>
                  </w:tcBorders>
                  <w:noWrap w:val="0"/>
                  <w:vAlign w:val="center"/>
                </w:tcPr>
                <w:p>
                  <w:pPr>
                    <w:widowControl/>
                    <w:spacing w:line="320" w:lineRule="exact"/>
                    <w:jc w:val="center"/>
                    <w:textAlignment w:val="baseline"/>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0"/>
                      <w:szCs w:val="21"/>
                    </w:rPr>
                    <w:t>1#厂址</w:t>
                  </w:r>
                </w:p>
              </w:tc>
              <w:tc>
                <w:tcPr>
                  <w:tcW w:w="623" w:type="pct"/>
                  <w:tcBorders>
                    <w:top w:val="single" w:color="auto" w:sz="4" w:space="0"/>
                    <w:left w:val="nil"/>
                    <w:right w:val="single" w:color="auto" w:sz="4" w:space="0"/>
                  </w:tcBorders>
                  <w:noWrap w:val="0"/>
                  <w:vAlign w:val="center"/>
                </w:tcPr>
                <w:p>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31.2963</w:t>
                  </w:r>
                </w:p>
              </w:tc>
              <w:tc>
                <w:tcPr>
                  <w:tcW w:w="724" w:type="pct"/>
                  <w:tcBorders>
                    <w:top w:val="single" w:color="auto" w:sz="4" w:space="0"/>
                    <w:left w:val="nil"/>
                    <w:right w:val="single" w:color="auto" w:sz="4" w:space="0"/>
                  </w:tcBorders>
                  <w:noWrap w:val="0"/>
                  <w:vAlign w:val="center"/>
                </w:tcPr>
                <w:p>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107.4429</w:t>
                  </w:r>
                </w:p>
              </w:tc>
              <w:tc>
                <w:tcPr>
                  <w:tcW w:w="716" w:type="pct"/>
                  <w:vMerge w:val="restart"/>
                  <w:tcBorders>
                    <w:top w:val="single" w:color="auto" w:sz="4" w:space="0"/>
                    <w:left w:val="single" w:color="auto" w:sz="4" w:space="0"/>
                    <w:right w:val="single" w:color="auto" w:sz="4" w:space="0"/>
                  </w:tcBorders>
                  <w:noWrap w:val="0"/>
                  <w:vAlign w:val="center"/>
                </w:tcPr>
                <w:p>
                  <w:pPr>
                    <w:widowControl w:val="0"/>
                    <w:spacing w:line="360" w:lineRule="atLeast"/>
                    <w:jc w:val="center"/>
                    <w:textAlignment w:val="baseline"/>
                    <w:rPr>
                      <w:rFonts w:hint="default" w:ascii="Times New Roman" w:hAnsi="Times New Roman" w:eastAsia="宋体" w:cs="Times New Roman"/>
                      <w:color w:val="auto"/>
                      <w:kern w:val="0"/>
                      <w:sz w:val="20"/>
                      <w:szCs w:val="21"/>
                      <w:lang w:val="en-US" w:eastAsia="zh-CN" w:bidi="ar-SA"/>
                    </w:rPr>
                  </w:pPr>
                  <w:r>
                    <w:rPr>
                      <w:rFonts w:hint="default" w:ascii="Times New Roman" w:hAnsi="Times New Roman" w:eastAsia="宋体" w:cs="Times New Roman"/>
                      <w:color w:val="auto"/>
                      <w:kern w:val="0"/>
                      <w:sz w:val="21"/>
                      <w:szCs w:val="21"/>
                      <w:lang w:val="en-US" w:eastAsia="zh-CN" w:bidi="ar-SA"/>
                    </w:rPr>
                    <w:t>非甲烷总烃</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vertAlign w:val="subscript"/>
                      <w:lang w:val="en-US" w:eastAsia="zh-CN" w:bidi="ar-SA"/>
                    </w:rPr>
                    <w:t>2</w:t>
                  </w:r>
                  <w:r>
                    <w:rPr>
                      <w:rFonts w:hint="default" w:ascii="Times New Roman" w:hAnsi="Times New Roman" w:eastAsia="宋体" w:cs="Times New Roman"/>
                      <w:color w:val="auto"/>
                      <w:kern w:val="0"/>
                      <w:sz w:val="21"/>
                      <w:szCs w:val="21"/>
                      <w:lang w:val="en-US" w:eastAsia="zh-CN" w:bidi="ar-SA"/>
                    </w:rPr>
                    <w:t>S、NH</w:t>
                  </w:r>
                  <w:r>
                    <w:rPr>
                      <w:rFonts w:hint="default" w:ascii="Times New Roman" w:hAnsi="Times New Roman" w:eastAsia="宋体" w:cs="Times New Roman"/>
                      <w:color w:val="auto"/>
                      <w:kern w:val="0"/>
                      <w:sz w:val="21"/>
                      <w:szCs w:val="21"/>
                      <w:vertAlign w:val="subscript"/>
                      <w:lang w:val="en-US" w:eastAsia="zh-CN" w:bidi="ar-SA"/>
                    </w:rPr>
                    <w:t>3</w:t>
                  </w:r>
                </w:p>
              </w:tc>
              <w:tc>
                <w:tcPr>
                  <w:tcW w:w="794" w:type="pct"/>
                  <w:vMerge w:val="restart"/>
                  <w:tcBorders>
                    <w:top w:val="single" w:color="auto" w:sz="4" w:space="0"/>
                    <w:left w:val="nil"/>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1小时平均</w:t>
                  </w:r>
                </w:p>
              </w:tc>
              <w:tc>
                <w:tcPr>
                  <w:tcW w:w="458" w:type="pct"/>
                  <w:tcBorders>
                    <w:top w:val="single" w:color="auto" w:sz="4" w:space="0"/>
                    <w:left w:val="nil"/>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w:t>
                  </w:r>
                </w:p>
              </w:tc>
              <w:tc>
                <w:tcPr>
                  <w:tcW w:w="686" w:type="pct"/>
                  <w:tcBorders>
                    <w:top w:val="single" w:color="auto" w:sz="4" w:space="0"/>
                    <w:left w:val="nil"/>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96" w:type="pct"/>
                  <w:tcBorders>
                    <w:left w:val="single" w:color="auto" w:sz="4" w:space="0"/>
                    <w:right w:val="single" w:color="auto" w:sz="4" w:space="0"/>
                  </w:tcBorders>
                  <w:noWrap w:val="0"/>
                  <w:vAlign w:val="center"/>
                </w:tcPr>
                <w:p>
                  <w:pPr>
                    <w:spacing w:line="425" w:lineRule="atLeast"/>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2#双龙镇西</w:t>
                  </w:r>
                </w:p>
              </w:tc>
              <w:tc>
                <w:tcPr>
                  <w:tcW w:w="623" w:type="pct"/>
                  <w:tcBorders>
                    <w:left w:val="nil"/>
                    <w:right w:val="single" w:color="auto" w:sz="4" w:space="0"/>
                  </w:tcBorders>
                  <w:noWrap w:val="0"/>
                  <w:vAlign w:val="center"/>
                </w:tcPr>
                <w:p>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31.2894</w:t>
                  </w:r>
                </w:p>
              </w:tc>
              <w:tc>
                <w:tcPr>
                  <w:tcW w:w="724" w:type="pct"/>
                  <w:tcBorders>
                    <w:left w:val="nil"/>
                    <w:right w:val="single" w:color="auto" w:sz="4" w:space="0"/>
                  </w:tcBorders>
                  <w:noWrap w:val="0"/>
                  <w:vAlign w:val="center"/>
                </w:tcPr>
                <w:p>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107.4422</w:t>
                  </w:r>
                </w:p>
              </w:tc>
              <w:tc>
                <w:tcPr>
                  <w:tcW w:w="716" w:type="pct"/>
                  <w:vMerge w:val="continue"/>
                  <w:tcBorders>
                    <w:left w:val="single" w:color="auto" w:sz="4" w:space="0"/>
                    <w:right w:val="single" w:color="auto" w:sz="4" w:space="0"/>
                  </w:tcBorders>
                  <w:noWrap w:val="0"/>
                  <w:vAlign w:val="center"/>
                </w:tcPr>
                <w:p>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p>
              </w:tc>
              <w:tc>
                <w:tcPr>
                  <w:tcW w:w="794" w:type="pct"/>
                  <w:vMerge w:val="continue"/>
                  <w:tcBorders>
                    <w:left w:val="nil"/>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2"/>
                    </w:rPr>
                  </w:pPr>
                </w:p>
              </w:tc>
              <w:tc>
                <w:tcPr>
                  <w:tcW w:w="458" w:type="pct"/>
                  <w:tcBorders>
                    <w:left w:val="nil"/>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SW</w:t>
                  </w:r>
                </w:p>
              </w:tc>
              <w:tc>
                <w:tcPr>
                  <w:tcW w:w="686" w:type="pct"/>
                  <w:tcBorders>
                    <w:left w:val="nil"/>
                    <w:right w:val="single" w:color="auto" w:sz="4" w:space="0"/>
                  </w:tcBorders>
                  <w:noWrap w:val="0"/>
                  <w:vAlign w:val="center"/>
                </w:tcPr>
                <w:p>
                  <w:pPr>
                    <w:widowControl w:val="0"/>
                    <w:spacing w:line="360" w:lineRule="atLeast"/>
                    <w:jc w:val="center"/>
                    <w:textAlignment w:val="auto"/>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800</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hint="eastAsia" w:cs="Times New Roman"/>
                <w:color w:val="auto"/>
                <w:kern w:val="0"/>
                <w:sz w:val="24"/>
                <w:szCs w:val="24"/>
                <w:highlight w:val="none"/>
              </w:rPr>
              <w:t>（</w:t>
            </w:r>
            <w:r>
              <w:rPr>
                <w:rFonts w:hint="eastAsia" w:cs="Times New Roman"/>
                <w:color w:val="auto"/>
                <w:kern w:val="0"/>
                <w:sz w:val="24"/>
                <w:szCs w:val="24"/>
                <w:highlight w:val="none"/>
                <w:lang w:val="en-US" w:eastAsia="zh-CN"/>
              </w:rPr>
              <w:t>2</w:t>
            </w:r>
            <w:r>
              <w:rPr>
                <w:rFonts w:hint="eastAsia" w:cs="Times New Roman"/>
                <w:color w:val="auto"/>
                <w:kern w:val="0"/>
                <w:sz w:val="24"/>
                <w:szCs w:val="24"/>
                <w:highlight w:val="none"/>
              </w:rPr>
              <w:t>）</w:t>
            </w:r>
            <w:r>
              <w:rPr>
                <w:rFonts w:cs="Times New Roman"/>
                <w:color w:val="auto"/>
                <w:kern w:val="0"/>
                <w:sz w:val="24"/>
                <w:szCs w:val="24"/>
                <w:highlight w:val="none"/>
              </w:rPr>
              <w:t>检测时间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cs="Times New Roman"/>
                <w:color w:val="auto"/>
                <w:sz w:val="24"/>
                <w:szCs w:val="24"/>
                <w:highlight w:val="none"/>
              </w:rPr>
              <w:t>20</w:t>
            </w:r>
            <w:r>
              <w:rPr>
                <w:rFonts w:hint="eastAsia" w:cs="Times New Roman"/>
                <w:color w:val="auto"/>
                <w:sz w:val="24"/>
                <w:szCs w:val="24"/>
                <w:highlight w:val="none"/>
                <w:lang w:val="en-US" w:eastAsia="zh-CN"/>
              </w:rPr>
              <w:t>20</w:t>
            </w:r>
            <w:r>
              <w:rPr>
                <w:rFonts w:cs="Times New Roman"/>
                <w:color w:val="auto"/>
                <w:sz w:val="24"/>
                <w:szCs w:val="24"/>
                <w:highlight w:val="none"/>
              </w:rPr>
              <w:t>年</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11</w:t>
            </w:r>
            <w:r>
              <w:rPr>
                <w:rFonts w:cs="Times New Roman"/>
                <w:color w:val="auto"/>
                <w:sz w:val="24"/>
                <w:szCs w:val="24"/>
                <w:highlight w:val="none"/>
              </w:rPr>
              <w:t>日-</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17</w:t>
            </w:r>
            <w:r>
              <w:rPr>
                <w:rFonts w:cs="Times New Roman"/>
                <w:color w:val="auto"/>
                <w:sz w:val="24"/>
                <w:szCs w:val="24"/>
                <w:highlight w:val="none"/>
              </w:rPr>
              <w:t>日连续监测</w:t>
            </w:r>
            <w:r>
              <w:rPr>
                <w:rFonts w:hint="eastAsia" w:cs="Times New Roman"/>
                <w:color w:val="auto"/>
                <w:sz w:val="24"/>
                <w:szCs w:val="24"/>
                <w:highlight w:val="none"/>
                <w:lang w:val="en-US" w:eastAsia="zh-CN"/>
              </w:rPr>
              <w:t>7</w:t>
            </w:r>
            <w:r>
              <w:rPr>
                <w:rFonts w:cs="Times New Roman"/>
                <w:color w:val="auto"/>
                <w:sz w:val="24"/>
                <w:szCs w:val="24"/>
                <w:highlight w:val="none"/>
              </w:rPr>
              <w:t>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3</w:t>
            </w:r>
            <w:r>
              <w:rPr>
                <w:rFonts w:hint="eastAsia" w:cs="Times New Roman"/>
                <w:color w:val="auto"/>
                <w:sz w:val="24"/>
                <w:szCs w:val="24"/>
                <w:highlight w:val="none"/>
              </w:rPr>
              <w:t>）</w:t>
            </w:r>
            <w:r>
              <w:rPr>
                <w:rFonts w:cs="Times New Roman"/>
                <w:color w:val="auto"/>
                <w:sz w:val="24"/>
                <w:szCs w:val="24"/>
                <w:highlight w:val="none"/>
              </w:rPr>
              <w:t>评价标准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cs="Times New Roman"/>
                <w:color w:val="auto"/>
                <w:sz w:val="24"/>
                <w:szCs w:val="24"/>
                <w:highlight w:val="none"/>
              </w:rPr>
              <w:t>NH</w:t>
            </w:r>
            <w:r>
              <w:rPr>
                <w:rFonts w:cs="Times New Roman"/>
                <w:color w:val="auto"/>
                <w:sz w:val="24"/>
                <w:szCs w:val="24"/>
                <w:highlight w:val="none"/>
                <w:vertAlign w:val="subscript"/>
              </w:rPr>
              <w:t>3</w:t>
            </w:r>
            <w:r>
              <w:rPr>
                <w:rFonts w:hint="eastAsia" w:cs="Times New Roman"/>
                <w:color w:val="auto"/>
                <w:sz w:val="24"/>
                <w:szCs w:val="24"/>
                <w:highlight w:val="none"/>
                <w:lang w:eastAsia="zh-CN"/>
              </w:rPr>
              <w:t>、</w:t>
            </w:r>
            <w:r>
              <w:rPr>
                <w:rFonts w:cs="Times New Roman"/>
                <w:color w:val="auto"/>
                <w:sz w:val="24"/>
                <w:szCs w:val="24"/>
                <w:highlight w:val="none"/>
              </w:rPr>
              <w:t>H</w:t>
            </w:r>
            <w:r>
              <w:rPr>
                <w:rFonts w:cs="Times New Roman"/>
                <w:color w:val="auto"/>
                <w:sz w:val="24"/>
                <w:szCs w:val="24"/>
                <w:highlight w:val="none"/>
                <w:vertAlign w:val="subscript"/>
              </w:rPr>
              <w:t>2</w:t>
            </w:r>
            <w:r>
              <w:rPr>
                <w:rFonts w:cs="Times New Roman"/>
                <w:color w:val="auto"/>
                <w:sz w:val="24"/>
                <w:szCs w:val="24"/>
                <w:highlight w:val="none"/>
              </w:rPr>
              <w:t>S执行《环境影响评价技术导则 大气环境》（HJ2.2-2018）附录D中推荐的其他污染物空气质量浓度参考</w:t>
            </w:r>
            <w:r>
              <w:rPr>
                <w:rFonts w:hint="eastAsia" w:cs="Times New Roman"/>
                <w:color w:val="auto"/>
                <w:sz w:val="24"/>
                <w:szCs w:val="24"/>
                <w:highlight w:val="none"/>
                <w:lang w:eastAsia="zh-CN"/>
              </w:rPr>
              <w:t>限值；</w:t>
            </w:r>
            <w:r>
              <w:rPr>
                <w:rFonts w:hint="eastAsia" w:cs="Times New Roman"/>
                <w:color w:val="auto"/>
                <w:sz w:val="24"/>
                <w:szCs w:val="24"/>
                <w:highlight w:val="none"/>
                <w:lang w:val="en-US" w:eastAsia="zh-CN"/>
              </w:rPr>
              <w:t>非甲烷总烃参照执行河北省地方标准《环境空气质量  非甲烷总烃限值》（DB13/1577-2012）表1二级标准</w:t>
            </w:r>
            <w:r>
              <w:rPr>
                <w:rFonts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4</w:t>
            </w:r>
            <w:r>
              <w:rPr>
                <w:rFonts w:hint="eastAsia" w:cs="Times New Roman"/>
                <w:color w:val="auto"/>
                <w:sz w:val="24"/>
                <w:szCs w:val="24"/>
                <w:highlight w:val="none"/>
              </w:rPr>
              <w:t>）</w:t>
            </w:r>
            <w:r>
              <w:rPr>
                <w:rFonts w:cs="Times New Roman"/>
                <w:color w:val="auto"/>
                <w:sz w:val="24"/>
                <w:szCs w:val="24"/>
                <w:highlight w:val="none"/>
              </w:rPr>
              <w:t>评价方法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采用单项污染指数进行评价，公式如下：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cs="Times New Roman"/>
                <w:color w:val="auto"/>
                <w:kern w:val="0"/>
                <w:sz w:val="24"/>
                <w:szCs w:val="24"/>
                <w:highlight w:val="none"/>
              </w:rPr>
            </w:pPr>
            <w:r>
              <w:rPr>
                <w:rFonts w:cs="Times New Roman"/>
                <w:color w:val="auto"/>
                <w:kern w:val="0"/>
                <w:sz w:val="24"/>
                <w:szCs w:val="24"/>
                <w:highlight w:val="none"/>
              </w:rPr>
              <w:t>P</w:t>
            </w:r>
            <w:r>
              <w:rPr>
                <w:rFonts w:cs="Times New Roman"/>
                <w:color w:val="auto"/>
                <w:kern w:val="0"/>
                <w:sz w:val="24"/>
                <w:szCs w:val="24"/>
                <w:highlight w:val="none"/>
                <w:vertAlign w:val="subscript"/>
              </w:rPr>
              <w:t>i</w:t>
            </w:r>
            <w:r>
              <w:rPr>
                <w:rFonts w:cs="Times New Roman"/>
                <w:color w:val="auto"/>
                <w:kern w:val="0"/>
                <w:sz w:val="24"/>
                <w:szCs w:val="24"/>
                <w:highlight w:val="none"/>
              </w:rPr>
              <w:t>=C</w:t>
            </w:r>
            <w:r>
              <w:rPr>
                <w:rFonts w:cs="Times New Roman"/>
                <w:color w:val="auto"/>
                <w:kern w:val="0"/>
                <w:sz w:val="24"/>
                <w:szCs w:val="24"/>
                <w:highlight w:val="none"/>
                <w:vertAlign w:val="subscript"/>
              </w:rPr>
              <w:t>i</w:t>
            </w:r>
            <w:r>
              <w:rPr>
                <w:rFonts w:cs="Times New Roman"/>
                <w:color w:val="auto"/>
                <w:kern w:val="0"/>
                <w:sz w:val="24"/>
                <w:szCs w:val="24"/>
                <w:highlight w:val="none"/>
              </w:rPr>
              <w:t>/S</w:t>
            </w:r>
            <w:r>
              <w:rPr>
                <w:rFonts w:cs="Times New Roman"/>
                <w:color w:val="auto"/>
                <w:kern w:val="0"/>
                <w:sz w:val="24"/>
                <w:szCs w:val="24"/>
                <w:highlight w:val="none"/>
                <w:vertAlign w:val="subscript"/>
              </w:rPr>
              <w:t>i</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式中：P</w:t>
            </w:r>
            <w:r>
              <w:rPr>
                <w:rFonts w:cs="Times New Roman"/>
                <w:color w:val="auto"/>
                <w:kern w:val="0"/>
                <w:sz w:val="24"/>
                <w:szCs w:val="24"/>
                <w:highlight w:val="none"/>
                <w:vertAlign w:val="subscript"/>
              </w:rPr>
              <w:t>i</w:t>
            </w:r>
            <w:r>
              <w:rPr>
                <w:rFonts w:cs="Times New Roman"/>
                <w:color w:val="auto"/>
                <w:kern w:val="0"/>
                <w:sz w:val="24"/>
                <w:szCs w:val="24"/>
                <w:highlight w:val="none"/>
              </w:rPr>
              <w:t>——i种污染物单项指数；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 xml:space="preserve">      C</w:t>
            </w:r>
            <w:r>
              <w:rPr>
                <w:rFonts w:cs="Times New Roman"/>
                <w:color w:val="auto"/>
                <w:kern w:val="0"/>
                <w:sz w:val="24"/>
                <w:szCs w:val="24"/>
                <w:highlight w:val="none"/>
                <w:vertAlign w:val="subscript"/>
              </w:rPr>
              <w:t>i</w:t>
            </w:r>
            <w:r>
              <w:rPr>
                <w:rFonts w:cs="Times New Roman"/>
                <w:color w:val="auto"/>
                <w:kern w:val="0"/>
                <w:sz w:val="24"/>
                <w:szCs w:val="24"/>
                <w:highlight w:val="none"/>
              </w:rPr>
              <w:t>——i种污染物的实测浓度（mg/Nm</w:t>
            </w:r>
            <w:r>
              <w:rPr>
                <w:rFonts w:cs="Times New Roman"/>
                <w:color w:val="auto"/>
                <w:kern w:val="0"/>
                <w:sz w:val="24"/>
                <w:szCs w:val="24"/>
                <w:highlight w:val="none"/>
                <w:vertAlign w:val="superscript"/>
              </w:rPr>
              <w:t>3</w:t>
            </w:r>
            <w:r>
              <w:rPr>
                <w:rFonts w:cs="Times New Roman"/>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 xml:space="preserve">      S</w:t>
            </w:r>
            <w:r>
              <w:rPr>
                <w:rFonts w:cs="Times New Roman"/>
                <w:color w:val="auto"/>
                <w:kern w:val="0"/>
                <w:sz w:val="24"/>
                <w:szCs w:val="24"/>
                <w:highlight w:val="none"/>
                <w:vertAlign w:val="subscript"/>
              </w:rPr>
              <w:t>i</w:t>
            </w:r>
            <w:r>
              <w:rPr>
                <w:rFonts w:cs="Times New Roman"/>
                <w:color w:val="auto"/>
                <w:kern w:val="0"/>
                <w:sz w:val="24"/>
                <w:szCs w:val="24"/>
                <w:highlight w:val="none"/>
              </w:rPr>
              <w:t>——i种污染物的评价标准（mg/Nm</w:t>
            </w:r>
            <w:r>
              <w:rPr>
                <w:rFonts w:cs="Times New Roman"/>
                <w:color w:val="auto"/>
                <w:kern w:val="0"/>
                <w:sz w:val="24"/>
                <w:szCs w:val="24"/>
                <w:highlight w:val="none"/>
                <w:vertAlign w:val="superscript"/>
              </w:rPr>
              <w:t>3</w:t>
            </w:r>
            <w:r>
              <w:rPr>
                <w:rFonts w:cs="Times New Roman"/>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当P</w:t>
            </w:r>
            <w:r>
              <w:rPr>
                <w:rFonts w:cs="Times New Roman"/>
                <w:color w:val="auto"/>
                <w:kern w:val="0"/>
                <w:sz w:val="24"/>
                <w:szCs w:val="24"/>
                <w:highlight w:val="none"/>
                <w:vertAlign w:val="subscript"/>
              </w:rPr>
              <w:t>i</w:t>
            </w:r>
            <w:r>
              <w:rPr>
                <w:rFonts w:cs="Times New Roman"/>
                <w:color w:val="auto"/>
                <w:kern w:val="0"/>
                <w:sz w:val="24"/>
                <w:szCs w:val="24"/>
                <w:highlight w:val="none"/>
              </w:rPr>
              <w:t>值大于1.0时，表明评价区环境空气已收到该项评价因子所表征的污染物的污染，P</w:t>
            </w:r>
            <w:r>
              <w:rPr>
                <w:rFonts w:cs="Times New Roman"/>
                <w:color w:val="auto"/>
                <w:kern w:val="0"/>
                <w:sz w:val="24"/>
                <w:szCs w:val="24"/>
                <w:highlight w:val="none"/>
                <w:vertAlign w:val="subscript"/>
              </w:rPr>
              <w:t>i</w:t>
            </w:r>
            <w:r>
              <w:rPr>
                <w:rFonts w:cs="Times New Roman"/>
                <w:color w:val="auto"/>
                <w:kern w:val="0"/>
                <w:sz w:val="24"/>
                <w:szCs w:val="24"/>
                <w:highlight w:val="none"/>
              </w:rPr>
              <w:t>值越大，受污染程度越重。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5</w:t>
            </w:r>
            <w:r>
              <w:rPr>
                <w:rFonts w:hint="eastAsia" w:cs="Times New Roman"/>
                <w:color w:val="auto"/>
                <w:sz w:val="24"/>
                <w:szCs w:val="24"/>
                <w:highlight w:val="none"/>
              </w:rPr>
              <w:t>）</w:t>
            </w:r>
            <w:r>
              <w:rPr>
                <w:rFonts w:cs="Times New Roman"/>
                <w:color w:val="auto"/>
                <w:sz w:val="24"/>
                <w:szCs w:val="24"/>
                <w:highlight w:val="none"/>
              </w:rPr>
              <w:t>评价结果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cs="Times New Roman"/>
                <w:color w:val="auto"/>
                <w:sz w:val="24"/>
                <w:szCs w:val="24"/>
                <w:highlight w:val="none"/>
              </w:rPr>
              <w:t>检测及评价结果见下表。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cs="Times New Roman"/>
                <w:b/>
                <w:bCs/>
                <w:color w:val="auto"/>
                <w:sz w:val="24"/>
                <w:szCs w:val="24"/>
                <w:highlight w:val="none"/>
              </w:rPr>
              <w:t xml:space="preserve">-3    </w:t>
            </w:r>
            <w:r>
              <w:rPr>
                <w:rFonts w:hint="eastAsia" w:cs="Times New Roman"/>
                <w:b/>
                <w:bCs/>
                <w:color w:val="auto"/>
                <w:sz w:val="24"/>
                <w:szCs w:val="24"/>
                <w:highlight w:val="none"/>
                <w:lang w:eastAsia="zh-CN"/>
              </w:rPr>
              <w:t>其他污染物环境空气质量监测</w:t>
            </w:r>
            <w:r>
              <w:rPr>
                <w:rFonts w:cs="Times New Roman"/>
                <w:b/>
                <w:bCs/>
                <w:color w:val="auto"/>
                <w:sz w:val="24"/>
                <w:szCs w:val="24"/>
                <w:highlight w:val="none"/>
              </w:rPr>
              <w:t>结果与评价表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1"/>
              <w:gridCol w:w="857"/>
              <w:gridCol w:w="959"/>
              <w:gridCol w:w="1016"/>
              <w:gridCol w:w="549"/>
              <w:gridCol w:w="940"/>
              <w:gridCol w:w="1216"/>
              <w:gridCol w:w="875"/>
              <w:gridCol w:w="576"/>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监测</w:t>
                  </w:r>
                </w:p>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点位</w:t>
                  </w:r>
                </w:p>
              </w:tc>
              <w:tc>
                <w:tcPr>
                  <w:tcW w:w="1133" w:type="pct"/>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监测点坐标（°）</w:t>
                  </w:r>
                </w:p>
              </w:tc>
              <w:tc>
                <w:tcPr>
                  <w:tcW w:w="634"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污染物</w:t>
                  </w:r>
                </w:p>
              </w:tc>
              <w:tc>
                <w:tcPr>
                  <w:tcW w:w="342"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平均时间</w:t>
                  </w:r>
                </w:p>
              </w:tc>
              <w:tc>
                <w:tcPr>
                  <w:tcW w:w="586"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评价标准</w:t>
                  </w:r>
                </w:p>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（mg/m</w:t>
                  </w:r>
                  <w:r>
                    <w:rPr>
                      <w:rFonts w:hint="default" w:ascii="Times New Roman" w:hAnsi="Times New Roman" w:eastAsia="宋体" w:cs="Times New Roman"/>
                      <w:color w:val="auto"/>
                      <w:spacing w:val="-11"/>
                      <w:kern w:val="2"/>
                      <w:sz w:val="21"/>
                      <w:szCs w:val="21"/>
                      <w:vertAlign w:val="superscript"/>
                    </w:rPr>
                    <w:t>3</w:t>
                  </w:r>
                  <w:r>
                    <w:rPr>
                      <w:rFonts w:hint="default" w:ascii="Times New Roman" w:hAnsi="Times New Roman" w:eastAsia="宋体" w:cs="Times New Roman"/>
                      <w:color w:val="auto"/>
                      <w:spacing w:val="-11"/>
                      <w:kern w:val="2"/>
                      <w:sz w:val="21"/>
                      <w:szCs w:val="21"/>
                    </w:rPr>
                    <w:t>）</w:t>
                  </w:r>
                </w:p>
              </w:tc>
              <w:tc>
                <w:tcPr>
                  <w:tcW w:w="758"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监测浓度范围（mg/m</w:t>
                  </w:r>
                  <w:r>
                    <w:rPr>
                      <w:rFonts w:hint="default" w:ascii="Times New Roman" w:hAnsi="Times New Roman" w:eastAsia="宋体" w:cs="Times New Roman"/>
                      <w:color w:val="auto"/>
                      <w:spacing w:val="-11"/>
                      <w:kern w:val="2"/>
                      <w:sz w:val="21"/>
                      <w:szCs w:val="21"/>
                      <w:vertAlign w:val="superscript"/>
                    </w:rPr>
                    <w:t>3</w:t>
                  </w:r>
                  <w:r>
                    <w:rPr>
                      <w:rFonts w:hint="default" w:ascii="Times New Roman" w:hAnsi="Times New Roman" w:eastAsia="宋体" w:cs="Times New Roman"/>
                      <w:color w:val="auto"/>
                      <w:spacing w:val="-11"/>
                      <w:kern w:val="2"/>
                      <w:sz w:val="21"/>
                      <w:szCs w:val="21"/>
                    </w:rPr>
                    <w:t>）</w:t>
                  </w:r>
                </w:p>
              </w:tc>
              <w:tc>
                <w:tcPr>
                  <w:tcW w:w="546"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最大浓度占标率（%）</w:t>
                  </w:r>
                </w:p>
              </w:tc>
              <w:tc>
                <w:tcPr>
                  <w:tcW w:w="359"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超标率（%）</w:t>
                  </w:r>
                </w:p>
              </w:tc>
              <w:tc>
                <w:tcPr>
                  <w:tcW w:w="282" w:type="pct"/>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53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N</w:t>
                  </w:r>
                </w:p>
              </w:tc>
              <w:tc>
                <w:tcPr>
                  <w:tcW w:w="59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E</w:t>
                  </w:r>
                </w:p>
              </w:tc>
              <w:tc>
                <w:tcPr>
                  <w:tcW w:w="634"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342"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58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7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546"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359"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282"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restart"/>
                  <w:tcBorders>
                    <w:left w:val="single" w:color="auto" w:sz="4" w:space="0"/>
                    <w:right w:val="single" w:color="auto" w:sz="4" w:space="0"/>
                  </w:tcBorders>
                  <w:noWrap w:val="0"/>
                  <w:vAlign w:val="center"/>
                </w:tcPr>
                <w:p>
                  <w:pPr>
                    <w:keepNext w:val="0"/>
                    <w:keepLines w:val="0"/>
                    <w:pageBreakBefore w:val="0"/>
                    <w:widowControl/>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0"/>
                      <w:sz w:val="21"/>
                      <w:szCs w:val="21"/>
                    </w:rPr>
                    <w:t>1#厂址</w:t>
                  </w:r>
                </w:p>
              </w:tc>
              <w:tc>
                <w:tcPr>
                  <w:tcW w:w="535" w:type="pct"/>
                  <w:vMerge w:val="restart"/>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31.296390</w:t>
                  </w:r>
                </w:p>
              </w:tc>
              <w:tc>
                <w:tcPr>
                  <w:tcW w:w="597" w:type="pct"/>
                  <w:vMerge w:val="restart"/>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107.441937</w:t>
                  </w:r>
                </w:p>
              </w:tc>
              <w:tc>
                <w:tcPr>
                  <w:tcW w:w="634"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非甲烷总烃</w:t>
                  </w:r>
                </w:p>
              </w:tc>
              <w:tc>
                <w:tcPr>
                  <w:tcW w:w="342" w:type="pct"/>
                  <w:vMerge w:val="restar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1小时平均</w:t>
                  </w:r>
                </w:p>
              </w:tc>
              <w:tc>
                <w:tcPr>
                  <w:tcW w:w="586"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780</w:t>
                  </w:r>
                  <w:r>
                    <w:rPr>
                      <w:rFonts w:hint="default" w:ascii="Times New Roman" w:hAnsi="Times New Roman" w:eastAsia="宋体" w:cs="Times New Roman"/>
                      <w:color w:val="auto"/>
                      <w:spacing w:val="-11"/>
                      <w:kern w:val="2"/>
                      <w:sz w:val="21"/>
                      <w:szCs w:val="21"/>
                    </w:rPr>
                    <w:t>~</w:t>
                  </w:r>
                  <w:r>
                    <w:rPr>
                      <w:rFonts w:hint="default" w:ascii="Times New Roman" w:hAnsi="Times New Roman" w:eastAsia="宋体" w:cs="Times New Roman"/>
                      <w:color w:val="auto"/>
                      <w:spacing w:val="-11"/>
                      <w:kern w:val="2"/>
                      <w:sz w:val="21"/>
                      <w:szCs w:val="21"/>
                      <w:lang w:val="en-US" w:eastAsia="zh-CN"/>
                    </w:rPr>
                    <w:t>1.39</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69.5</w:t>
                  </w:r>
                </w:p>
              </w:tc>
              <w:tc>
                <w:tcPr>
                  <w:tcW w:w="3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97" w:type="pct"/>
                  <w:vMerge w:val="continue"/>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634"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H</w:t>
                  </w:r>
                  <w:r>
                    <w:rPr>
                      <w:rFonts w:hint="default" w:ascii="Times New Roman" w:hAnsi="Times New Roman" w:eastAsia="宋体" w:cs="Times New Roman"/>
                      <w:color w:val="auto"/>
                      <w:spacing w:val="-11"/>
                      <w:kern w:val="2"/>
                      <w:sz w:val="21"/>
                      <w:szCs w:val="21"/>
                      <w:vertAlign w:val="subscript"/>
                    </w:rPr>
                    <w:t>2</w:t>
                  </w:r>
                  <w:r>
                    <w:rPr>
                      <w:rFonts w:hint="default" w:ascii="Times New Roman" w:hAnsi="Times New Roman" w:eastAsia="宋体" w:cs="Times New Roman"/>
                      <w:color w:val="auto"/>
                      <w:spacing w:val="-11"/>
                      <w:kern w:val="2"/>
                      <w:sz w:val="21"/>
                      <w:szCs w:val="21"/>
                    </w:rPr>
                    <w:t>S</w:t>
                  </w:r>
                </w:p>
              </w:tc>
              <w:tc>
                <w:tcPr>
                  <w:tcW w:w="342" w:type="pct"/>
                  <w:vMerge w:val="continue"/>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0.01</w:t>
                  </w:r>
                </w:p>
              </w:tc>
              <w:tc>
                <w:tcPr>
                  <w:tcW w:w="7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eastAsia="zh-CN"/>
                    </w:rPr>
                  </w:pPr>
                  <w:r>
                    <w:rPr>
                      <w:rFonts w:hint="default" w:ascii="Times New Roman" w:hAnsi="Times New Roman" w:eastAsia="宋体" w:cs="Times New Roman"/>
                      <w:color w:val="auto"/>
                      <w:spacing w:val="-11"/>
                      <w:kern w:val="2"/>
                      <w:sz w:val="21"/>
                      <w:szCs w:val="21"/>
                    </w:rPr>
                    <w:t>0.003~0.00</w:t>
                  </w:r>
                  <w:r>
                    <w:rPr>
                      <w:rFonts w:hint="default" w:ascii="Times New Roman" w:hAnsi="Times New Roman" w:eastAsia="宋体" w:cs="Times New Roman"/>
                      <w:color w:val="auto"/>
                      <w:spacing w:val="-11"/>
                      <w:kern w:val="2"/>
                      <w:sz w:val="21"/>
                      <w:szCs w:val="21"/>
                      <w:lang w:val="en-US" w:eastAsia="zh-CN"/>
                    </w:rPr>
                    <w:t>7</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lang w:val="en-US" w:eastAsia="zh-CN"/>
                    </w:rPr>
                    <w:t>7</w:t>
                  </w:r>
                  <w:r>
                    <w:rPr>
                      <w:rFonts w:hint="default" w:ascii="Times New Roman" w:hAnsi="Times New Roman" w:eastAsia="宋体" w:cs="Times New Roman"/>
                      <w:color w:val="auto"/>
                      <w:spacing w:val="-11"/>
                      <w:kern w:val="2"/>
                      <w:sz w:val="21"/>
                      <w:szCs w:val="21"/>
                    </w:rPr>
                    <w:t>0</w:t>
                  </w:r>
                </w:p>
              </w:tc>
              <w:tc>
                <w:tcPr>
                  <w:tcW w:w="3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pPr>
                    <w:keepNext w:val="0"/>
                    <w:keepLines w:val="0"/>
                    <w:pageBreakBefore w:val="0"/>
                    <w:widowControl w:val="0"/>
                    <w:tabs>
                      <w:tab w:val="left" w:pos="3580"/>
                    </w:tabs>
                    <w:kinsoku/>
                    <w:wordWrap/>
                    <w:overflowPunct/>
                    <w:topLinePunct/>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597" w:type="pct"/>
                  <w:vMerge w:val="continue"/>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634"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0"/>
                      <w:sz w:val="21"/>
                      <w:szCs w:val="21"/>
                      <w:lang w:val="en-US" w:eastAsia="zh-CN" w:bidi="ar-SA"/>
                    </w:rPr>
                    <w:t>NH</w:t>
                  </w:r>
                  <w:r>
                    <w:rPr>
                      <w:rFonts w:hint="default" w:ascii="Times New Roman" w:hAnsi="Times New Roman" w:eastAsia="宋体" w:cs="Times New Roman"/>
                      <w:color w:val="auto"/>
                      <w:spacing w:val="-11"/>
                      <w:kern w:val="0"/>
                      <w:sz w:val="21"/>
                      <w:szCs w:val="21"/>
                      <w:vertAlign w:val="subscript"/>
                      <w:lang w:val="en-US" w:eastAsia="zh-CN" w:bidi="ar-SA"/>
                    </w:rPr>
                    <w:t>3</w:t>
                  </w:r>
                </w:p>
              </w:tc>
              <w:tc>
                <w:tcPr>
                  <w:tcW w:w="342" w:type="pct"/>
                  <w:vMerge w:val="continue"/>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0.0108~0.0219</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11</w:t>
                  </w:r>
                </w:p>
              </w:tc>
              <w:tc>
                <w:tcPr>
                  <w:tcW w:w="3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restart"/>
                  <w:tcBorders>
                    <w:left w:val="single" w:color="auto" w:sz="4" w:space="0"/>
                    <w:right w:val="single" w:color="auto" w:sz="4" w:space="0"/>
                  </w:tcBorders>
                  <w:noWrap w:val="0"/>
                  <w:vAlign w:val="center"/>
                </w:tcPr>
                <w:p>
                  <w:pPr>
                    <w:keepNext w:val="0"/>
                    <w:keepLines w:val="0"/>
                    <w:pageBreakBefore w:val="0"/>
                    <w:kinsoku/>
                    <w:wordWrap/>
                    <w:overflowPunct/>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sz w:val="21"/>
                      <w:szCs w:val="21"/>
                      <w:lang w:val="en-US" w:eastAsia="zh-CN" w:bidi="ar-SA"/>
                    </w:rPr>
                    <w:t>2#双龙镇西</w:t>
                  </w:r>
                </w:p>
              </w:tc>
              <w:tc>
                <w:tcPr>
                  <w:tcW w:w="535" w:type="pct"/>
                  <w:vMerge w:val="restart"/>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31.289249</w:t>
                  </w:r>
                </w:p>
              </w:tc>
              <w:tc>
                <w:tcPr>
                  <w:tcW w:w="597" w:type="pct"/>
                  <w:vMerge w:val="restart"/>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107.438723</w:t>
                  </w:r>
                </w:p>
              </w:tc>
              <w:tc>
                <w:tcPr>
                  <w:tcW w:w="634"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eastAsia"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2"/>
                      <w:sz w:val="21"/>
                      <w:szCs w:val="21"/>
                    </w:rPr>
                    <w:t>非甲烷总烃</w:t>
                  </w:r>
                  <w:r>
                    <w:rPr>
                      <w:rFonts w:hint="eastAsia" w:cs="Times New Roman"/>
                      <w:color w:val="auto"/>
                      <w:spacing w:val="-11"/>
                      <w:kern w:val="2"/>
                      <w:sz w:val="21"/>
                      <w:szCs w:val="21"/>
                      <w:lang w:eastAsia="zh-CN"/>
                    </w:rPr>
                    <w:t>（</w:t>
                  </w:r>
                  <w:r>
                    <w:rPr>
                      <w:rFonts w:hint="eastAsia" w:cs="Times New Roman"/>
                      <w:color w:val="auto"/>
                      <w:spacing w:val="-11"/>
                      <w:kern w:val="2"/>
                      <w:sz w:val="21"/>
                      <w:szCs w:val="21"/>
                      <w:lang w:val="en-US" w:eastAsia="zh-CN"/>
                    </w:rPr>
                    <w:t>TVOC</w:t>
                  </w:r>
                  <w:r>
                    <w:rPr>
                      <w:rFonts w:hint="eastAsia" w:cs="Times New Roman"/>
                      <w:color w:val="auto"/>
                      <w:spacing w:val="-11"/>
                      <w:kern w:val="2"/>
                      <w:sz w:val="21"/>
                      <w:szCs w:val="21"/>
                      <w:lang w:eastAsia="zh-CN"/>
                    </w:rPr>
                    <w:t>）</w:t>
                  </w:r>
                </w:p>
              </w:tc>
              <w:tc>
                <w:tcPr>
                  <w:tcW w:w="342" w:type="pct"/>
                  <w:vMerge w:val="restar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kern w:val="2"/>
                      <w:sz w:val="21"/>
                      <w:szCs w:val="21"/>
                    </w:rPr>
                    <w:t>1小时平均</w:t>
                  </w:r>
                </w:p>
              </w:tc>
              <w:tc>
                <w:tcPr>
                  <w:tcW w:w="586"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807</w:t>
                  </w:r>
                  <w:r>
                    <w:rPr>
                      <w:rFonts w:hint="default" w:ascii="Times New Roman" w:hAnsi="Times New Roman" w:eastAsia="宋体" w:cs="Times New Roman"/>
                      <w:color w:val="auto"/>
                      <w:spacing w:val="-11"/>
                      <w:kern w:val="2"/>
                      <w:sz w:val="21"/>
                      <w:szCs w:val="21"/>
                    </w:rPr>
                    <w:t>~</w:t>
                  </w:r>
                  <w:r>
                    <w:rPr>
                      <w:rFonts w:hint="default" w:ascii="Times New Roman" w:hAnsi="Times New Roman" w:eastAsia="宋体" w:cs="Times New Roman"/>
                      <w:color w:val="auto"/>
                      <w:spacing w:val="-11"/>
                      <w:kern w:val="2"/>
                      <w:sz w:val="21"/>
                      <w:szCs w:val="21"/>
                      <w:lang w:val="en-US" w:eastAsia="zh-CN"/>
                    </w:rPr>
                    <w:t>1.27</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63.5</w:t>
                  </w:r>
                </w:p>
              </w:tc>
              <w:tc>
                <w:tcPr>
                  <w:tcW w:w="3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pPr>
                    <w:keepNext w:val="0"/>
                    <w:keepLines w:val="0"/>
                    <w:pageBreakBefore w:val="0"/>
                    <w:widowControl w:val="0"/>
                    <w:tabs>
                      <w:tab w:val="left" w:pos="3580"/>
                    </w:tabs>
                    <w:kinsoku/>
                    <w:wordWrap/>
                    <w:overflowPunct/>
                    <w:topLinePunct/>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597" w:type="pct"/>
                  <w:vMerge w:val="continue"/>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634"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2"/>
                      <w:sz w:val="21"/>
                      <w:szCs w:val="21"/>
                    </w:rPr>
                    <w:t>H</w:t>
                  </w:r>
                  <w:r>
                    <w:rPr>
                      <w:rFonts w:hint="default" w:ascii="Times New Roman" w:hAnsi="Times New Roman" w:eastAsia="宋体" w:cs="Times New Roman"/>
                      <w:color w:val="auto"/>
                      <w:spacing w:val="-11"/>
                      <w:kern w:val="2"/>
                      <w:sz w:val="21"/>
                      <w:szCs w:val="21"/>
                      <w:vertAlign w:val="subscript"/>
                    </w:rPr>
                    <w:t>2</w:t>
                  </w:r>
                  <w:r>
                    <w:rPr>
                      <w:rFonts w:hint="default" w:ascii="Times New Roman" w:hAnsi="Times New Roman" w:eastAsia="宋体" w:cs="Times New Roman"/>
                      <w:color w:val="auto"/>
                      <w:spacing w:val="-11"/>
                      <w:kern w:val="2"/>
                      <w:sz w:val="21"/>
                      <w:szCs w:val="21"/>
                    </w:rPr>
                    <w:t>S</w:t>
                  </w:r>
                </w:p>
              </w:tc>
              <w:tc>
                <w:tcPr>
                  <w:tcW w:w="342" w:type="pct"/>
                  <w:vMerge w:val="continue"/>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0.01</w:t>
                  </w:r>
                </w:p>
              </w:tc>
              <w:tc>
                <w:tcPr>
                  <w:tcW w:w="7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0.00</w:t>
                  </w:r>
                  <w:r>
                    <w:rPr>
                      <w:rFonts w:hint="default" w:ascii="Times New Roman" w:hAnsi="Times New Roman" w:eastAsia="宋体" w:cs="Times New Roman"/>
                      <w:color w:val="auto"/>
                      <w:spacing w:val="-11"/>
                      <w:kern w:val="2"/>
                      <w:sz w:val="21"/>
                      <w:szCs w:val="21"/>
                      <w:lang w:val="en-US" w:eastAsia="zh-CN"/>
                    </w:rPr>
                    <w:t>4</w:t>
                  </w:r>
                  <w:r>
                    <w:rPr>
                      <w:rFonts w:hint="default" w:ascii="Times New Roman" w:hAnsi="Times New Roman" w:eastAsia="宋体" w:cs="Times New Roman"/>
                      <w:color w:val="auto"/>
                      <w:spacing w:val="-11"/>
                      <w:kern w:val="2"/>
                      <w:sz w:val="21"/>
                      <w:szCs w:val="21"/>
                    </w:rPr>
                    <w:t>~0.00</w:t>
                  </w:r>
                  <w:r>
                    <w:rPr>
                      <w:rFonts w:hint="default" w:ascii="Times New Roman" w:hAnsi="Times New Roman" w:eastAsia="宋体" w:cs="Times New Roman"/>
                      <w:color w:val="auto"/>
                      <w:spacing w:val="-11"/>
                      <w:kern w:val="2"/>
                      <w:sz w:val="21"/>
                      <w:szCs w:val="21"/>
                      <w:lang w:val="en-US" w:eastAsia="zh-CN"/>
                    </w:rPr>
                    <w:t>7</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70</w:t>
                  </w:r>
                </w:p>
              </w:tc>
              <w:tc>
                <w:tcPr>
                  <w:tcW w:w="3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pPr>
                    <w:keepNext w:val="0"/>
                    <w:keepLines w:val="0"/>
                    <w:pageBreakBefore w:val="0"/>
                    <w:widowControl w:val="0"/>
                    <w:tabs>
                      <w:tab w:val="left" w:pos="3580"/>
                    </w:tabs>
                    <w:kinsoku/>
                    <w:wordWrap/>
                    <w:overflowPunct/>
                    <w:topLinePunct/>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597" w:type="pct"/>
                  <w:vMerge w:val="continue"/>
                  <w:tcBorders>
                    <w:left w:val="nil"/>
                    <w:right w:val="single" w:color="auto" w:sz="4" w:space="0"/>
                  </w:tcBorders>
                  <w:noWrap w:val="0"/>
                  <w:vAlign w:val="center"/>
                </w:tcPr>
                <w:p>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634"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lang w:val="en-US" w:eastAsia="zh-CN" w:bidi="ar-SA"/>
                    </w:rPr>
                    <w:t>NH</w:t>
                  </w:r>
                  <w:r>
                    <w:rPr>
                      <w:rFonts w:hint="default" w:ascii="Times New Roman" w:hAnsi="Times New Roman" w:eastAsia="宋体" w:cs="Times New Roman"/>
                      <w:color w:val="auto"/>
                      <w:spacing w:val="-11"/>
                      <w:kern w:val="0"/>
                      <w:sz w:val="21"/>
                      <w:szCs w:val="21"/>
                      <w:vertAlign w:val="subscript"/>
                      <w:lang w:val="en-US" w:eastAsia="zh-CN" w:bidi="ar-SA"/>
                    </w:rPr>
                    <w:t>3</w:t>
                  </w:r>
                </w:p>
              </w:tc>
              <w:tc>
                <w:tcPr>
                  <w:tcW w:w="342" w:type="pct"/>
                  <w:vMerge w:val="continue"/>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rPr>
                  </w:pPr>
                  <w:r>
                    <w:rPr>
                      <w:rFonts w:hint="default" w:ascii="Times New Roman" w:hAnsi="Times New Roman" w:eastAsia="宋体" w:cs="Times New Roman"/>
                      <w:color w:val="auto"/>
                      <w:spacing w:val="-11"/>
                      <w:kern w:val="2"/>
                      <w:sz w:val="21"/>
                      <w:szCs w:val="21"/>
                      <w:lang w:val="en-US" w:eastAsia="zh-CN"/>
                    </w:rPr>
                    <w:t>0.0110~0.0199</w:t>
                  </w:r>
                </w:p>
              </w:tc>
              <w:tc>
                <w:tcPr>
                  <w:tcW w:w="54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9.95</w:t>
                  </w:r>
                </w:p>
              </w:tc>
              <w:tc>
                <w:tcPr>
                  <w:tcW w:w="3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lang w:val="en-US"/>
              </w:rPr>
            </w:pPr>
            <w:r>
              <w:rPr>
                <w:rFonts w:hint="eastAsia" w:cs="Times New Roman"/>
                <w:color w:val="auto"/>
                <w:kern w:val="0"/>
                <w:sz w:val="24"/>
                <w:szCs w:val="24"/>
                <w:highlight w:val="none"/>
                <w:lang w:eastAsia="zh-CN" w:bidi="ar"/>
              </w:rPr>
              <w:t>根据现状监测结果可知</w:t>
            </w:r>
            <w:r>
              <w:rPr>
                <w:rFonts w:hint="default" w:ascii="Times New Roman" w:hAnsi="Times New Roman" w:cs="Times New Roman"/>
                <w:color w:val="auto"/>
                <w:kern w:val="0"/>
                <w:sz w:val="24"/>
                <w:szCs w:val="24"/>
                <w:highlight w:val="none"/>
                <w:lang w:bidi="ar"/>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 xml:space="preserve">S </w:t>
            </w:r>
            <w:r>
              <w:rPr>
                <w:rFonts w:hint="eastAsia" w:cs="Times New Roman"/>
                <w:color w:val="auto"/>
                <w:kern w:val="0"/>
                <w:sz w:val="24"/>
                <w:szCs w:val="24"/>
                <w:highlight w:val="none"/>
                <w:lang w:val="en-US" w:eastAsia="zh-CN" w:bidi="ar"/>
              </w:rPr>
              <w:t>1</w:t>
            </w:r>
            <w:r>
              <w:rPr>
                <w:rFonts w:hint="default" w:ascii="Times New Roman" w:hAnsi="Times New Roman" w:cs="Times New Roman"/>
                <w:color w:val="auto"/>
                <w:kern w:val="0"/>
                <w:sz w:val="24"/>
                <w:szCs w:val="24"/>
                <w:highlight w:val="none"/>
                <w:lang w:bidi="ar"/>
              </w:rPr>
              <w:t>小时平均浓度满足《环境影响评价技术导则 大气环境》（HJ2.2-2018）附录D中推荐的其他污染物空气质量浓度参考</w:t>
            </w:r>
            <w:r>
              <w:rPr>
                <w:rFonts w:hint="eastAsia" w:cs="Times New Roman"/>
                <w:color w:val="auto"/>
                <w:kern w:val="0"/>
                <w:sz w:val="24"/>
                <w:szCs w:val="24"/>
                <w:highlight w:val="none"/>
                <w:lang w:eastAsia="zh-CN" w:bidi="ar"/>
              </w:rPr>
              <w:t>限值；</w:t>
            </w:r>
            <w:r>
              <w:rPr>
                <w:rFonts w:hint="eastAsia" w:cs="Times New Roman"/>
                <w:color w:val="auto"/>
                <w:sz w:val="24"/>
                <w:szCs w:val="24"/>
                <w:highlight w:val="none"/>
                <w:lang w:val="en-US" w:eastAsia="zh-CN"/>
              </w:rPr>
              <w:t>非甲烷总烃满足河北省地方标准《环境空气质量  非甲烷总烃限值》（DB13/1577-2012）表1二级标准。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imes New Roman" w:hAnsi="Times New Roman" w:eastAsia="宋体" w:cs="Times New Roman"/>
                <w:b/>
                <w:bCs/>
                <w:color w:val="auto"/>
                <w:spacing w:val="0"/>
                <w:kern w:val="0"/>
                <w:sz w:val="24"/>
                <w:szCs w:val="24"/>
                <w:highlight w:val="none"/>
                <w:lang w:val="en-US" w:eastAsia="zh-CN" w:bidi="ar"/>
              </w:rPr>
            </w:pPr>
            <w:r>
              <w:rPr>
                <w:rFonts w:hint="eastAsia" w:ascii="Times New Roman" w:hAnsi="Times New Roman" w:eastAsia="宋体" w:cs="Times New Roman"/>
                <w:b/>
                <w:bCs/>
                <w:color w:val="auto"/>
                <w:spacing w:val="0"/>
                <w:kern w:val="0"/>
                <w:sz w:val="24"/>
                <w:szCs w:val="24"/>
                <w:highlight w:val="none"/>
                <w:lang w:val="en-US" w:eastAsia="zh-CN" w:bidi="ar"/>
              </w:rPr>
              <w:t>二、地表水环境质量现状</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待双龙镇污水处理厂扩建完成后，本项目产生的废水经库区废水处理站处理后排入双龙镇污水处理厂进一步处理，废水经双龙镇污水处理厂处理达标后排入州河。</w:t>
            </w:r>
          </w:p>
          <w:p>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aps/>
                <w:color w:val="auto"/>
                <w:kern w:val="2"/>
                <w:sz w:val="24"/>
                <w:szCs w:val="24"/>
                <w:highlight w:val="none"/>
                <w:lang w:val="en-US" w:eastAsia="zh-CN" w:bidi="ar-SA"/>
              </w:rPr>
            </w:pPr>
            <w:r>
              <w:rPr>
                <w:rFonts w:hint="eastAsia" w:ascii="Times New Roman" w:hAnsi="Times New Roman" w:eastAsia="宋体" w:cs="Times New Roman"/>
                <w:b w:val="0"/>
                <w:bCs w:val="0"/>
                <w:caps/>
                <w:color w:val="auto"/>
                <w:kern w:val="2"/>
                <w:sz w:val="24"/>
                <w:szCs w:val="24"/>
                <w:highlight w:val="none"/>
                <w:lang w:val="en-US" w:eastAsia="zh-CN" w:bidi="ar-SA"/>
              </w:rPr>
              <w:t>根据《2022年9月达州市地表水水质月报》2022年9月全市33个河流断面中，优(I~Ⅱ类)、良（Ⅲ类）水质断面33个，占比100%。其中，II类水质断面16个，占24.2%；III类水质断面25个，占75.8%。</w:t>
            </w:r>
          </w:p>
          <w:p>
            <w:pPr>
              <w:widowControl/>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rPr>
              <w:t>本项目位于通川区双龙镇，项目区域生活污水经本项目建成的污水管网进入双龙镇</w:t>
            </w:r>
            <w:r>
              <w:rPr>
                <w:rFonts w:hint="eastAsia" w:ascii="Times New Roman" w:hAnsi="Times New Roman" w:cs="Times New Roman"/>
                <w:color w:val="auto"/>
                <w:kern w:val="0"/>
                <w:sz w:val="24"/>
                <w:szCs w:val="24"/>
                <w:lang w:eastAsia="zh-CN"/>
              </w:rPr>
              <w:t>废水处理站</w:t>
            </w:r>
            <w:r>
              <w:rPr>
                <w:rFonts w:hint="default" w:ascii="Times New Roman" w:hAnsi="Times New Roman" w:eastAsia="宋体" w:cs="Times New Roman"/>
                <w:color w:val="auto"/>
                <w:kern w:val="0"/>
                <w:sz w:val="24"/>
                <w:szCs w:val="24"/>
              </w:rPr>
              <w:t>处理达标后排入双龙河。为了解双龙河地表水环境质量现状，本次评价</w:t>
            </w:r>
            <w:r>
              <w:rPr>
                <w:rFonts w:hint="eastAsia" w:cs="Times New Roman"/>
                <w:color w:val="auto"/>
                <w:kern w:val="0"/>
                <w:sz w:val="24"/>
                <w:szCs w:val="24"/>
                <w:lang w:val="en-US" w:eastAsia="zh-CN"/>
              </w:rPr>
              <w:t>引用《四川双龙物流园A区规划环境影响报告书》内监测报告的数据，监测单位为四川锡水金山环保科技有限公司，</w:t>
            </w:r>
            <w:r>
              <w:rPr>
                <w:rFonts w:hint="default" w:ascii="Times New Roman" w:hAnsi="Times New Roman" w:eastAsia="宋体" w:cs="Times New Roman"/>
                <w:color w:val="auto"/>
                <w:kern w:val="0"/>
                <w:sz w:val="24"/>
                <w:szCs w:val="24"/>
              </w:rPr>
              <w:t>该</w:t>
            </w:r>
            <w:r>
              <w:rPr>
                <w:rFonts w:hint="default" w:ascii="Times New Roman" w:hAnsi="Times New Roman" w:eastAsia="宋体" w:cs="Times New Roman"/>
                <w:color w:val="auto"/>
                <w:kern w:val="0"/>
                <w:sz w:val="24"/>
                <w:szCs w:val="24"/>
                <w:lang w:val="en-US" w:eastAsia="zh-CN"/>
              </w:rPr>
              <w:t>监测时间为</w:t>
            </w:r>
            <w:r>
              <w:rPr>
                <w:rFonts w:hint="eastAsia" w:cs="Times New Roman"/>
                <w:color w:val="auto"/>
                <w:kern w:val="0"/>
                <w:sz w:val="24"/>
                <w:szCs w:val="24"/>
                <w:lang w:val="en-US" w:eastAsia="zh-CN"/>
              </w:rPr>
              <w:t>2021.12.24-2021.12.26</w:t>
            </w:r>
            <w:r>
              <w:rPr>
                <w:rFonts w:hint="default" w:ascii="Times New Roman" w:hAnsi="Times New Roman" w:eastAsia="宋体" w:cs="Times New Roman"/>
                <w:color w:val="auto"/>
                <w:kern w:val="0"/>
                <w:sz w:val="24"/>
                <w:szCs w:val="24"/>
                <w:lang w:val="en-US" w:eastAsia="zh-CN"/>
              </w:rPr>
              <w:t>，连续监测3天，每天监测一次。</w:t>
            </w:r>
          </w:p>
          <w:p>
            <w:pPr>
              <w:widowControl/>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bCs w:val="0"/>
                <w:color w:val="auto"/>
                <w:kern w:val="0"/>
                <w:sz w:val="24"/>
                <w:szCs w:val="24"/>
              </w:rPr>
              <w:t>（1）监</w:t>
            </w:r>
            <w:r>
              <w:rPr>
                <w:rFonts w:hint="default" w:ascii="Times New Roman" w:hAnsi="Times New Roman" w:eastAsia="宋体" w:cs="Times New Roman"/>
                <w:color w:val="auto"/>
                <w:kern w:val="0"/>
                <w:sz w:val="24"/>
                <w:szCs w:val="24"/>
              </w:rPr>
              <w:t>测方案</w:t>
            </w:r>
          </w:p>
          <w:p>
            <w:pPr>
              <w:widowControl/>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监测布点及监测项目如下：</w:t>
            </w: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表3-</w:t>
            </w:r>
            <w:r>
              <w:rPr>
                <w:rFonts w:hint="default" w:ascii="Times New Roman" w:hAnsi="Times New Roman" w:eastAsia="宋体" w:cs="Times New Roman"/>
                <w:b/>
                <w:bCs/>
                <w:color w:val="auto"/>
                <w:kern w:val="0"/>
                <w:sz w:val="24"/>
                <w:szCs w:val="24"/>
                <w:lang w:val="en-US" w:eastAsia="zh-CN"/>
              </w:rPr>
              <w:t xml:space="preserve">4    </w:t>
            </w:r>
            <w:r>
              <w:rPr>
                <w:rFonts w:hint="default" w:ascii="Times New Roman" w:hAnsi="Times New Roman" w:eastAsia="宋体" w:cs="Times New Roman"/>
                <w:b/>
                <w:bCs/>
                <w:color w:val="auto"/>
                <w:kern w:val="0"/>
                <w:sz w:val="24"/>
                <w:szCs w:val="24"/>
              </w:rPr>
              <w:t>项目地表水环境监测方案</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24"/>
              <w:gridCol w:w="2123"/>
              <w:gridCol w:w="1063"/>
              <w:gridCol w:w="2825"/>
              <w:gridCol w:w="14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2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32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监测点名称</w:t>
                  </w:r>
                </w:p>
              </w:tc>
              <w:tc>
                <w:tcPr>
                  <w:tcW w:w="663"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监测对象</w:t>
                  </w:r>
                </w:p>
              </w:tc>
              <w:tc>
                <w:tcPr>
                  <w:tcW w:w="176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监测因子</w:t>
                  </w:r>
                </w:p>
              </w:tc>
              <w:tc>
                <w:tcPr>
                  <w:tcW w:w="921"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2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32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双龙河：双龙镇污水处理厂排放口上游</w:t>
                  </w:r>
                  <w:r>
                    <w:rPr>
                      <w:rFonts w:hint="eastAsia"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0m</w:t>
                  </w:r>
                </w:p>
              </w:tc>
              <w:tc>
                <w:tcPr>
                  <w:tcW w:w="66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1762"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cs="Times New Roman"/>
                      <w:color w:val="auto"/>
                      <w:kern w:val="0"/>
                      <w:szCs w:val="20"/>
                    </w:rPr>
                    <w:t>水温、pH、溶解氧、CODcr、BOD</w:t>
                  </w:r>
                  <w:r>
                    <w:rPr>
                      <w:rFonts w:cs="Times New Roman"/>
                      <w:color w:val="auto"/>
                      <w:kern w:val="0"/>
                      <w:szCs w:val="20"/>
                      <w:vertAlign w:val="subscript"/>
                    </w:rPr>
                    <w:t>5</w:t>
                  </w:r>
                  <w:r>
                    <w:rPr>
                      <w:rFonts w:cs="Times New Roman"/>
                      <w:color w:val="auto"/>
                      <w:kern w:val="0"/>
                      <w:szCs w:val="20"/>
                    </w:rPr>
                    <w:t>、总氮、氨氮、总磷、铜、锌、氟化物、硒、砷、汞、镉、六价铬、铅、氯化物、挥发酚、石油类、LAS、硫化物、粪大肠菌群</w:t>
                  </w:r>
                </w:p>
              </w:tc>
              <w:tc>
                <w:tcPr>
                  <w:tcW w:w="92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eastAsia" w:eastAsia="宋体" w:cs="Times New Roman"/>
                      <w:color w:val="auto"/>
                      <w:kern w:val="0"/>
                      <w:szCs w:val="20"/>
                      <w:lang w:val="en-US" w:eastAsia="zh-CN"/>
                    </w:rPr>
                  </w:pPr>
                  <w:r>
                    <w:rPr>
                      <w:rFonts w:hint="eastAsia" w:cs="Times New Roman"/>
                      <w:color w:val="auto"/>
                      <w:kern w:val="0"/>
                      <w:szCs w:val="20"/>
                      <w:lang w:val="en-US" w:eastAsia="zh-CN"/>
                    </w:rPr>
                    <w:t>引用《四川双龙物流园A区规划环境影响报告书》内监测报告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2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32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双龙河：双龙镇污水处理厂排放口下游</w:t>
                  </w:r>
                  <w:r>
                    <w:rPr>
                      <w:rFonts w:hint="eastAsia"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0m</w:t>
                  </w:r>
                </w:p>
              </w:tc>
              <w:tc>
                <w:tcPr>
                  <w:tcW w:w="66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p>
              </w:tc>
              <w:tc>
                <w:tcPr>
                  <w:tcW w:w="176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p>
              </w:tc>
              <w:tc>
                <w:tcPr>
                  <w:tcW w:w="92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p>
              </w:tc>
            </w:tr>
          </w:tbl>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rPr>
              <w:t>）地表水环境质量现状评价</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地表水环境质量现状评价</w:t>
            </w:r>
            <w:r>
              <w:rPr>
                <w:rFonts w:hint="eastAsia" w:cs="Times New Roman"/>
                <w:color w:val="auto"/>
                <w:kern w:val="0"/>
                <w:sz w:val="24"/>
                <w:szCs w:val="24"/>
                <w:lang w:val="en-US" w:eastAsia="zh-CN"/>
              </w:rPr>
              <w:t>因子</w:t>
            </w:r>
            <w:r>
              <w:rPr>
                <w:rFonts w:hint="default" w:ascii="Times New Roman" w:hAnsi="Times New Roman" w:eastAsia="宋体" w:cs="Times New Roman"/>
                <w:color w:val="auto"/>
                <w:kern w:val="0"/>
                <w:sz w:val="24"/>
                <w:szCs w:val="24"/>
              </w:rPr>
              <w:t>均采用《地表水环境质量标准》（GB3838-2002）中Ⅲ类水域标准进行。</w:t>
            </w:r>
          </w:p>
          <w:p>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①采用单因子指数法</w:t>
            </w:r>
          </w:p>
          <w:p>
            <w:pPr>
              <w:widowControl/>
              <w:spacing w:line="440" w:lineRule="exact"/>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0i</w:t>
            </w:r>
          </w:p>
          <w:p>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式中：P</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—i种污染物的标准指数；</w:t>
            </w:r>
          </w:p>
          <w:p>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—i种污染物的实测浓度，mg/L；</w:t>
            </w:r>
          </w:p>
          <w:p>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0i</w:t>
            </w:r>
            <w:r>
              <w:rPr>
                <w:rFonts w:hint="default" w:ascii="Times New Roman" w:hAnsi="Times New Roman" w:eastAsia="宋体" w:cs="Times New Roman"/>
                <w:color w:val="auto"/>
                <w:kern w:val="0"/>
                <w:sz w:val="24"/>
                <w:szCs w:val="24"/>
              </w:rPr>
              <w:t>—i种污染物的环境质量标准，mg/L；</w:t>
            </w:r>
          </w:p>
          <w:p>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②pH值的标准指数为：</w:t>
            </w:r>
          </w:p>
          <w:p>
            <w:pPr>
              <w:widowControl/>
              <w:spacing w:line="440" w:lineRule="exact"/>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S</w:t>
            </w:r>
            <w:r>
              <w:rPr>
                <w:rFonts w:hint="default" w:ascii="Times New Roman" w:hAnsi="Times New Roman" w:eastAsia="宋体" w:cs="Times New Roman"/>
                <w:color w:val="auto"/>
                <w:kern w:val="0"/>
                <w:sz w:val="24"/>
                <w:szCs w:val="24"/>
                <w:vertAlign w:val="subscript"/>
              </w:rPr>
              <w:t>pH·j</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smin</w:t>
            </w: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≤7.0）</w:t>
            </w:r>
          </w:p>
          <w:p>
            <w:pPr>
              <w:widowControl/>
              <w:spacing w:line="440" w:lineRule="exact"/>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S</w:t>
            </w:r>
            <w:r>
              <w:rPr>
                <w:rFonts w:hint="default" w:ascii="Times New Roman" w:hAnsi="Times New Roman" w:eastAsia="宋体" w:cs="Times New Roman"/>
                <w:color w:val="auto"/>
                <w:kern w:val="0"/>
                <w:sz w:val="24"/>
                <w:szCs w:val="24"/>
                <w:vertAlign w:val="subscript"/>
              </w:rPr>
              <w:t>pH·j</w:t>
            </w: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smax</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≥7.0）</w:t>
            </w:r>
          </w:p>
          <w:p>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式中：S</w:t>
            </w:r>
            <w:r>
              <w:rPr>
                <w:rFonts w:hint="default" w:ascii="Times New Roman" w:hAnsi="Times New Roman" w:eastAsia="宋体" w:cs="Times New Roman"/>
                <w:color w:val="auto"/>
                <w:kern w:val="0"/>
                <w:sz w:val="24"/>
                <w:szCs w:val="24"/>
                <w:vertAlign w:val="subscript"/>
              </w:rPr>
              <w:t>pH·j</w:t>
            </w:r>
            <w:r>
              <w:rPr>
                <w:rFonts w:hint="default" w:ascii="Times New Roman" w:hAnsi="Times New Roman" w:eastAsia="宋体" w:cs="Times New Roman"/>
                <w:color w:val="auto"/>
                <w:kern w:val="0"/>
                <w:sz w:val="24"/>
                <w:szCs w:val="24"/>
              </w:rPr>
              <w:t>—j点的pH标准指数；</w:t>
            </w:r>
          </w:p>
          <w:p>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—j点的实测pH值；</w:t>
            </w:r>
          </w:p>
          <w:p>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smin</w:t>
            </w:r>
            <w:r>
              <w:rPr>
                <w:rFonts w:hint="default" w:ascii="Times New Roman" w:hAnsi="Times New Roman" w:eastAsia="宋体" w:cs="Times New Roman"/>
                <w:color w:val="auto"/>
                <w:kern w:val="0"/>
                <w:sz w:val="24"/>
                <w:szCs w:val="24"/>
              </w:rPr>
              <w:t>—评价标准值的下限值；</w:t>
            </w:r>
          </w:p>
          <w:p>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smax</w:t>
            </w:r>
            <w:r>
              <w:rPr>
                <w:rFonts w:hint="default" w:ascii="Times New Roman" w:hAnsi="Times New Roman" w:eastAsia="宋体" w:cs="Times New Roman"/>
                <w:color w:val="auto"/>
                <w:kern w:val="0"/>
                <w:sz w:val="24"/>
                <w:szCs w:val="24"/>
              </w:rPr>
              <w:t>—评价标准值的上限值；</w:t>
            </w:r>
          </w:p>
          <w:p>
            <w:pPr>
              <w:widowControl/>
              <w:spacing w:line="440" w:lineRule="exact"/>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地表水现状评价结果如下：</w:t>
            </w: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表3-</w:t>
            </w:r>
            <w:r>
              <w:rPr>
                <w:rFonts w:hint="default" w:ascii="Times New Roman" w:hAnsi="Times New Roman" w:eastAsia="宋体" w:cs="Times New Roman"/>
                <w:b/>
                <w:bCs/>
                <w:color w:val="auto"/>
                <w:kern w:val="0"/>
                <w:sz w:val="24"/>
                <w:szCs w:val="24"/>
                <w:lang w:val="en-US" w:eastAsia="zh-CN"/>
              </w:rPr>
              <w:t xml:space="preserve">5    </w:t>
            </w:r>
            <w:r>
              <w:rPr>
                <w:rFonts w:hint="default" w:ascii="Times New Roman" w:hAnsi="Times New Roman" w:eastAsia="宋体" w:cs="Times New Roman"/>
                <w:b/>
                <w:bCs/>
                <w:color w:val="auto"/>
                <w:kern w:val="0"/>
                <w:sz w:val="24"/>
                <w:szCs w:val="24"/>
              </w:rPr>
              <w:t>项目地表水环境质量评价结果</w:t>
            </w:r>
          </w:p>
          <w:tbl>
            <w:tblPr>
              <w:tblStyle w:val="74"/>
              <w:tblW w:w="4995"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940"/>
              <w:gridCol w:w="619"/>
              <w:gridCol w:w="907"/>
              <w:gridCol w:w="907"/>
              <w:gridCol w:w="907"/>
              <w:gridCol w:w="907"/>
              <w:gridCol w:w="907"/>
              <w:gridCol w:w="907"/>
              <w:gridCol w:w="625"/>
              <w:gridCol w:w="3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blHeader/>
              </w:trPr>
              <w:tc>
                <w:tcPr>
                  <w:tcW w:w="990" w:type="dxa"/>
                  <w:vMerge w:val="restart"/>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监测断面</w:t>
                  </w:r>
                </w:p>
              </w:tc>
              <w:tc>
                <w:tcPr>
                  <w:tcW w:w="652" w:type="dxa"/>
                  <w:vMerge w:val="restart"/>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单位</w:t>
                  </w:r>
                </w:p>
              </w:tc>
              <w:tc>
                <w:tcPr>
                  <w:tcW w:w="2865" w:type="dxa"/>
                  <w:gridSpan w:val="3"/>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1#断面</w:t>
                  </w:r>
                </w:p>
              </w:tc>
              <w:tc>
                <w:tcPr>
                  <w:tcW w:w="2865" w:type="dxa"/>
                  <w:gridSpan w:val="3"/>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2#断面</w:t>
                  </w:r>
                </w:p>
              </w:tc>
              <w:tc>
                <w:tcPr>
                  <w:tcW w:w="658" w:type="dxa"/>
                  <w:vMerge w:val="restart"/>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最大Pi</w:t>
                  </w:r>
                </w:p>
              </w:tc>
              <w:tc>
                <w:tcPr>
                  <w:tcW w:w="405" w:type="dxa"/>
                  <w:vMerge w:val="restart"/>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超标率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blHeader/>
              </w:trPr>
              <w:tc>
                <w:tcPr>
                  <w:tcW w:w="990" w:type="dxa"/>
                  <w:vMerge w:val="continue"/>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c>
                <w:tcPr>
                  <w:tcW w:w="652" w:type="dxa"/>
                  <w:vMerge w:val="continue"/>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2021.12.25</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2021.12.26</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2021.12.25</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2021.12.26</w:t>
                  </w:r>
                </w:p>
              </w:tc>
              <w:tc>
                <w:tcPr>
                  <w:tcW w:w="658" w:type="dxa"/>
                  <w:vMerge w:val="continue"/>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c>
                <w:tcPr>
                  <w:tcW w:w="405" w:type="dxa"/>
                  <w:vMerge w:val="continue"/>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pH</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无量纲</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7.5</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25%</w:t>
                  </w:r>
                </w:p>
              </w:tc>
              <w:tc>
                <w:tcPr>
                  <w:tcW w:w="40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水温</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7.1</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7.0</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7.2</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20.00%</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溶解氧</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6.1</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6.7</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6.6</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6.5</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6.4</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81.97%</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化学需氧量</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11</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15</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15</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75.00%</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五日生化需氧量</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2.8</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2.7</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3.1</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2.9</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3.2</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80.00%</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氨氮</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0.373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0.373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0.368</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0.677</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0.666</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0.664</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67.70%</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总磷</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0.11</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0.16</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0.15</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0.17</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85.00%</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总氮</w:t>
                  </w:r>
                </w:p>
              </w:tc>
              <w:tc>
                <w:tcPr>
                  <w:tcW w:w="652"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3.04</w:t>
                  </w:r>
                </w:p>
              </w:tc>
              <w:tc>
                <w:tcPr>
                  <w:tcW w:w="955"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3.04</w:t>
                  </w:r>
                </w:p>
              </w:tc>
              <w:tc>
                <w:tcPr>
                  <w:tcW w:w="955"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2.94</w:t>
                  </w:r>
                </w:p>
              </w:tc>
              <w:tc>
                <w:tcPr>
                  <w:tcW w:w="955"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3.21</w:t>
                  </w:r>
                </w:p>
              </w:tc>
              <w:tc>
                <w:tcPr>
                  <w:tcW w:w="955"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3.12</w:t>
                  </w:r>
                </w:p>
              </w:tc>
              <w:tc>
                <w:tcPr>
                  <w:tcW w:w="955" w:type="dxa"/>
                  <w:tcBorders>
                    <w:tl2br w:val="nil"/>
                    <w:tr2bl w:val="nil"/>
                  </w:tcBorders>
                  <w:shd w:val="clear" w:color="auto" w:fill="auto"/>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3.17</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石油类</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0.01</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0.03</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60.00%</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六价铬</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粪大肠菌群</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MPN/L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1.18×10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1.19×10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1.06×10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2.16×10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2.21×10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2.25×10</w:t>
                  </w:r>
                  <w:r>
                    <w:rPr>
                      <w:rFonts w:cs="Times New Roman"/>
                      <w:b w:val="0"/>
                      <w:bCs/>
                      <w:color w:val="auto"/>
                      <w:spacing w:val="-11"/>
                      <w:kern w:val="0"/>
                      <w:sz w:val="21"/>
                      <w:szCs w:val="21"/>
                      <w:vertAlign w:val="superscript"/>
                    </w:rPr>
                    <w:t>2</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2.25</w:t>
                  </w:r>
                  <w:r>
                    <w:rPr>
                      <w:rFonts w:eastAsia="等线"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砷</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锌</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铜</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汞</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铅</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硒</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镉</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氟化物（氟离子）</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0.418</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0.417</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0.404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0.410</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0.410</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41.80%</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氯化物（氯离子）</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40.4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40.5</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40.4</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47.9</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47.7</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47.7</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19.16%</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挥发酚</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阴离子表面活性剂</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硫化物</w:t>
                  </w:r>
                </w:p>
              </w:tc>
              <w:tc>
                <w:tcPr>
                  <w:tcW w:w="652"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bl>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rPr>
              <w:t>由表3-</w:t>
            </w:r>
            <w:r>
              <w:rPr>
                <w:rFonts w:hint="default" w:ascii="Times New Roman" w:hAnsi="Times New Roman"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可知，</w:t>
            </w:r>
            <w:r>
              <w:rPr>
                <w:rFonts w:hint="eastAsia" w:cs="Times New Roman"/>
                <w:color w:val="auto"/>
                <w:kern w:val="0"/>
                <w:sz w:val="24"/>
                <w:szCs w:val="24"/>
                <w:highlight w:val="none"/>
                <w:lang w:val="en-US" w:eastAsia="zh-CN"/>
              </w:rPr>
              <w:t>项目</w:t>
            </w:r>
            <w:r>
              <w:rPr>
                <w:rFonts w:hint="default" w:ascii="Times New Roman" w:hAnsi="Times New Roman" w:cs="Times New Roman"/>
                <w:color w:val="auto"/>
                <w:sz w:val="24"/>
                <w:szCs w:val="24"/>
                <w:lang w:val="de-DE"/>
              </w:rPr>
              <w:t>所在区域双龙河地表水</w:t>
            </w:r>
            <w:r>
              <w:rPr>
                <w:rFonts w:hint="eastAsia" w:cs="Times New Roman"/>
                <w:color w:val="auto"/>
                <w:sz w:val="24"/>
                <w:szCs w:val="24"/>
                <w:lang w:val="en-US" w:eastAsia="zh-CN"/>
              </w:rPr>
              <w:t>各</w:t>
            </w:r>
            <w:r>
              <w:rPr>
                <w:rFonts w:hint="default" w:ascii="Times New Roman" w:hAnsi="Times New Roman" w:cs="Times New Roman"/>
                <w:color w:val="auto"/>
                <w:sz w:val="24"/>
                <w:szCs w:val="24"/>
                <w:lang w:val="de-DE"/>
              </w:rPr>
              <w:t>监测指标均满足《地表水环境质量标准》（GB3838-2002）中III类标准</w:t>
            </w:r>
            <w:r>
              <w:rPr>
                <w:rFonts w:hint="default" w:ascii="Times New Roman" w:hAnsi="Times New Roman" w:eastAsia="宋体" w:cs="Times New Roman"/>
                <w:color w:val="auto"/>
                <w:sz w:val="24"/>
                <w:szCs w:val="24"/>
              </w:rPr>
              <w:t>。</w:t>
            </w:r>
          </w:p>
          <w:p>
            <w:pPr>
              <w:pStyle w:val="11"/>
              <w:keepNext w:val="0"/>
              <w:keepLines w:val="0"/>
              <w:pageBreakBefore w:val="0"/>
              <w:widowControl w:val="0"/>
              <w:kinsoku/>
              <w:wordWrap/>
              <w:overflowPunct/>
              <w:topLinePunct w:val="0"/>
              <w:autoSpaceDE/>
              <w:autoSpaceDN/>
              <w:bidi w:val="0"/>
              <w:adjustRightInd/>
              <w:snapToGrid/>
              <w:spacing w:before="0" w:after="0" w:line="440" w:lineRule="exact"/>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三、地下水环境质量现状</w:t>
            </w:r>
          </w:p>
          <w:p>
            <w:pPr>
              <w:widowControl/>
              <w:spacing w:line="440" w:lineRule="exact"/>
              <w:ind w:firstLine="480" w:firstLineChars="200"/>
              <w:textAlignment w:val="baseline"/>
              <w:rPr>
                <w:rFonts w:hint="default" w:ascii="Times New Roman" w:hAnsi="Times New Roman" w:eastAsia="宋体" w:cs="Times New Roman"/>
                <w:color w:val="auto"/>
                <w:kern w:val="0"/>
                <w:sz w:val="24"/>
                <w:szCs w:val="24"/>
                <w:highlight w:val="none"/>
              </w:rPr>
            </w:pPr>
            <w:r>
              <w:rPr>
                <w:rFonts w:hint="eastAsia"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rPr>
              <w:t>项目地下水质量现状监测由</w:t>
            </w:r>
            <w:r>
              <w:rPr>
                <w:rFonts w:hint="default" w:ascii="Times New Roman" w:hAnsi="Times New Roman" w:eastAsia="宋体" w:cs="Times New Roman"/>
                <w:color w:val="auto"/>
                <w:kern w:val="2"/>
                <w:sz w:val="24"/>
                <w:szCs w:val="22"/>
                <w:lang w:eastAsia="zh-CN"/>
              </w:rPr>
              <w:t>四川中斯诺检测服务有限公司</w:t>
            </w:r>
            <w:r>
              <w:rPr>
                <w:rFonts w:hint="default" w:ascii="Times New Roman" w:hAnsi="Times New Roman" w:eastAsia="宋体" w:cs="Times New Roman"/>
                <w:color w:val="auto"/>
                <w:kern w:val="0"/>
                <w:sz w:val="24"/>
                <w:szCs w:val="24"/>
                <w:highlight w:val="none"/>
              </w:rPr>
              <w:t>进行监测，监测时间为20</w:t>
            </w:r>
            <w:r>
              <w:rPr>
                <w:rFonts w:hint="default"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年</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月</w:t>
            </w:r>
            <w:r>
              <w:rPr>
                <w:rFonts w:hint="default"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rPr>
              <w:t>日</w:t>
            </w:r>
            <w:r>
              <w:rPr>
                <w:rFonts w:hint="default" w:ascii="Times New Roman" w:hAnsi="Times New Roman" w:eastAsia="宋体" w:cs="Times New Roman"/>
                <w:color w:val="auto"/>
                <w:kern w:val="0"/>
                <w:sz w:val="24"/>
                <w:szCs w:val="24"/>
                <w:highlight w:val="none"/>
                <w:lang w:val="en-US" w:eastAsia="zh-CN"/>
              </w:rPr>
              <w:t>~10日、</w:t>
            </w:r>
            <w:r>
              <w:rPr>
                <w:rFonts w:hint="default" w:ascii="Times New Roman" w:hAnsi="Times New Roman" w:eastAsia="宋体" w:cs="Times New Roman"/>
                <w:color w:val="auto"/>
                <w:kern w:val="0"/>
                <w:sz w:val="24"/>
                <w:szCs w:val="24"/>
                <w:highlight w:val="none"/>
              </w:rPr>
              <w:t>20</w:t>
            </w:r>
            <w:r>
              <w:rPr>
                <w:rFonts w:hint="default"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年</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月</w:t>
            </w:r>
            <w:r>
              <w:rPr>
                <w:rFonts w:hint="default" w:ascii="Times New Roman" w:hAnsi="Times New Roman" w:eastAsia="宋体" w:cs="Times New Roman"/>
                <w:color w:val="auto"/>
                <w:kern w:val="0"/>
                <w:sz w:val="24"/>
                <w:szCs w:val="24"/>
                <w:highlight w:val="none"/>
                <w:lang w:val="en-US" w:eastAsia="zh-CN"/>
              </w:rPr>
              <w:t>11</w:t>
            </w:r>
            <w:r>
              <w:rPr>
                <w:rFonts w:hint="default" w:ascii="Times New Roman" w:hAnsi="Times New Roman" w:eastAsia="宋体" w:cs="Times New Roman"/>
                <w:color w:val="auto"/>
                <w:kern w:val="0"/>
                <w:sz w:val="24"/>
                <w:szCs w:val="24"/>
                <w:highlight w:val="none"/>
              </w:rPr>
              <w:t>日</w:t>
            </w:r>
            <w:r>
              <w:rPr>
                <w:rFonts w:hint="default" w:ascii="Times New Roman" w:hAnsi="Times New Roman" w:eastAsia="宋体" w:cs="Times New Roman"/>
                <w:color w:val="auto"/>
                <w:kern w:val="0"/>
                <w:sz w:val="24"/>
                <w:szCs w:val="24"/>
                <w:highlight w:val="none"/>
                <w:lang w:val="en-US" w:eastAsia="zh-CN"/>
              </w:rPr>
              <w:t>~12日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rPr>
              <w:t>设置5个潜水水质监测点、2个深层水监测点</w:t>
            </w:r>
            <w:r>
              <w:rPr>
                <w:rFonts w:hint="default" w:ascii="Times New Roman" w:hAnsi="Times New Roman" w:eastAsia="宋体" w:cs="Times New Roman"/>
                <w:color w:val="auto"/>
                <w:kern w:val="0"/>
                <w:sz w:val="24"/>
                <w:szCs w:val="24"/>
                <w:highlight w:val="none"/>
              </w:rPr>
              <w:t>。监测因子为</w:t>
            </w:r>
            <w:r>
              <w:rPr>
                <w:rFonts w:hint="default" w:ascii="Times New Roman" w:hAnsi="Times New Roman" w:eastAsia="宋体" w:cs="Times New Roman"/>
                <w:color w:val="auto"/>
                <w:kern w:val="0"/>
                <w:sz w:val="24"/>
                <w:szCs w:val="24"/>
              </w:rPr>
              <w:t>pH、K</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、Na</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、Ca</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、Mg</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、CO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、HCO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、Cl</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、SO</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、氨氮、硝酸盐、亚硝酸盐、挥发性酚类、氰化物、砷、汞、铬（六价）、总硬度、铅、氟化物、镉、铁、锰、溶解性总固体、耗氧量、硫酸盐、氯化物、总大肠菌群、菌落总数、石油类</w:t>
            </w:r>
            <w:r>
              <w:rPr>
                <w:rFonts w:hint="default" w:ascii="Times New Roman" w:hAnsi="Times New Roman" w:eastAsia="宋体" w:cs="Times New Roman"/>
                <w:color w:val="auto"/>
                <w:kern w:val="0"/>
                <w:sz w:val="24"/>
                <w:szCs w:val="24"/>
                <w:highlight w:val="none"/>
              </w:rPr>
              <w:t>，共</w:t>
            </w:r>
            <w:r>
              <w:rPr>
                <w:rFonts w:hint="default" w:ascii="Times New Roman" w:hAnsi="Times New Roman" w:eastAsia="宋体" w:cs="Times New Roman"/>
                <w:color w:val="auto"/>
                <w:kern w:val="0"/>
                <w:sz w:val="24"/>
                <w:szCs w:val="24"/>
                <w:highlight w:val="none"/>
                <w:lang w:val="en-US" w:eastAsia="zh-CN"/>
              </w:rPr>
              <w:t>30</w:t>
            </w:r>
            <w:r>
              <w:rPr>
                <w:rFonts w:hint="default" w:ascii="Times New Roman" w:hAnsi="Times New Roman" w:eastAsia="宋体" w:cs="Times New Roman"/>
                <w:color w:val="auto"/>
                <w:kern w:val="0"/>
                <w:sz w:val="24"/>
                <w:szCs w:val="24"/>
                <w:highlight w:val="none"/>
              </w:rPr>
              <w:t>项，具体监测数据见表</w:t>
            </w:r>
            <w:r>
              <w:rPr>
                <w:rFonts w:hint="default" w:ascii="Times New Roman" w:hAnsi="Times New Roman" w:eastAsia="宋体" w:cs="Times New Roman"/>
                <w:color w:val="auto"/>
                <w:kern w:val="0"/>
                <w:sz w:val="24"/>
                <w:szCs w:val="24"/>
                <w:highlight w:val="none"/>
                <w:lang w:val="en-US" w:eastAsia="zh-CN"/>
              </w:rPr>
              <w:t>3-</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 xml:space="preserve">6  </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地下水检测结果表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745"/>
              <w:gridCol w:w="1222"/>
              <w:gridCol w:w="1074"/>
              <w:gridCol w:w="1074"/>
              <w:gridCol w:w="1075"/>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0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7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686"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7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1#双龙镇</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2#大路边</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3#唐家坝</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6#双龙镇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1月9日</w:t>
                  </w:r>
                </w:p>
              </w:tc>
              <w:tc>
                <w:tcPr>
                  <w:tcW w:w="1089"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762"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7.39</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7.42</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7.41</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62"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0.136</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0.141</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0.0437</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0.0013</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252</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306</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407</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0.74</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0.71</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0.66</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485</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476</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亚硝酸盐</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0.0193</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0.0250</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氟化物</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0.159</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0.363</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0.167</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620</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1720</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890</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2.9×10</w:t>
                  </w:r>
                  <w:r>
                    <w:rPr>
                      <w:rFonts w:hint="default" w:ascii="Times New Roman" w:hAnsi="Times New Roman" w:eastAsia="宋体" w:cs="Times New Roman"/>
                      <w:color w:val="auto"/>
                      <w:sz w:val="21"/>
                      <w:szCs w:val="21"/>
                      <w:vertAlign w:val="superscript"/>
                    </w:rPr>
                    <w:t>-4</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2.9×10</w:t>
                  </w:r>
                  <w:r>
                    <w:rPr>
                      <w:rFonts w:hint="default" w:ascii="Times New Roman" w:hAnsi="Times New Roman" w:eastAsia="宋体" w:cs="Times New Roman"/>
                      <w:color w:val="auto"/>
                      <w:sz w:val="21"/>
                      <w:szCs w:val="21"/>
                      <w:vertAlign w:val="superscript"/>
                    </w:rPr>
                    <w:t>-4</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4.4×10</w:t>
                  </w:r>
                  <w:r>
                    <w:rPr>
                      <w:rFonts w:hint="default" w:ascii="Times New Roman" w:hAnsi="Times New Roman" w:eastAsia="宋体" w:cs="Times New Roman"/>
                      <w:color w:val="auto"/>
                      <w:sz w:val="21"/>
                      <w:szCs w:val="21"/>
                      <w:vertAlign w:val="superscript"/>
                    </w:rPr>
                    <w:t>-4</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2.2×10</w:t>
                  </w:r>
                  <w:r>
                    <w:rPr>
                      <w:rFonts w:hint="default" w:ascii="Times New Roman" w:hAnsi="Times New Roman" w:eastAsia="宋体"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670"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673"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eastAsia="zh-CN"/>
              </w:rPr>
              <w:t>续</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 xml:space="preserve">  地下水检测结果表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760"/>
              <w:gridCol w:w="1222"/>
              <w:gridCol w:w="1084"/>
              <w:gridCol w:w="1084"/>
              <w:gridCol w:w="1084"/>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09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7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708"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7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1#双龙镇</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2#大路边</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3#唐家坝</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6#双龙镇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restart"/>
                  <w:tcBorders>
                    <w:top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日</w:t>
                  </w: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pH值</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无量纲</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7.37</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7.40</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7.42</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0.141</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0.152</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0.0523</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0.0019</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0.0017</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386</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368</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435</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0.77</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0.69</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395</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467</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484</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36.7</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亚硝酸盐</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0.0220</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氟化物</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0.160</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0.384</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0.184</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1640</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1850</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920</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2.4×10</w:t>
                  </w:r>
                  <w:r>
                    <w:rPr>
                      <w:rFonts w:hint="default" w:ascii="Times New Roman" w:hAnsi="Times New Roman" w:eastAsia="宋体" w:cs="Times New Roman"/>
                      <w:color w:val="auto"/>
                      <w:sz w:val="21"/>
                      <w:szCs w:val="21"/>
                      <w:vertAlign w:val="superscript"/>
                    </w:rPr>
                    <w:t>-4</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3.1×10</w:t>
                  </w:r>
                  <w:r>
                    <w:rPr>
                      <w:rFonts w:hint="default" w:ascii="Times New Roman" w:hAnsi="Times New Roman" w:eastAsia="宋体" w:cs="Times New Roman"/>
                      <w:color w:val="auto"/>
                      <w:sz w:val="21"/>
                      <w:szCs w:val="21"/>
                      <w:vertAlign w:val="superscript"/>
                    </w:rPr>
                    <w:t>-4</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4.3×10</w:t>
                  </w:r>
                  <w:r>
                    <w:rPr>
                      <w:rFonts w:hint="default" w:ascii="Times New Roman" w:hAnsi="Times New Roman" w:eastAsia="宋体" w:cs="Times New Roman"/>
                      <w:color w:val="auto"/>
                      <w:sz w:val="21"/>
                      <w:szCs w:val="21"/>
                      <w:vertAlign w:val="superscript"/>
                    </w:rPr>
                    <w:t>-4</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1.9×10</w:t>
                  </w:r>
                  <w:r>
                    <w:rPr>
                      <w:rFonts w:hint="default" w:ascii="Times New Roman" w:hAnsi="Times New Roman" w:eastAsia="宋体"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6"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c>
                <w:tcPr>
                  <w:tcW w:w="677" w:type="pct"/>
                  <w:tcBorders>
                    <w:tl2br w:val="nil"/>
                    <w:tr2bl w:val="nil"/>
                  </w:tcBorders>
                  <w:noWrap w:val="0"/>
                  <w:vAlign w:val="center"/>
                </w:tcPr>
                <w:p>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7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eastAsia="zh-CN"/>
              </w:rPr>
              <w:t>续</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 xml:space="preserve">  地下水检测结果表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888"/>
              <w:gridCol w:w="1414"/>
              <w:gridCol w:w="1253"/>
              <w:gridCol w:w="1253"/>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17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8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349"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8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4#龙洞坪</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5#石门沟</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7#石门沟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月</w:t>
                  </w:r>
                </w:p>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11</w:t>
                  </w:r>
                  <w:r>
                    <w:rPr>
                      <w:rFonts w:hint="default" w:ascii="Times New Roman" w:hAnsi="Times New Roman" w:eastAsia="宋体" w:cs="Times New Roman"/>
                      <w:color w:val="auto"/>
                      <w:kern w:val="0"/>
                      <w:sz w:val="21"/>
                      <w:szCs w:val="21"/>
                    </w:rPr>
                    <w:t>日</w:t>
                  </w: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pH值</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无量纲</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7.38</w:t>
                  </w:r>
                </w:p>
              </w:tc>
              <w:tc>
                <w:tcPr>
                  <w:tcW w:w="7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7.35</w:t>
                  </w:r>
                </w:p>
              </w:tc>
              <w:tc>
                <w:tcPr>
                  <w:tcW w:w="7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0.0356</w:t>
                  </w:r>
                </w:p>
              </w:tc>
              <w:tc>
                <w:tcPr>
                  <w:tcW w:w="7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0.0578</w:t>
                  </w:r>
                </w:p>
              </w:tc>
              <w:tc>
                <w:tcPr>
                  <w:tcW w:w="7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94.4</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65.6</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2.96</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4.63</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亚硝酸盐</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氟化物</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0.0846</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0.0769</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540</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1600</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2710</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0.0430</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0.0408</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1.19×10</w:t>
                  </w:r>
                  <w:r>
                    <w:rPr>
                      <w:rFonts w:hint="default" w:ascii="Times New Roman" w:hAnsi="Times New Roman" w:eastAsia="宋体" w:cs="Times New Roman"/>
                      <w:color w:val="auto"/>
                      <w:sz w:val="21"/>
                      <w:szCs w:val="21"/>
                      <w:vertAlign w:val="superscript"/>
                    </w:rPr>
                    <w:t>-4</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5.2×10</w:t>
                  </w:r>
                  <w:r>
                    <w:rPr>
                      <w:rFonts w:hint="default" w:ascii="Times New Roman" w:hAnsi="Times New Roman" w:eastAsia="宋体" w:cs="Times New Roman"/>
                      <w:color w:val="auto"/>
                      <w:sz w:val="21"/>
                      <w:szCs w:val="21"/>
                      <w:vertAlign w:val="superscript"/>
                    </w:rPr>
                    <w:t>-5</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5.6×10</w:t>
                  </w:r>
                  <w:r>
                    <w:rPr>
                      <w:rFonts w:hint="default" w:ascii="Times New Roman" w:hAnsi="Times New Roman" w:eastAsia="宋体" w:cs="Times New Roman"/>
                      <w:color w:val="auto"/>
                      <w:sz w:val="21"/>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w:t>
                  </w:r>
                </w:p>
              </w:tc>
              <w:tc>
                <w:tcPr>
                  <w:tcW w:w="782"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0.084</w:t>
                  </w:r>
                </w:p>
              </w:tc>
              <w:tc>
                <w:tcPr>
                  <w:tcW w:w="783" w:type="pct"/>
                  <w:tcBorders>
                    <w:tl2br w:val="nil"/>
                    <w:tr2bl w:val="nil"/>
                  </w:tcBorders>
                  <w:noWrap w:val="0"/>
                  <w:vAlign w:val="center"/>
                </w:tcPr>
                <w:p>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8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pPr>
              <w:pStyle w:val="12"/>
              <w:rPr>
                <w:rFonts w:hint="default" w:ascii="Times New Roman" w:hAnsi="Times New Roman" w:eastAsia="宋体" w:cs="Times New Roman"/>
                <w:b/>
                <w:bCs/>
                <w:color w:val="auto"/>
                <w:kern w:val="0"/>
                <w:sz w:val="24"/>
                <w:szCs w:val="24"/>
                <w:lang w:eastAsia="zh-CN"/>
              </w:rPr>
            </w:pPr>
          </w:p>
          <w:p>
            <w:pPr>
              <w:rPr>
                <w:rFonts w:hint="default" w:ascii="Times New Roman" w:hAnsi="Times New Roman" w:eastAsia="宋体" w:cs="Times New Roman"/>
                <w:b/>
                <w:bCs/>
                <w:color w:val="auto"/>
                <w:kern w:val="0"/>
                <w:sz w:val="24"/>
                <w:szCs w:val="24"/>
                <w:lang w:eastAsia="zh-CN"/>
              </w:rPr>
            </w:pPr>
          </w:p>
          <w:p>
            <w:pPr>
              <w:pStyle w:val="12"/>
              <w:rPr>
                <w:rFonts w:hint="default" w:ascii="Times New Roman" w:hAnsi="Times New Roman" w:eastAsia="宋体" w:cs="Times New Roman"/>
                <w:b/>
                <w:bCs/>
                <w:color w:val="auto"/>
                <w:kern w:val="0"/>
                <w:sz w:val="24"/>
                <w:szCs w:val="24"/>
                <w:lang w:eastAsia="zh-CN"/>
              </w:rPr>
            </w:pPr>
          </w:p>
          <w:p>
            <w:pPr>
              <w:rPr>
                <w:rFonts w:hint="default" w:ascii="Times New Roman" w:hAnsi="Times New Roman" w:eastAsia="宋体" w:cs="Times New Roman"/>
                <w:b/>
                <w:bCs/>
                <w:color w:val="auto"/>
                <w:kern w:val="0"/>
                <w:sz w:val="24"/>
                <w:szCs w:val="24"/>
                <w:lang w:eastAsia="zh-CN"/>
              </w:rPr>
            </w:pPr>
          </w:p>
          <w:p>
            <w:pPr>
              <w:pStyle w:val="12"/>
              <w:rPr>
                <w:rFonts w:hint="default" w:ascii="Times New Roman" w:hAnsi="Times New Roman" w:eastAsia="宋体" w:cs="Times New Roman"/>
                <w:b/>
                <w:bCs/>
                <w:color w:val="auto"/>
                <w:kern w:val="0"/>
                <w:sz w:val="24"/>
                <w:szCs w:val="24"/>
                <w:lang w:eastAsia="zh-CN"/>
              </w:rPr>
            </w:pPr>
          </w:p>
          <w:p>
            <w:pPr>
              <w:rPr>
                <w:rFonts w:hint="default" w:ascii="Times New Roman" w:hAnsi="Times New Roman" w:eastAsia="宋体" w:cs="Times New Roman"/>
                <w:b/>
                <w:bCs/>
                <w:color w:val="auto"/>
                <w:kern w:val="0"/>
                <w:sz w:val="24"/>
                <w:szCs w:val="24"/>
                <w:lang w:eastAsia="zh-CN"/>
              </w:rPr>
            </w:pPr>
          </w:p>
          <w:p>
            <w:pPr>
              <w:pStyle w:val="12"/>
              <w:rPr>
                <w:rFonts w:hint="default" w:ascii="Times New Roman" w:hAnsi="Times New Roman" w:eastAsia="宋体" w:cs="Times New Roman"/>
                <w:b/>
                <w:bCs/>
                <w:color w:val="auto"/>
                <w:kern w:val="0"/>
                <w:sz w:val="24"/>
                <w:szCs w:val="24"/>
                <w:lang w:eastAsia="zh-CN"/>
              </w:rPr>
            </w:pPr>
          </w:p>
          <w:p>
            <w:pPr>
              <w:rPr>
                <w:rFonts w:hint="default" w:ascii="Times New Roman" w:hAnsi="Times New Roman" w:eastAsia="宋体" w:cs="Times New Roman"/>
                <w:b/>
                <w:bCs/>
                <w:color w:val="auto"/>
                <w:kern w:val="0"/>
                <w:sz w:val="24"/>
                <w:szCs w:val="24"/>
                <w:lang w:eastAsia="zh-CN"/>
              </w:rPr>
            </w:pPr>
          </w:p>
          <w:p>
            <w:pPr>
              <w:pStyle w:val="12"/>
              <w:rPr>
                <w:rFonts w:hint="default"/>
                <w:color w:val="auto"/>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eastAsia="zh-CN"/>
              </w:rPr>
              <w:t>续</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 xml:space="preserve">  地下水检测结果表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74"/>
              <w:gridCol w:w="1414"/>
              <w:gridCol w:w="1253"/>
              <w:gridCol w:w="1253"/>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restar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169" w:type="pct"/>
                  <w:vMerge w:val="restar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882" w:type="pct"/>
                  <w:vMerge w:val="restar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349" w:type="pct"/>
                  <w:gridSpan w:val="3"/>
                  <w:tcBorders>
                    <w:tl2br w:val="nil"/>
                    <w:tr2bl w:val="nil"/>
                  </w:tcBorders>
                  <w:noWrap w:val="0"/>
                  <w:vAlign w:val="center"/>
                </w:tcPr>
                <w:p>
                  <w:pPr>
                    <w:widowControl/>
                    <w:spacing w:line="300"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882"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782" w:type="pct"/>
                  <w:tcBorders>
                    <w:tl2br w:val="nil"/>
                    <w:tr2bl w:val="nil"/>
                  </w:tcBorders>
                  <w:noWrap w:val="0"/>
                  <w:vAlign w:val="center"/>
                </w:tcPr>
                <w:p>
                  <w:pPr>
                    <w:widowControl/>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4#龙洞坪</w:t>
                  </w:r>
                </w:p>
              </w:tc>
              <w:tc>
                <w:tcPr>
                  <w:tcW w:w="782" w:type="pct"/>
                  <w:tcBorders>
                    <w:tl2br w:val="nil"/>
                    <w:tr2bl w:val="nil"/>
                  </w:tcBorders>
                  <w:noWrap w:val="0"/>
                  <w:vAlign w:val="center"/>
                </w:tcPr>
                <w:p>
                  <w:pPr>
                    <w:widowControl/>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5#石门沟</w:t>
                  </w:r>
                </w:p>
              </w:tc>
              <w:tc>
                <w:tcPr>
                  <w:tcW w:w="783"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7#石门沟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restar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月</w:t>
                  </w:r>
                </w:p>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12</w:t>
                  </w:r>
                  <w:r>
                    <w:rPr>
                      <w:rFonts w:hint="default" w:ascii="Times New Roman" w:hAnsi="Times New Roman" w:eastAsia="宋体" w:cs="Times New Roman"/>
                      <w:color w:val="auto"/>
                      <w:kern w:val="0"/>
                      <w:sz w:val="21"/>
                      <w:szCs w:val="21"/>
                    </w:rPr>
                    <w:t>日</w:t>
                  </w: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pH值</w:t>
                  </w:r>
                </w:p>
              </w:tc>
              <w:tc>
                <w:tcPr>
                  <w:tcW w:w="882"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无量纲</w:t>
                  </w:r>
                </w:p>
              </w:tc>
              <w:tc>
                <w:tcPr>
                  <w:tcW w:w="782"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7.39</w:t>
                  </w:r>
                </w:p>
              </w:tc>
              <w:tc>
                <w:tcPr>
                  <w:tcW w:w="782" w:type="pct"/>
                  <w:tcBorders>
                    <w:tl2br w:val="nil"/>
                    <w:tr2bl w:val="nil"/>
                  </w:tcBorders>
                  <w:noWrap w:val="0"/>
                  <w:vAlign w:val="center"/>
                </w:tcPr>
                <w:p>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7.36</w:t>
                  </w:r>
                </w:p>
              </w:tc>
              <w:tc>
                <w:tcPr>
                  <w:tcW w:w="783" w:type="pct"/>
                  <w:tcBorders>
                    <w:tl2br w:val="nil"/>
                    <w:tr2bl w:val="nil"/>
                  </w:tcBorders>
                  <w:noWrap w:val="0"/>
                  <w:vAlign w:val="center"/>
                </w:tcPr>
                <w:p>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882"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0.0383</w:t>
                  </w:r>
                </w:p>
              </w:tc>
              <w:tc>
                <w:tcPr>
                  <w:tcW w:w="782" w:type="pct"/>
                  <w:tcBorders>
                    <w:tl2br w:val="nil"/>
                    <w:tr2bl w:val="nil"/>
                  </w:tcBorders>
                  <w:noWrap w:val="0"/>
                  <w:vAlign w:val="center"/>
                </w:tcPr>
                <w:p>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0.0606</w:t>
                  </w:r>
                </w:p>
              </w:tc>
              <w:tc>
                <w:tcPr>
                  <w:tcW w:w="783" w:type="pct"/>
                  <w:tcBorders>
                    <w:tl2br w:val="nil"/>
                    <w:tr2bl w:val="nil"/>
                  </w:tcBorders>
                  <w:noWrap w:val="0"/>
                  <w:vAlign w:val="center"/>
                </w:tcPr>
                <w:p>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0.0013</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882" w:type="pct"/>
                  <w:tcBorders>
                    <w:tl2br w:val="nil"/>
                    <w:tr2bl w:val="nil"/>
                  </w:tcBorders>
                  <w:noWrap w:val="0"/>
                  <w:vAlign w:val="center"/>
                </w:tcPr>
                <w:p>
                  <w:pPr>
                    <w:widowControl/>
                    <w:spacing w:line="2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99.5</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68.7</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882"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2.85</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28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882"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硫酸盐</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6.96</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5.33</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氯化物</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2.54</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5.30</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3.08</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4.07</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2480</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0.0441</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0.0462</w:t>
                  </w:r>
                </w:p>
              </w:tc>
              <w:tc>
                <w:tcPr>
                  <w:tcW w:w="783"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1.47×10</w:t>
                  </w:r>
                  <w:r>
                    <w:rPr>
                      <w:rFonts w:hint="default" w:ascii="Times New Roman" w:hAnsi="Times New Roman" w:eastAsia="宋体" w:cs="Times New Roman"/>
                      <w:color w:val="auto"/>
                      <w:sz w:val="21"/>
                      <w:szCs w:val="21"/>
                      <w:vertAlign w:val="superscript"/>
                    </w:rPr>
                    <w:t>-5</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6.8×10</w:t>
                  </w:r>
                  <w:r>
                    <w:rPr>
                      <w:rFonts w:hint="default" w:ascii="Times New Roman" w:hAnsi="Times New Roman" w:eastAsia="宋体" w:cs="Times New Roman"/>
                      <w:color w:val="auto"/>
                      <w:sz w:val="21"/>
                      <w:szCs w:val="21"/>
                      <w:vertAlign w:val="superscript"/>
                    </w:rPr>
                    <w:t>-5</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7.3×10</w:t>
                  </w:r>
                  <w:r>
                    <w:rPr>
                      <w:rFonts w:hint="default" w:ascii="Times New Roman" w:hAnsi="Times New Roman" w:eastAsia="宋体" w:cs="Times New Roman"/>
                      <w:color w:val="auto"/>
                      <w:sz w:val="21"/>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782"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0.087</w:t>
                  </w:r>
                </w:p>
              </w:tc>
              <w:tc>
                <w:tcPr>
                  <w:tcW w:w="783" w:type="pct"/>
                  <w:tcBorders>
                    <w:tl2br w:val="nil"/>
                    <w:tr2bl w:val="nil"/>
                  </w:tcBorders>
                  <w:noWrap w:val="0"/>
                  <w:vAlign w:val="center"/>
                </w:tcPr>
                <w:p>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8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pPr>
              <w:widowControl w:val="0"/>
              <w:adjustRightInd w:val="0"/>
              <w:snapToGrid w:val="0"/>
              <w:spacing w:line="500" w:lineRule="exact"/>
              <w:ind w:firstLine="480" w:firstLineChars="200"/>
              <w:textAlignment w:val="auto"/>
              <w:rPr>
                <w:rFonts w:hint="eastAsia" w:ascii="Times New Roman" w:hAnsi="Times New Roman" w:eastAsia="宋体" w:cs="Times New Roman"/>
                <w:color w:val="auto"/>
                <w:kern w:val="2"/>
                <w:sz w:val="24"/>
                <w:szCs w:val="22"/>
                <w:lang w:eastAsia="zh-CN"/>
              </w:rPr>
            </w:pPr>
            <w:r>
              <w:rPr>
                <w:rFonts w:hint="default" w:ascii="Times New Roman" w:hAnsi="Times New Roman" w:eastAsia="宋体" w:cs="Times New Roman"/>
                <w:color w:val="auto"/>
                <w:kern w:val="2"/>
                <w:sz w:val="24"/>
                <w:szCs w:val="22"/>
              </w:rPr>
              <w:t>参照《环境影响评价技术导则—地下水环境》中规定方法进行。评价采用导则推荐的单项污染指数法，即</w:t>
            </w:r>
            <w:r>
              <w:rPr>
                <w:rFonts w:hint="eastAsia" w:ascii="Times New Roman" w:hAnsi="Times New Roman" w:cs="Times New Roman"/>
                <w:color w:val="auto"/>
                <w:kern w:val="2"/>
                <w:sz w:val="24"/>
                <w:szCs w:val="22"/>
                <w:lang w:eastAsia="zh-CN"/>
              </w:rPr>
              <w:t>：</w:t>
            </w:r>
          </w:p>
          <w:p>
            <w:pPr>
              <w:widowControl w:val="0"/>
              <w:adjustRightInd w:val="0"/>
              <w:snapToGrid w:val="0"/>
              <w:spacing w:line="500" w:lineRule="exact"/>
              <w:ind w:firstLine="480" w:firstLineChars="200"/>
              <w:jc w:val="center"/>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Pi=Ci/Si</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式中</w:t>
            </w:r>
            <w:r>
              <w:rPr>
                <w:rFonts w:hint="eastAsia" w:ascii="Times New Roman" w:hAnsi="Times New Roman" w:cs="Times New Roman"/>
                <w:color w:val="auto"/>
                <w:kern w:val="2"/>
                <w:sz w:val="24"/>
                <w:szCs w:val="22"/>
                <w:lang w:eastAsia="zh-CN"/>
              </w:rPr>
              <w:t>：</w:t>
            </w:r>
            <w:r>
              <w:rPr>
                <w:rFonts w:hint="default" w:ascii="Times New Roman" w:hAnsi="Times New Roman" w:eastAsia="宋体" w:cs="Times New Roman"/>
                <w:color w:val="auto"/>
                <w:kern w:val="2"/>
                <w:sz w:val="24"/>
                <w:szCs w:val="22"/>
              </w:rPr>
              <w:t xml:space="preserve"> </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Pi……为种污染物标准指数值；</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Ci……为种污染物实测浓度值，mg/L；</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Si……为种污染物评价标准值，mg/L。</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对具有上、下限标准的pH则按下式计算pH的Pi值(pH&gt;7时)</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Pi=(pHj-7.0)/(pHsb-7.0)      pHi&gt;7.0</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式中：</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Pi……为pH因子的标准质量指数值</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pH</w:t>
            </w:r>
            <w:r>
              <w:rPr>
                <w:rFonts w:hint="default" w:ascii="Times New Roman" w:hAnsi="Times New Roman" w:eastAsia="宋体" w:cs="Times New Roman"/>
                <w:color w:val="auto"/>
                <w:kern w:val="2"/>
                <w:sz w:val="24"/>
                <w:szCs w:val="22"/>
                <w:vertAlign w:val="subscript"/>
              </w:rPr>
              <w:t>j</w:t>
            </w:r>
            <w:r>
              <w:rPr>
                <w:rFonts w:hint="default" w:ascii="Times New Roman" w:hAnsi="Times New Roman" w:eastAsia="宋体" w:cs="Times New Roman"/>
                <w:color w:val="auto"/>
                <w:kern w:val="2"/>
                <w:sz w:val="24"/>
                <w:szCs w:val="22"/>
              </w:rPr>
              <w:t>……为pH的实测值</w:t>
            </w:r>
          </w:p>
          <w:p>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pH</w:t>
            </w:r>
            <w:r>
              <w:rPr>
                <w:rFonts w:hint="default" w:ascii="Times New Roman" w:hAnsi="Times New Roman" w:eastAsia="宋体" w:cs="Times New Roman"/>
                <w:color w:val="auto"/>
                <w:kern w:val="2"/>
                <w:sz w:val="24"/>
                <w:szCs w:val="22"/>
                <w:vertAlign w:val="subscript"/>
              </w:rPr>
              <w:t>sb</w:t>
            </w:r>
            <w:r>
              <w:rPr>
                <w:rFonts w:hint="default" w:ascii="Times New Roman" w:hAnsi="Times New Roman" w:eastAsia="宋体" w:cs="Times New Roman"/>
                <w:color w:val="auto"/>
                <w:kern w:val="2"/>
                <w:sz w:val="24"/>
                <w:szCs w:val="22"/>
              </w:rPr>
              <w:t>……为pH的评价标准上限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当值大于1.0时，表面地下水水体已经受到该项评价因子所表征的污染物的污染，Pi值越大，水体受污染程度越重，否则反之。</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w:t>
            </w:r>
            <w:r>
              <w:rPr>
                <w:rFonts w:hint="default" w:ascii="Times New Roman" w:hAnsi="Times New Roman" w:eastAsia="宋体" w:cs="Times New Roman"/>
                <w:b/>
                <w:bCs/>
                <w:color w:val="auto"/>
                <w:kern w:val="0"/>
                <w:sz w:val="24"/>
                <w:szCs w:val="24"/>
                <w:highlight w:val="none"/>
                <w:lang w:val="en-US" w:eastAsia="zh-CN"/>
              </w:rPr>
              <w:t>3-</w:t>
            </w:r>
            <w:r>
              <w:rPr>
                <w:rFonts w:hint="eastAsia"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rPr>
              <w:t xml:space="preserve">    水质监测数据一览表</w:t>
            </w:r>
          </w:p>
          <w:tbl>
            <w:tblPr>
              <w:tblStyle w:val="19"/>
              <w:tblpPr w:leftFromText="180" w:rightFromText="180" w:vertAnchor="text" w:horzAnchor="page" w:tblpXSpec="center" w:tblpY="129"/>
              <w:tblOverlap w:val="never"/>
              <w:tblW w:w="5000" w:type="pct"/>
              <w:jc w:val="center"/>
              <w:tblLayout w:type="fixed"/>
              <w:tblCellMar>
                <w:top w:w="0" w:type="dxa"/>
                <w:left w:w="0" w:type="dxa"/>
                <w:bottom w:w="0" w:type="dxa"/>
                <w:right w:w="0" w:type="dxa"/>
              </w:tblCellMar>
            </w:tblPr>
            <w:tblGrid>
              <w:gridCol w:w="1253"/>
              <w:gridCol w:w="746"/>
              <w:gridCol w:w="738"/>
              <w:gridCol w:w="837"/>
              <w:gridCol w:w="803"/>
              <w:gridCol w:w="710"/>
              <w:gridCol w:w="710"/>
              <w:gridCol w:w="795"/>
              <w:gridCol w:w="711"/>
              <w:gridCol w:w="723"/>
            </w:tblGrid>
            <w:tr>
              <w:tblPrEx>
                <w:tblCellMar>
                  <w:top w:w="0" w:type="dxa"/>
                  <w:left w:w="0" w:type="dxa"/>
                  <w:bottom w:w="0" w:type="dxa"/>
                  <w:right w:w="0" w:type="dxa"/>
                </w:tblCellMar>
              </w:tblPrEx>
              <w:trPr>
                <w:trHeight w:val="0" w:hRule="atLeast"/>
                <w:jc w:val="center"/>
              </w:trPr>
              <w:tc>
                <w:tcPr>
                  <w:tcW w:w="780"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检测项目</w:t>
                  </w:r>
                </w:p>
              </w:tc>
              <w:tc>
                <w:tcPr>
                  <w:tcW w:w="464"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单位</w:t>
                  </w:r>
                </w:p>
              </w:tc>
              <w:tc>
                <w:tcPr>
                  <w:tcW w:w="459"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标准限值</w:t>
                  </w:r>
                </w:p>
              </w:tc>
              <w:tc>
                <w:tcPr>
                  <w:tcW w:w="3294" w:type="pct"/>
                  <w:gridSpan w:val="7"/>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color w:val="auto"/>
                      <w:spacing w:val="-23"/>
                      <w:kern w:val="0"/>
                      <w:sz w:val="21"/>
                      <w:szCs w:val="21"/>
                    </w:rPr>
                    <w:t>单项因子标准指数</w:t>
                  </w:r>
                </w:p>
              </w:tc>
            </w:tr>
            <w:tr>
              <w:tblPrEx>
                <w:tblCellMar>
                  <w:top w:w="0" w:type="dxa"/>
                  <w:left w:w="0" w:type="dxa"/>
                  <w:bottom w:w="0" w:type="dxa"/>
                  <w:right w:w="0" w:type="dxa"/>
                </w:tblCellMar>
              </w:tblPrEx>
              <w:trPr>
                <w:trHeight w:val="0" w:hRule="atLeast"/>
                <w:jc w:val="center"/>
              </w:trPr>
              <w:tc>
                <w:tcPr>
                  <w:tcW w:w="780" w:type="pct"/>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p>
              </w:tc>
              <w:tc>
                <w:tcPr>
                  <w:tcW w:w="464" w:type="pct"/>
                  <w:vMerge w:val="continue"/>
                  <w:tcBorders>
                    <w:left w:val="single" w:color="000000"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p>
              </w:tc>
              <w:tc>
                <w:tcPr>
                  <w:tcW w:w="459" w:type="pct"/>
                  <w:vMerge w:val="continue"/>
                  <w:tcBorders>
                    <w:left w:val="single" w:color="000000"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p>
              </w:tc>
              <w:tc>
                <w:tcPr>
                  <w:tcW w:w="521" w:type="pct"/>
                  <w:tcBorders>
                    <w:top w:val="single" w:color="000000" w:sz="4" w:space="0"/>
                    <w:left w:val="single" w:color="000000"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1#</w:t>
                  </w:r>
                </w:p>
              </w:tc>
              <w:tc>
                <w:tcPr>
                  <w:tcW w:w="500" w:type="pct"/>
                  <w:tcBorders>
                    <w:top w:val="single" w:color="000000"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2#</w:t>
                  </w:r>
                </w:p>
              </w:tc>
              <w:tc>
                <w:tcPr>
                  <w:tcW w:w="442" w:type="pct"/>
                  <w:tcBorders>
                    <w:top w:val="single" w:color="000000"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3#</w:t>
                  </w:r>
                </w:p>
              </w:tc>
              <w:tc>
                <w:tcPr>
                  <w:tcW w:w="442" w:type="pct"/>
                  <w:tcBorders>
                    <w:top w:val="single" w:color="000000"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4#</w:t>
                  </w:r>
                </w:p>
              </w:tc>
              <w:tc>
                <w:tcPr>
                  <w:tcW w:w="495" w:type="pct"/>
                  <w:tcBorders>
                    <w:top w:val="single" w:color="000000" w:sz="4" w:space="0"/>
                    <w:left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5#</w:t>
                  </w:r>
                </w:p>
              </w:tc>
              <w:tc>
                <w:tcPr>
                  <w:tcW w:w="442"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6#</w:t>
                  </w:r>
                </w:p>
              </w:tc>
              <w:tc>
                <w:tcPr>
                  <w:tcW w:w="45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7#</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pH</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无量纲</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6.5-8.5</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0.25~0.26</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0.27~0.28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0.27~0.28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0.23~0.25</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0.23~0.24</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0.23~0.25</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0.23~0.25</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氨氮</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0.50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0.27~0.28</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0.28~0.30</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0.09~0.11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0.54~0.67</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0.07~0.08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0.12</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0.08~0.09</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挥发性酚类</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0.002</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0.65~0.75</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0.8~0.95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0.75~0.85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0.7~0.8</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0.62~0.75</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0.9~0.95</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氰化物</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0.05</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铬（六价）</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0.05</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总硬度</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450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0.56~0.86</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0.68~0.82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0.90~0.97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0.35~0.36</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0.21~0.22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0.15</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0.13~0.15</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Style w:val="56"/>
                      <w:rFonts w:hint="default" w:ascii="Times New Roman" w:hAnsi="Times New Roman" w:eastAsia="宋体" w:cs="Times New Roman"/>
                      <w:color w:val="auto"/>
                      <w:spacing w:val="-23"/>
                      <w:kern w:val="0"/>
                      <w:sz w:val="21"/>
                      <w:szCs w:val="21"/>
                      <w:lang w:val="en-US" w:eastAsia="zh-CN" w:bidi="ar"/>
                    </w:rPr>
                    <w:t>耗氧量（COD</w:t>
                  </w:r>
                  <w:r>
                    <w:rPr>
                      <w:rStyle w:val="32"/>
                      <w:rFonts w:hint="default" w:ascii="Times New Roman" w:hAnsi="Times New Roman" w:eastAsia="宋体" w:cs="Times New Roman"/>
                      <w:color w:val="auto"/>
                      <w:spacing w:val="-23"/>
                      <w:kern w:val="0"/>
                      <w:sz w:val="21"/>
                      <w:szCs w:val="21"/>
                      <w:lang w:val="en-US" w:eastAsia="zh-CN" w:bidi="ar"/>
                    </w:rPr>
                    <w:t>Mn</w:t>
                  </w:r>
                  <w:r>
                    <w:rPr>
                      <w:rStyle w:val="56"/>
                      <w:rFonts w:hint="default" w:ascii="Times New Roman" w:hAnsi="Times New Roman" w:eastAsia="宋体" w:cs="Times New Roman"/>
                      <w:color w:val="auto"/>
                      <w:spacing w:val="-23"/>
                      <w:kern w:val="0"/>
                      <w:sz w:val="21"/>
                      <w:szCs w:val="21"/>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3.0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0.25~0.27</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0.24~0.26</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0.22~0.23</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0.20~0.23</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0.95~0.99</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0.92~0.93</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0.96~0.97</w:t>
                  </w:r>
                </w:p>
              </w:tc>
            </w:tr>
            <w:tr>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溶解性总固体</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1000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0.34~0.4</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0.47~0.49</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0.48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0.24~0.27</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0.07~0.08</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0.07~0.08</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镉</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0.005</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硝酸盐</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20.0</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highlight w:val="yellow"/>
                      <w:u w:val="none"/>
                      <w:lang w:val="en-US" w:eastAsia="zh-CN" w:bidi="ar"/>
                    </w:rPr>
                  </w:pPr>
                  <w:r>
                    <w:rPr>
                      <w:rFonts w:hint="default" w:ascii="Times New Roman" w:hAnsi="Times New Roman" w:eastAsia="宋体" w:cs="Times New Roman"/>
                      <w:b/>
                      <w:bCs/>
                      <w:i w:val="0"/>
                      <w:color w:val="auto"/>
                      <w:spacing w:val="-23"/>
                      <w:kern w:val="0"/>
                      <w:sz w:val="21"/>
                      <w:szCs w:val="21"/>
                      <w:highlight w:val="none"/>
                      <w:u w:val="none"/>
                      <w:lang w:val="en-US" w:eastAsia="zh-CN" w:bidi="ar"/>
                    </w:rPr>
                    <w:t>1.76~1.84</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0.69~0.71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0.64~0.65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0.41~0.42</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0.154~0.17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0.20~0.23</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0.14~0.16</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总大肠菌群</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MPN</w:t>
                  </w:r>
                  <w:r>
                    <w:rPr>
                      <w:rFonts w:hint="default" w:ascii="Times New Roman" w:hAnsi="Times New Roman" w:eastAsia="宋体" w:cs="Times New Roman"/>
                      <w:i w:val="0"/>
                      <w:color w:val="auto"/>
                      <w:spacing w:val="-23"/>
                      <w:kern w:val="0"/>
                      <w:sz w:val="21"/>
                      <w:szCs w:val="21"/>
                      <w:u w:val="none"/>
                      <w:vertAlign w:val="superscript"/>
                      <w:lang w:val="en-US" w:eastAsia="zh-CN" w:bidi="ar"/>
                    </w:rPr>
                    <w:t>b</w:t>
                  </w:r>
                  <w:r>
                    <w:rPr>
                      <w:rFonts w:hint="default" w:ascii="Times New Roman" w:hAnsi="Times New Roman" w:eastAsia="宋体" w:cs="Times New Roman"/>
                      <w:i w:val="0"/>
                      <w:color w:val="auto"/>
                      <w:spacing w:val="-23"/>
                      <w:kern w:val="0"/>
                      <w:sz w:val="21"/>
                      <w:szCs w:val="21"/>
                      <w:u w:val="none"/>
                      <w:lang w:val="en-US" w:eastAsia="zh-CN" w:bidi="ar"/>
                    </w:rPr>
                    <w:t>/100mL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3.0</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187~213</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240~253</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180~207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700~933</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143~180</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533</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533~800</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菌落总数</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CFU/ml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100</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16.4~17.2</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18.5~20.2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8.9~9.2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23.2~25.4</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24.8~27.1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0.94~1.09</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2.33~2.4</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石油类*</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汞</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0.24~0.29</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0.29~0.31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0.43~0.44</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0.19~0.22</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0.12~0.15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0.05~0.07</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0.06~0.07</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锰</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shd w:val="clear" w:color="auto" w:fill="auto"/>
                      <w:lang w:val="en-US" w:eastAsia="zh-CN" w:bidi="ar"/>
                    </w:rPr>
                  </w:pPr>
                  <w:r>
                    <w:rPr>
                      <w:rFonts w:hint="default" w:ascii="Times New Roman" w:hAnsi="Times New Roman" w:eastAsia="宋体" w:cs="Times New Roman"/>
                      <w:i w:val="0"/>
                      <w:color w:val="auto"/>
                      <w:spacing w:val="-20"/>
                      <w:kern w:val="0"/>
                      <w:sz w:val="21"/>
                      <w:szCs w:val="21"/>
                      <w:u w:val="none"/>
                      <w:shd w:val="clear" w:color="auto" w:fill="auto"/>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shd w:val="clear" w:color="auto" w:fill="auto"/>
                      <w:lang w:val="en-US" w:eastAsia="zh-CN" w:bidi="ar"/>
                    </w:rPr>
                  </w:pPr>
                  <w:r>
                    <w:rPr>
                      <w:rFonts w:hint="default" w:ascii="Times New Roman" w:hAnsi="Times New Roman" w:eastAsia="宋体" w:cs="Times New Roman"/>
                      <w:i w:val="0"/>
                      <w:color w:val="auto"/>
                      <w:spacing w:val="-20"/>
                      <w:kern w:val="0"/>
                      <w:sz w:val="21"/>
                      <w:szCs w:val="21"/>
                      <w:u w:val="none"/>
                      <w:shd w:val="clear" w:color="auto" w:fill="auto"/>
                      <w:lang w:val="en-US" w:eastAsia="zh-CN" w:bidi="ar"/>
                    </w:rPr>
                    <w:t>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0.1~0.2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0.6~0.8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0.52</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铁</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0.3</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0.13~0.2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0.63</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0.06~0.07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0.28~0.29</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0.62~0.66</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砷</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r>
            <w:tr>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铅</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r>
          </w:tbl>
          <w:p>
            <w:pPr>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baseline"/>
              <w:rPr>
                <w:rFonts w:hint="default" w:ascii="Times New Roman" w:hAnsi="Times New Roman" w:eastAsia="宋体" w:cs="Times New Roman"/>
                <w:bCs/>
                <w:color w:val="auto"/>
                <w:kern w:val="0"/>
                <w:sz w:val="24"/>
                <w:szCs w:val="24"/>
                <w:highlight w:val="none"/>
                <w:lang w:eastAsia="zh-CN"/>
              </w:rPr>
            </w:pPr>
            <w:r>
              <w:rPr>
                <w:rFonts w:hint="default" w:ascii="Times New Roman" w:hAnsi="Times New Roman" w:eastAsia="宋体" w:cs="Times New Roman"/>
                <w:bCs/>
                <w:color w:val="auto"/>
                <w:kern w:val="0"/>
                <w:sz w:val="24"/>
                <w:szCs w:val="24"/>
                <w:highlight w:val="none"/>
              </w:rPr>
              <w:t>根据现状监测数据，</w:t>
            </w:r>
            <w:r>
              <w:rPr>
                <w:rFonts w:hint="default" w:ascii="Times New Roman" w:hAnsi="Times New Roman" w:eastAsia="宋体" w:cs="Times New Roman"/>
                <w:bCs/>
                <w:color w:val="auto"/>
                <w:kern w:val="0"/>
                <w:sz w:val="24"/>
                <w:szCs w:val="24"/>
                <w:highlight w:val="none"/>
                <w:lang w:eastAsia="zh-CN"/>
              </w:rPr>
              <w:t>除</w:t>
            </w:r>
            <w:r>
              <w:rPr>
                <w:rFonts w:hint="default" w:ascii="Times New Roman" w:hAnsi="Times New Roman" w:eastAsia="宋体" w:cs="Times New Roman"/>
                <w:bCs/>
                <w:color w:val="auto"/>
                <w:kern w:val="0"/>
                <w:sz w:val="24"/>
                <w:szCs w:val="24"/>
                <w:highlight w:val="none"/>
                <w:lang w:val="en-US" w:eastAsia="zh-CN"/>
              </w:rPr>
              <w:t>1#监测点位硝酸盐超标、各监测点除</w:t>
            </w:r>
            <w:r>
              <w:rPr>
                <w:rFonts w:hint="default" w:ascii="Times New Roman" w:hAnsi="Times New Roman" w:eastAsia="宋体" w:cs="Times New Roman"/>
                <w:i w:val="0"/>
                <w:color w:val="auto"/>
                <w:kern w:val="0"/>
                <w:sz w:val="24"/>
                <w:szCs w:val="24"/>
                <w:u w:val="none"/>
                <w:lang w:val="en-US" w:eastAsia="zh-CN" w:bidi="ar"/>
              </w:rPr>
              <w:t>总大肠菌群、菌落总数</w:t>
            </w:r>
            <w:r>
              <w:rPr>
                <w:rFonts w:hint="default" w:ascii="Times New Roman" w:hAnsi="Times New Roman" w:eastAsia="宋体" w:cs="Times New Roman"/>
                <w:bCs/>
                <w:color w:val="auto"/>
                <w:kern w:val="0"/>
                <w:sz w:val="24"/>
                <w:szCs w:val="24"/>
                <w:highlight w:val="none"/>
                <w:lang w:val="en-US" w:eastAsia="zh-CN"/>
              </w:rPr>
              <w:t>以外</w:t>
            </w:r>
            <w:r>
              <w:rPr>
                <w:rFonts w:hint="default" w:ascii="Times New Roman" w:hAnsi="Times New Roman" w:eastAsia="宋体" w:cs="Times New Roman"/>
                <w:bCs/>
                <w:color w:val="auto"/>
                <w:kern w:val="0"/>
                <w:sz w:val="24"/>
                <w:szCs w:val="24"/>
                <w:highlight w:val="none"/>
              </w:rPr>
              <w:t>各项监测因子均满足《地下水质量标准》(GB/T14848-2017)Ⅲ类标准限值</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color w:val="auto"/>
                <w:kern w:val="0"/>
                <w:sz w:val="24"/>
                <w:lang w:val="en-US" w:eastAsia="zh-CN"/>
              </w:rPr>
              <w:t>评价区潜水水位埋深较浅，包气带厚度小，天然防护能力不强，地面堆积的生活垃圾、农家肥等经雨水林滤渗透进入潜水含水层，造成上述指标含量超标。</w:t>
            </w:r>
          </w:p>
          <w:p>
            <w:pPr>
              <w:pStyle w:val="11"/>
              <w:keepNext w:val="0"/>
              <w:keepLines w:val="0"/>
              <w:pageBreakBefore w:val="0"/>
              <w:widowControl w:val="0"/>
              <w:kinsoku/>
              <w:wordWrap/>
              <w:overflowPunct/>
              <w:topLinePunct w:val="0"/>
              <w:autoSpaceDE/>
              <w:autoSpaceDN/>
              <w:bidi w:val="0"/>
              <w:adjustRightInd/>
              <w:snapToGrid/>
              <w:spacing w:before="0" w:after="0" w:line="440" w:lineRule="exact"/>
              <w:jc w:val="both"/>
              <w:textAlignment w:val="auto"/>
              <w:rPr>
                <w:rFonts w:hint="eastAsia"/>
                <w:b/>
                <w:bCs/>
                <w:color w:val="auto"/>
                <w:sz w:val="24"/>
                <w:szCs w:val="24"/>
                <w:lang w:val="en-US" w:eastAsia="zh-CN"/>
              </w:rPr>
            </w:pPr>
            <w:r>
              <w:rPr>
                <w:rFonts w:hint="eastAsia"/>
                <w:b/>
                <w:bCs/>
                <w:color w:val="auto"/>
                <w:sz w:val="24"/>
                <w:szCs w:val="24"/>
                <w:lang w:val="en-US" w:eastAsia="zh-CN"/>
              </w:rPr>
              <w:t>四、声环境质量现状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eastAsia="zh-CN"/>
              </w:rPr>
              <w:t>监测</w:t>
            </w:r>
            <w:r>
              <w:rPr>
                <w:rFonts w:hint="default" w:ascii="Times New Roman" w:hAnsi="Times New Roman" w:cs="Times New Roman"/>
                <w:color w:val="auto"/>
                <w:sz w:val="24"/>
                <w:szCs w:val="24"/>
                <w:highlight w:val="none"/>
              </w:rPr>
              <w:t>点位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根据项目所在地理位置及所在区域声环境保护目标分布情况，</w:t>
            </w:r>
            <w:r>
              <w:rPr>
                <w:rFonts w:hint="eastAsia" w:cs="Times New Roman"/>
                <w:color w:val="auto"/>
                <w:sz w:val="24"/>
                <w:szCs w:val="24"/>
                <w:highlight w:val="none"/>
                <w:lang w:eastAsia="zh-CN"/>
              </w:rPr>
              <w:t>拟建项目</w:t>
            </w:r>
            <w:r>
              <w:rPr>
                <w:rFonts w:hint="default" w:ascii="Times New Roman" w:hAnsi="Times New Roman" w:cs="Times New Roman"/>
                <w:color w:val="auto"/>
                <w:sz w:val="24"/>
                <w:szCs w:val="24"/>
                <w:highlight w:val="none"/>
              </w:rPr>
              <w:t>共设置4处</w:t>
            </w:r>
            <w:r>
              <w:rPr>
                <w:rFonts w:hint="eastAsia" w:cs="Times New Roman"/>
                <w:color w:val="auto"/>
                <w:sz w:val="24"/>
                <w:szCs w:val="24"/>
                <w:highlight w:val="none"/>
                <w:lang w:eastAsia="zh-CN"/>
              </w:rPr>
              <w:t>厂界</w:t>
            </w:r>
            <w:r>
              <w:rPr>
                <w:rFonts w:hint="default" w:ascii="Times New Roman" w:hAnsi="Times New Roman" w:cs="Times New Roman"/>
                <w:color w:val="auto"/>
                <w:sz w:val="24"/>
                <w:szCs w:val="24"/>
                <w:highlight w:val="none"/>
              </w:rPr>
              <w:t>噪声检测点位。具体</w:t>
            </w:r>
            <w:r>
              <w:rPr>
                <w:rFonts w:hint="eastAsia" w:cs="Times New Roman"/>
                <w:color w:val="auto"/>
                <w:sz w:val="24"/>
                <w:szCs w:val="24"/>
                <w:highlight w:val="none"/>
                <w:lang w:eastAsia="zh-CN"/>
              </w:rPr>
              <w:t>监测</w:t>
            </w:r>
            <w:r>
              <w:rPr>
                <w:rFonts w:hint="default" w:ascii="Times New Roman" w:hAnsi="Times New Roman" w:cs="Times New Roman"/>
                <w:color w:val="auto"/>
                <w:sz w:val="24"/>
                <w:szCs w:val="24"/>
                <w:highlight w:val="none"/>
              </w:rPr>
              <w:t>点位布置见下表。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 xml:space="preserve">    声环境</w:t>
            </w:r>
            <w:r>
              <w:rPr>
                <w:rFonts w:hint="eastAsia" w:cs="Times New Roman"/>
                <w:b/>
                <w:bCs/>
                <w:color w:val="auto"/>
                <w:sz w:val="24"/>
                <w:szCs w:val="24"/>
                <w:highlight w:val="none"/>
                <w:lang w:eastAsia="zh-CN"/>
              </w:rPr>
              <w:t>质量</w:t>
            </w:r>
            <w:r>
              <w:rPr>
                <w:rFonts w:hint="default" w:ascii="Times New Roman" w:hAnsi="Times New Roman" w:cs="Times New Roman"/>
                <w:b/>
                <w:bCs/>
                <w:color w:val="auto"/>
                <w:sz w:val="24"/>
                <w:szCs w:val="24"/>
                <w:highlight w:val="none"/>
              </w:rPr>
              <w:t>现状</w:t>
            </w:r>
            <w:r>
              <w:rPr>
                <w:rFonts w:hint="eastAsia" w:cs="Times New Roman"/>
                <w:b/>
                <w:bCs/>
                <w:color w:val="auto"/>
                <w:sz w:val="24"/>
                <w:szCs w:val="24"/>
                <w:highlight w:val="none"/>
                <w:lang w:eastAsia="zh-CN"/>
              </w:rPr>
              <w:t>监测</w:t>
            </w:r>
            <w:r>
              <w:rPr>
                <w:rFonts w:hint="default" w:ascii="Times New Roman" w:hAnsi="Times New Roman" w:cs="Times New Roman"/>
                <w:b/>
                <w:bCs/>
                <w:color w:val="auto"/>
                <w:sz w:val="24"/>
                <w:szCs w:val="24"/>
                <w:highlight w:val="none"/>
              </w:rPr>
              <w:t>点位</w:t>
            </w:r>
            <w:r>
              <w:rPr>
                <w:rFonts w:hint="eastAsia" w:cs="Times New Roman"/>
                <w:b/>
                <w:bCs/>
                <w:color w:val="auto"/>
                <w:sz w:val="24"/>
                <w:szCs w:val="24"/>
                <w:highlight w:val="none"/>
                <w:lang w:eastAsia="zh-CN"/>
              </w:rPr>
              <w:t>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3982"/>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点位编号</w:t>
                  </w:r>
                </w:p>
              </w:tc>
              <w:tc>
                <w:tcPr>
                  <w:tcW w:w="2484"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检测点位置</w:t>
                  </w:r>
                </w:p>
              </w:tc>
              <w:tc>
                <w:tcPr>
                  <w:tcW w:w="1666"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484" w:type="pct"/>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厂界东侧外1m处</w:t>
                  </w:r>
                </w:p>
              </w:tc>
              <w:tc>
                <w:tcPr>
                  <w:tcW w:w="1666" w:type="pct"/>
                  <w:vMerge w:val="restar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484" w:type="pct"/>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厂界南侧外1m处</w:t>
                  </w:r>
                </w:p>
              </w:tc>
              <w:tc>
                <w:tcPr>
                  <w:tcW w:w="1666"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484" w:type="pct"/>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厂界西侧外1m处</w:t>
                  </w:r>
                </w:p>
              </w:tc>
              <w:tc>
                <w:tcPr>
                  <w:tcW w:w="1666"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484" w:type="pct"/>
                  <w:noWrap w:val="0"/>
                  <w:vAlign w:val="center"/>
                </w:tcPr>
                <w:p>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厂界北侧外1m处</w:t>
                  </w:r>
                </w:p>
              </w:tc>
              <w:tc>
                <w:tcPr>
                  <w:tcW w:w="1666"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（2）</w:t>
            </w:r>
            <w:r>
              <w:rPr>
                <w:rFonts w:hint="eastAsia" w:cs="Times New Roman"/>
                <w:color w:val="auto"/>
                <w:sz w:val="24"/>
                <w:szCs w:val="24"/>
                <w:highlight w:val="none"/>
                <w:lang w:eastAsia="zh-CN"/>
              </w:rPr>
              <w:t>监测</w:t>
            </w:r>
            <w:r>
              <w:rPr>
                <w:rFonts w:cs="Times New Roman"/>
                <w:color w:val="auto"/>
                <w:sz w:val="24"/>
                <w:szCs w:val="24"/>
                <w:highlight w:val="none"/>
              </w:rPr>
              <w:t>因子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等效连续A声级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（3）</w:t>
            </w:r>
            <w:r>
              <w:rPr>
                <w:rFonts w:hint="eastAsia" w:cs="Times New Roman"/>
                <w:color w:val="auto"/>
                <w:sz w:val="24"/>
                <w:szCs w:val="24"/>
                <w:highlight w:val="none"/>
                <w:lang w:eastAsia="zh-CN"/>
              </w:rPr>
              <w:t>监测</w:t>
            </w:r>
            <w:r>
              <w:rPr>
                <w:rFonts w:cs="Times New Roman"/>
                <w:color w:val="auto"/>
                <w:sz w:val="24"/>
                <w:szCs w:val="24"/>
                <w:highlight w:val="none"/>
              </w:rPr>
              <w:t>时间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202</w:t>
            </w:r>
            <w:r>
              <w:rPr>
                <w:rFonts w:hint="eastAsia" w:cs="Times New Roman"/>
                <w:color w:val="auto"/>
                <w:sz w:val="24"/>
                <w:szCs w:val="24"/>
                <w:highlight w:val="none"/>
                <w:lang w:val="en-US" w:eastAsia="zh-CN"/>
              </w:rPr>
              <w:t>0</w:t>
            </w:r>
            <w:r>
              <w:rPr>
                <w:rFonts w:cs="Times New Roman"/>
                <w:color w:val="auto"/>
                <w:sz w:val="24"/>
                <w:szCs w:val="24"/>
                <w:highlight w:val="none"/>
              </w:rPr>
              <w:t>年</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14</w:t>
            </w:r>
            <w:r>
              <w:rPr>
                <w:rFonts w:cs="Times New Roman"/>
                <w:color w:val="auto"/>
                <w:sz w:val="24"/>
                <w:szCs w:val="24"/>
                <w:highlight w:val="none"/>
              </w:rPr>
              <w:t>日~202</w:t>
            </w:r>
            <w:r>
              <w:rPr>
                <w:rFonts w:hint="eastAsia" w:cs="Times New Roman"/>
                <w:color w:val="auto"/>
                <w:sz w:val="24"/>
                <w:szCs w:val="24"/>
                <w:highlight w:val="none"/>
                <w:lang w:val="en-US" w:eastAsia="zh-CN"/>
              </w:rPr>
              <w:t>0</w:t>
            </w:r>
            <w:r>
              <w:rPr>
                <w:rFonts w:cs="Times New Roman"/>
                <w:color w:val="auto"/>
                <w:sz w:val="24"/>
                <w:szCs w:val="24"/>
                <w:highlight w:val="none"/>
              </w:rPr>
              <w:t>年</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15</w:t>
            </w:r>
            <w:r>
              <w:rPr>
                <w:rFonts w:cs="Times New Roman"/>
                <w:color w:val="auto"/>
                <w:sz w:val="24"/>
                <w:szCs w:val="24"/>
                <w:highlight w:val="none"/>
              </w:rPr>
              <w:t>日，检测两天，昼夜各一次。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（4）</w:t>
            </w:r>
            <w:r>
              <w:rPr>
                <w:rFonts w:hint="eastAsia" w:cs="Times New Roman"/>
                <w:color w:val="auto"/>
                <w:sz w:val="24"/>
                <w:szCs w:val="24"/>
                <w:highlight w:val="none"/>
                <w:lang w:eastAsia="zh-CN"/>
              </w:rPr>
              <w:t>评价</w:t>
            </w:r>
            <w:r>
              <w:rPr>
                <w:rFonts w:cs="Times New Roman"/>
                <w:color w:val="auto"/>
                <w:sz w:val="24"/>
                <w:szCs w:val="24"/>
                <w:highlight w:val="none"/>
              </w:rPr>
              <w:t>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《声环境质量标准》（GB3096-2008）中的</w:t>
            </w:r>
            <w:r>
              <w:rPr>
                <w:rFonts w:hint="eastAsia" w:cs="Times New Roman"/>
                <w:color w:val="auto"/>
                <w:sz w:val="24"/>
                <w:szCs w:val="24"/>
                <w:highlight w:val="none"/>
                <w:lang w:val="en-US" w:eastAsia="zh-CN"/>
              </w:rPr>
              <w:t>3</w:t>
            </w:r>
            <w:r>
              <w:rPr>
                <w:rFonts w:cs="Times New Roman"/>
                <w:color w:val="auto"/>
                <w:sz w:val="24"/>
                <w:szCs w:val="24"/>
                <w:highlight w:val="none"/>
              </w:rPr>
              <w:t>类</w:t>
            </w:r>
            <w:r>
              <w:rPr>
                <w:rFonts w:hint="eastAsia" w:cs="Times New Roman"/>
                <w:color w:val="auto"/>
                <w:sz w:val="24"/>
                <w:szCs w:val="24"/>
                <w:highlight w:val="none"/>
                <w:lang w:eastAsia="zh-CN"/>
              </w:rPr>
              <w:t>区</w:t>
            </w:r>
            <w:r>
              <w:rPr>
                <w:rFonts w:cs="Times New Roman"/>
                <w:color w:val="auto"/>
                <w:sz w:val="24"/>
                <w:szCs w:val="24"/>
                <w:highlight w:val="none"/>
              </w:rPr>
              <w:t>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（5）</w:t>
            </w:r>
            <w:r>
              <w:rPr>
                <w:rFonts w:hint="eastAsia" w:cs="Times New Roman"/>
                <w:color w:val="auto"/>
                <w:sz w:val="24"/>
                <w:szCs w:val="24"/>
                <w:highlight w:val="none"/>
                <w:lang w:eastAsia="zh-CN"/>
              </w:rPr>
              <w:t>监测</w:t>
            </w:r>
            <w:r>
              <w:rPr>
                <w:rFonts w:cs="Times New Roman"/>
                <w:color w:val="auto"/>
                <w:sz w:val="24"/>
                <w:szCs w:val="24"/>
                <w:highlight w:val="none"/>
              </w:rPr>
              <w:t>结果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eastAsia="zh-CN"/>
              </w:rPr>
              <w:t>监测</w:t>
            </w:r>
            <w:r>
              <w:rPr>
                <w:rFonts w:cs="Times New Roman"/>
                <w:color w:val="auto"/>
                <w:sz w:val="24"/>
                <w:szCs w:val="24"/>
                <w:highlight w:val="none"/>
              </w:rPr>
              <w:t>结果见下表。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b/>
                <w:bCs/>
                <w:color w:val="auto"/>
                <w:sz w:val="24"/>
                <w:szCs w:val="24"/>
                <w:highlight w:val="none"/>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cs="Times New Roman"/>
                <w:b/>
                <w:bCs/>
                <w:color w:val="auto"/>
                <w:sz w:val="24"/>
                <w:szCs w:val="24"/>
                <w:highlight w:val="none"/>
              </w:rPr>
              <w:t>-</w:t>
            </w:r>
            <w:r>
              <w:rPr>
                <w:rFonts w:hint="eastAsia" w:cs="Times New Roman"/>
                <w:b/>
                <w:bCs/>
                <w:color w:val="auto"/>
                <w:sz w:val="24"/>
                <w:szCs w:val="24"/>
                <w:highlight w:val="none"/>
                <w:lang w:val="en-US" w:eastAsia="zh-CN"/>
              </w:rPr>
              <w:t>9</w:t>
            </w:r>
            <w:r>
              <w:rPr>
                <w:rFonts w:cs="Times New Roman"/>
                <w:b/>
                <w:bCs/>
                <w:color w:val="auto"/>
                <w:sz w:val="24"/>
                <w:szCs w:val="24"/>
                <w:highlight w:val="none"/>
              </w:rPr>
              <w:t xml:space="preserve">    声环境</w:t>
            </w:r>
            <w:r>
              <w:rPr>
                <w:rFonts w:hint="eastAsia" w:cs="Times New Roman"/>
                <w:b/>
                <w:bCs/>
                <w:color w:val="auto"/>
                <w:sz w:val="24"/>
                <w:szCs w:val="24"/>
                <w:highlight w:val="none"/>
                <w:lang w:eastAsia="zh-CN"/>
              </w:rPr>
              <w:t>监测</w:t>
            </w:r>
            <w:r>
              <w:rPr>
                <w:rFonts w:cs="Times New Roman"/>
                <w:b/>
                <w:bCs/>
                <w:color w:val="auto"/>
                <w:sz w:val="24"/>
                <w:szCs w:val="24"/>
                <w:highlight w:val="none"/>
              </w:rPr>
              <w:t>结果一览表</w:t>
            </w:r>
            <w:r>
              <w:rPr>
                <w:rFonts w:hint="eastAsia" w:cs="Times New Roman"/>
                <w:b/>
                <w:bCs/>
                <w:color w:val="auto"/>
                <w:sz w:val="24"/>
                <w:szCs w:val="24"/>
                <w:highlight w:val="none"/>
              </w:rPr>
              <w:t xml:space="preserve">   </w:t>
            </w:r>
            <w:r>
              <w:rPr>
                <w:rFonts w:hint="eastAsia" w:cs="Times New Roman"/>
                <w:b/>
                <w:bCs/>
                <w:color w:val="auto"/>
                <w:sz w:val="24"/>
                <w:szCs w:val="24"/>
                <w:highlight w:val="none"/>
                <w:lang w:val="en-US" w:eastAsia="zh-CN"/>
              </w:rPr>
              <w:t xml:space="preserve">                </w:t>
            </w:r>
            <w:r>
              <w:rPr>
                <w:rFonts w:hint="eastAsia" w:cs="Times New Roman"/>
                <w:b/>
                <w:bCs/>
                <w:color w:val="auto"/>
                <w:sz w:val="24"/>
                <w:szCs w:val="24"/>
                <w:highlight w:val="none"/>
              </w:rPr>
              <w:t>单位：dB（A）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008"/>
              <w:gridCol w:w="1287"/>
              <w:gridCol w:w="1125"/>
              <w:gridCol w:w="1188"/>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监测日期</w:t>
                  </w:r>
                </w:p>
              </w:tc>
              <w:tc>
                <w:tcPr>
                  <w:tcW w:w="125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点位名称</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监测</w:t>
                  </w:r>
                  <w:r>
                    <w:rPr>
                      <w:rFonts w:hint="default" w:ascii="Times New Roman" w:hAnsi="Times New Roman" w:cs="Times New Roman"/>
                      <w:color w:val="auto"/>
                      <w:sz w:val="21"/>
                      <w:szCs w:val="21"/>
                      <w:highlight w:val="none"/>
                    </w:rPr>
                    <w:t>时段</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监测</w:t>
                  </w:r>
                  <w:r>
                    <w:rPr>
                      <w:rFonts w:hint="default" w:ascii="Times New Roman" w:hAnsi="Times New Roman" w:cs="Times New Roman"/>
                      <w:color w:val="auto"/>
                      <w:sz w:val="21"/>
                      <w:szCs w:val="21"/>
                      <w:highlight w:val="none"/>
                    </w:rPr>
                    <w:t>结果</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标准限值</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2020.3.14</w:t>
                  </w: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厂界东侧外1m处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厂界南侧外1m处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厂界西侧外1m处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厂界北侧外1m处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2020.3.15</w:t>
                  </w: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厂界东侧外1m处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48</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41</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厂界南侧外1m处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38</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厂界西侧外1m处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47</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厂界北侧外1m处</w:t>
                  </w: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46</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741"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根据现状监测结果</w:t>
            </w:r>
            <w:r>
              <w:rPr>
                <w:rFonts w:hint="default" w:ascii="Times New Roman" w:hAnsi="Times New Roman" w:cs="Times New Roman"/>
                <w:color w:val="auto"/>
                <w:sz w:val="24"/>
                <w:szCs w:val="24"/>
                <w:highlight w:val="none"/>
              </w:rPr>
              <w:t>可知，</w:t>
            </w:r>
            <w:r>
              <w:rPr>
                <w:rFonts w:hint="eastAsia" w:cs="Times New Roman"/>
                <w:color w:val="auto"/>
                <w:sz w:val="24"/>
                <w:szCs w:val="24"/>
                <w:highlight w:val="none"/>
                <w:lang w:val="en-US" w:eastAsia="zh-CN"/>
              </w:rPr>
              <w:t>拟建项目</w:t>
            </w:r>
            <w:r>
              <w:rPr>
                <w:rFonts w:hint="eastAsia" w:cs="Times New Roman"/>
                <w:color w:val="auto"/>
                <w:sz w:val="24"/>
                <w:szCs w:val="24"/>
                <w:highlight w:val="none"/>
                <w:lang w:eastAsia="zh-CN"/>
              </w:rPr>
              <w:t>声环境质量</w:t>
            </w:r>
            <w:r>
              <w:rPr>
                <w:rFonts w:hint="default" w:ascii="Times New Roman" w:hAnsi="Times New Roman" w:cs="Times New Roman"/>
                <w:color w:val="auto"/>
                <w:sz w:val="24"/>
                <w:szCs w:val="24"/>
                <w:highlight w:val="none"/>
              </w:rPr>
              <w:t>满足《声环境质量标准》（GB3096-2008）</w:t>
            </w:r>
            <w:r>
              <w:rPr>
                <w:rFonts w:hint="eastAsia" w:cs="Times New Roman"/>
                <w:color w:val="auto"/>
                <w:sz w:val="24"/>
                <w:szCs w:val="24"/>
                <w:highlight w:val="none"/>
                <w:lang w:val="en-US" w:eastAsia="zh-CN"/>
              </w:rPr>
              <w:t>3类</w:t>
            </w:r>
            <w:r>
              <w:rPr>
                <w:rFonts w:hint="default" w:ascii="Times New Roman" w:hAnsi="Times New Roman" w:cs="Times New Roman"/>
                <w:color w:val="auto"/>
                <w:sz w:val="24"/>
                <w:szCs w:val="24"/>
                <w:highlight w:val="none"/>
              </w:rPr>
              <w:t>标准要求</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声环境质量良好。</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both"/>
              <w:textAlignment w:val="auto"/>
              <w:rPr>
                <w:rFonts w:hint="eastAsia"/>
                <w:color w:val="auto"/>
                <w:lang w:val="en-US" w:eastAsia="zh-CN"/>
              </w:rPr>
            </w:pPr>
            <w:r>
              <w:rPr>
                <w:rFonts w:hint="eastAsia"/>
                <w:color w:val="auto"/>
                <w:sz w:val="24"/>
                <w:szCs w:val="24"/>
                <w:lang w:val="en-US" w:eastAsia="zh-CN"/>
              </w:rPr>
              <w:t>五、土壤环境</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（1）监测布点</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占地范围内设定3个柱状样点、1个表层样点，占地范围外设定2个表层样点，监测布点见表3</w:t>
            </w:r>
            <w:r>
              <w:rPr>
                <w:rFonts w:hint="default" w:ascii="Times New Roman" w:hAnsi="Times New Roman" w:eastAsia="宋体" w:cs="Times New Roman"/>
                <w:color w:val="auto"/>
                <w:kern w:val="0"/>
                <w:sz w:val="24"/>
                <w:lang w:val="en-US" w:eastAsia="zh-CN"/>
              </w:rPr>
              <w:t>-1</w:t>
            </w:r>
            <w:r>
              <w:rPr>
                <w:rFonts w:hint="eastAsia" w:cs="Times New Roman"/>
                <w:color w:val="auto"/>
                <w:kern w:val="0"/>
                <w:sz w:val="24"/>
                <w:lang w:val="en-US" w:eastAsia="zh-CN"/>
              </w:rPr>
              <w:t>0</w:t>
            </w:r>
            <w:r>
              <w:rPr>
                <w:rFonts w:hint="default" w:ascii="Times New Roman" w:hAnsi="Times New Roman" w:eastAsia="宋体" w:cs="Times New Roman"/>
                <w:color w:val="auto"/>
                <w:kern w:val="0"/>
                <w:sz w:val="24"/>
              </w:rPr>
              <w:t>。</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ascii="Times New Roman" w:hAnsi="Times New Roman" w:eastAsia="宋体" w:cs="Times New Roman"/>
                <w:b/>
                <w:color w:val="auto"/>
                <w:kern w:val="0"/>
                <w:sz w:val="24"/>
              </w:rPr>
            </w:pPr>
            <w:r>
              <w:rPr>
                <w:rFonts w:hint="eastAsia" w:cs="Times New Roman"/>
                <w:b/>
                <w:color w:val="auto"/>
                <w:kern w:val="0"/>
                <w:sz w:val="24"/>
                <w:lang w:val="en-US" w:eastAsia="zh-CN"/>
              </w:rPr>
              <w:t>表</w:t>
            </w:r>
            <w:r>
              <w:rPr>
                <w:rFonts w:hint="default" w:ascii="Times New Roman" w:hAnsi="Times New Roman" w:eastAsia="宋体" w:cs="Times New Roman"/>
                <w:b/>
                <w:color w:val="auto"/>
                <w:kern w:val="0"/>
                <w:sz w:val="24"/>
                <w:lang w:val="en-US" w:eastAsia="zh-CN"/>
              </w:rPr>
              <w:t>3-1</w:t>
            </w:r>
            <w:r>
              <w:rPr>
                <w:rFonts w:hint="eastAsia" w:cs="Times New Roman"/>
                <w:b/>
                <w:color w:val="auto"/>
                <w:kern w:val="0"/>
                <w:sz w:val="24"/>
                <w:lang w:val="en-US" w:eastAsia="zh-CN"/>
              </w:rPr>
              <w:t>0</w:t>
            </w:r>
            <w:r>
              <w:rPr>
                <w:rFonts w:hint="default"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rPr>
              <w:t xml:space="preserve">  监测点及监测因子情况一览表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79"/>
              <w:gridCol w:w="1781"/>
              <w:gridCol w:w="1601"/>
              <w:gridCol w:w="40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6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11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监测点名称</w:t>
                  </w:r>
                </w:p>
              </w:tc>
              <w:tc>
                <w:tcPr>
                  <w:tcW w:w="99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监测深度</w:t>
                  </w:r>
                </w:p>
              </w:tc>
              <w:tc>
                <w:tcPr>
                  <w:tcW w:w="2528"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监测因子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T1</w:t>
                  </w:r>
                </w:p>
              </w:tc>
              <w:tc>
                <w:tcPr>
                  <w:tcW w:w="111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油库东部（</w:t>
                  </w:r>
                  <w:r>
                    <w:rPr>
                      <w:rFonts w:hint="eastAsia" w:ascii="Times New Roman" w:hAnsi="Times New Roman" w:cs="Times New Roman"/>
                      <w:color w:val="auto"/>
                      <w:kern w:val="0"/>
                      <w:szCs w:val="21"/>
                      <w:lang w:eastAsia="zh-CN"/>
                    </w:rPr>
                    <w:t>储罐</w:t>
                  </w:r>
                  <w:r>
                    <w:rPr>
                      <w:rFonts w:hint="default" w:ascii="Times New Roman" w:hAnsi="Times New Roman" w:eastAsia="宋体" w:cs="Times New Roman"/>
                      <w:color w:val="auto"/>
                      <w:kern w:val="0"/>
                      <w:szCs w:val="21"/>
                      <w:lang w:eastAsia="zh-CN"/>
                    </w:rPr>
                    <w:t>区</w:t>
                  </w:r>
                  <w:r>
                    <w:rPr>
                      <w:rFonts w:hint="default" w:ascii="Times New Roman" w:hAnsi="Times New Roman" w:eastAsia="宋体" w:cs="Times New Roman"/>
                      <w:color w:val="auto"/>
                      <w:kern w:val="0"/>
                      <w:szCs w:val="21"/>
                    </w:rPr>
                    <w:t>）</w:t>
                  </w:r>
                </w:p>
              </w:tc>
              <w:tc>
                <w:tcPr>
                  <w:tcW w:w="998" w:type="pct"/>
                  <w:vMerge w:val="restar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柱状样点：表层（0.2-0.4m）中层（1m）深层（2.5m）</w:t>
                  </w:r>
                </w:p>
              </w:tc>
              <w:tc>
                <w:tcPr>
                  <w:tcW w:w="2528" w:type="pct"/>
                  <w:vMerge w:val="restart"/>
                  <w:noWrap w:val="0"/>
                  <w:vAlign w:val="center"/>
                </w:tcPr>
                <w:p>
                  <w:pPr>
                    <w:widowControl/>
                    <w:spacing w:line="300" w:lineRule="exact"/>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《土壤环境质量建设用地土壤污染风险管控标准》（GB36600-2018）表1中所有基本项目（45项）；特征因子：</w:t>
                  </w:r>
                  <w:r>
                    <w:rPr>
                      <w:rFonts w:hint="eastAsia" w:cs="Times New Roman"/>
                      <w:color w:val="auto"/>
                      <w:kern w:val="0"/>
                      <w:szCs w:val="21"/>
                      <w:lang w:val="en-US" w:eastAsia="zh-CN"/>
                    </w:rPr>
                    <w:t>铬、</w:t>
                  </w:r>
                  <w:r>
                    <w:rPr>
                      <w:rFonts w:hint="default" w:ascii="Times New Roman" w:hAnsi="Times New Roman" w:eastAsia="宋体" w:cs="Times New Roman"/>
                      <w:color w:val="auto"/>
                      <w:kern w:val="0"/>
                      <w:szCs w:val="21"/>
                    </w:rPr>
                    <w:t>石油烃；调查记录内容：pH、土壤含盐量、缓冲容量、阳离子交换量、氧化还原电位、饱和导水率、土壤容重、孔隙度。共计54项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T2</w:t>
                  </w:r>
                </w:p>
              </w:tc>
              <w:tc>
                <w:tcPr>
                  <w:tcW w:w="111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油库东部（汽车发油棚）</w:t>
                  </w:r>
                </w:p>
              </w:tc>
              <w:tc>
                <w:tcPr>
                  <w:tcW w:w="998" w:type="pct"/>
                  <w:vMerge w:val="continue"/>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p>
              </w:tc>
              <w:tc>
                <w:tcPr>
                  <w:tcW w:w="2528" w:type="pct"/>
                  <w:vMerge w:val="continue"/>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T3</w:t>
                  </w:r>
                </w:p>
              </w:tc>
              <w:tc>
                <w:tcPr>
                  <w:tcW w:w="111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油库中南部（含油污水处理区）</w:t>
                  </w:r>
                </w:p>
              </w:tc>
              <w:tc>
                <w:tcPr>
                  <w:tcW w:w="998" w:type="pct"/>
                  <w:vMerge w:val="continue"/>
                  <w:noWrap w:val="0"/>
                  <w:vAlign w:val="center"/>
                </w:tcPr>
                <w:p>
                  <w:pPr>
                    <w:widowControl/>
                    <w:spacing w:line="300" w:lineRule="exact"/>
                    <w:jc w:val="center"/>
                    <w:textAlignment w:val="baseline"/>
                    <w:rPr>
                      <w:rFonts w:hint="default" w:ascii="Times New Roman" w:hAnsi="Times New Roman" w:eastAsia="宋体" w:cs="Times New Roman"/>
                      <w:b/>
                      <w:color w:val="auto"/>
                      <w:kern w:val="0"/>
                      <w:szCs w:val="21"/>
                    </w:rPr>
                  </w:pPr>
                </w:p>
              </w:tc>
              <w:tc>
                <w:tcPr>
                  <w:tcW w:w="2528" w:type="pct"/>
                  <w:vMerge w:val="continue"/>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T4</w:t>
                  </w:r>
                </w:p>
              </w:tc>
              <w:tc>
                <w:tcPr>
                  <w:tcW w:w="111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油库东部（</w:t>
                  </w:r>
                  <w:r>
                    <w:rPr>
                      <w:rFonts w:hint="eastAsia" w:ascii="Times New Roman" w:hAnsi="Times New Roman" w:cs="Times New Roman"/>
                      <w:color w:val="auto"/>
                      <w:kern w:val="0"/>
                      <w:szCs w:val="21"/>
                      <w:lang w:eastAsia="zh-CN"/>
                    </w:rPr>
                    <w:t>储罐</w:t>
                  </w:r>
                  <w:r>
                    <w:rPr>
                      <w:rFonts w:hint="default" w:ascii="Times New Roman" w:hAnsi="Times New Roman" w:eastAsia="宋体" w:cs="Times New Roman"/>
                      <w:color w:val="auto"/>
                      <w:kern w:val="0"/>
                      <w:szCs w:val="21"/>
                      <w:lang w:eastAsia="zh-CN"/>
                    </w:rPr>
                    <w:t>区</w:t>
                  </w:r>
                  <w:r>
                    <w:rPr>
                      <w:rFonts w:hint="default" w:ascii="Times New Roman" w:hAnsi="Times New Roman" w:eastAsia="宋体" w:cs="Times New Roman"/>
                      <w:color w:val="auto"/>
                      <w:kern w:val="0"/>
                      <w:szCs w:val="21"/>
                    </w:rPr>
                    <w:t>）</w:t>
                  </w:r>
                </w:p>
              </w:tc>
              <w:tc>
                <w:tcPr>
                  <w:tcW w:w="998" w:type="pct"/>
                  <w:tcBorders>
                    <w:bottom w:val="single" w:color="auto" w:sz="6" w:space="0"/>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表层样点：（0-0.2m）</w:t>
                  </w:r>
                </w:p>
              </w:tc>
              <w:tc>
                <w:tcPr>
                  <w:tcW w:w="2528" w:type="pct"/>
                  <w:vMerge w:val="continue"/>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T5</w:t>
                  </w:r>
                </w:p>
              </w:tc>
              <w:tc>
                <w:tcPr>
                  <w:tcW w:w="111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油库西南侧100m（耕地）</w:t>
                  </w:r>
                </w:p>
              </w:tc>
              <w:tc>
                <w:tcPr>
                  <w:tcW w:w="998" w:type="pct"/>
                  <w:tcBorders>
                    <w:top w:val="single" w:color="auto" w:sz="6" w:space="0"/>
                    <w:bottom w:val="single" w:color="auto" w:sz="4" w:space="0"/>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表层样点：（0-0.2m）</w:t>
                  </w:r>
                </w:p>
              </w:tc>
              <w:tc>
                <w:tcPr>
                  <w:tcW w:w="2528" w:type="pct"/>
                  <w:vMerge w:val="restart"/>
                  <w:noWrap w:val="0"/>
                  <w:vAlign w:val="center"/>
                </w:tcPr>
                <w:p>
                  <w:pPr>
                    <w:widowControl/>
                    <w:spacing w:line="300" w:lineRule="exact"/>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土壤环境质量农用地土壤污染风险管控标准》（GB15618-2018）表1中所有基本项目（汞、镉、砷、铅、铬、铜、锌、镍）；特征因子：石油烃类；同时调查记录pH、土壤含盐量、缓冲容量、阳离子交换量、氧化还原电位、饱和含水率、土壤容重、孔隙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T6</w:t>
                  </w:r>
                </w:p>
              </w:tc>
              <w:tc>
                <w:tcPr>
                  <w:tcW w:w="1111" w:type="pct"/>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油库北侧100（林地）</w:t>
                  </w:r>
                </w:p>
              </w:tc>
              <w:tc>
                <w:tcPr>
                  <w:tcW w:w="998" w:type="pct"/>
                  <w:tcBorders>
                    <w:top w:val="single" w:color="auto" w:sz="4" w:space="0"/>
                  </w:tcBorders>
                  <w:noWrap w:val="0"/>
                  <w:vAlign w:val="center"/>
                </w:tcPr>
                <w:p>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表层样点：（0-0.2m）</w:t>
                  </w:r>
                </w:p>
              </w:tc>
              <w:tc>
                <w:tcPr>
                  <w:tcW w:w="2528" w:type="pct"/>
                  <w:vMerge w:val="continue"/>
                  <w:noWrap w:val="0"/>
                  <w:vAlign w:val="center"/>
                </w:tcPr>
                <w:p>
                  <w:pPr>
                    <w:widowControl/>
                    <w:spacing w:line="300" w:lineRule="exact"/>
                    <w:ind w:firstLine="560"/>
                    <w:jc w:val="center"/>
                    <w:textAlignment w:val="baseline"/>
                    <w:rPr>
                      <w:rFonts w:hint="default" w:ascii="Times New Roman" w:hAnsi="Times New Roman" w:eastAsia="宋体" w:cs="Times New Roman"/>
                      <w:color w:val="auto"/>
                      <w:kern w:val="0"/>
                      <w:szCs w:val="21"/>
                    </w:rPr>
                  </w:pPr>
                </w:p>
              </w:tc>
            </w:tr>
          </w:tbl>
          <w:p>
            <w:pPr>
              <w:keepNext w:val="0"/>
              <w:keepLines w:val="0"/>
              <w:pageBreakBefore w:val="0"/>
              <w:widowControl/>
              <w:kinsoku/>
              <w:wordWrap/>
              <w:overflowPunct/>
              <w:topLinePunct w:val="0"/>
              <w:autoSpaceDE/>
              <w:autoSpaceDN/>
              <w:bidi w:val="0"/>
              <w:spacing w:line="440" w:lineRule="exact"/>
              <w:ind w:firstLine="480" w:firstLineChars="200"/>
              <w:textAlignment w:val="baseline"/>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（2）</w:t>
            </w:r>
            <w:r>
              <w:rPr>
                <w:rFonts w:hint="eastAsia" w:cs="Times New Roman"/>
                <w:color w:val="auto"/>
                <w:kern w:val="0"/>
                <w:sz w:val="24"/>
                <w:lang w:val="en-US" w:eastAsia="zh-CN"/>
              </w:rPr>
              <w:t>监测结果</w:t>
            </w:r>
          </w:p>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rPr>
            </w:pPr>
          </w:p>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rPr>
            </w:pPr>
          </w:p>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val="en-US" w:eastAsia="zh-CN"/>
              </w:rPr>
            </w:pP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007"/>
              <w:gridCol w:w="700"/>
              <w:gridCol w:w="736"/>
              <w:gridCol w:w="818"/>
              <w:gridCol w:w="760"/>
              <w:gridCol w:w="831"/>
              <w:gridCol w:w="726"/>
              <w:gridCol w:w="791"/>
              <w:gridCol w:w="715"/>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检测时间</w:t>
                  </w:r>
                </w:p>
              </w:tc>
              <w:tc>
                <w:tcPr>
                  <w:tcW w:w="6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项目</w:t>
                  </w:r>
                </w:p>
              </w:tc>
              <w:tc>
                <w:tcPr>
                  <w:tcW w:w="43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筛选值</w:t>
                  </w:r>
                </w:p>
              </w:tc>
              <w:tc>
                <w:tcPr>
                  <w:tcW w:w="45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单位</w:t>
                  </w:r>
                </w:p>
              </w:tc>
              <w:tc>
                <w:tcPr>
                  <w:tcW w:w="150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检测结果</w:t>
                  </w:r>
                </w:p>
              </w:tc>
              <w:tc>
                <w:tcPr>
                  <w:tcW w:w="139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标准指数</w:t>
                  </w:r>
                </w:p>
              </w:tc>
              <w:tc>
                <w:tcPr>
                  <w:tcW w:w="35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43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4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150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油库东部（</w:t>
                  </w:r>
                  <w:r>
                    <w:rPr>
                      <w:rFonts w:hint="eastAsia" w:ascii="Times New Roman" w:hAnsi="Times New Roman" w:cs="Times New Roman"/>
                      <w:color w:val="auto"/>
                      <w:spacing w:val="-17"/>
                      <w:kern w:val="0"/>
                      <w:sz w:val="21"/>
                      <w:szCs w:val="21"/>
                      <w:lang w:eastAsia="zh-CN"/>
                    </w:rPr>
                    <w:t>储罐</w:t>
                  </w:r>
                  <w:r>
                    <w:rPr>
                      <w:rFonts w:hint="default" w:ascii="Times New Roman" w:hAnsi="Times New Roman" w:eastAsia="宋体" w:cs="Times New Roman"/>
                      <w:color w:val="auto"/>
                      <w:spacing w:val="-17"/>
                      <w:kern w:val="0"/>
                      <w:sz w:val="21"/>
                      <w:szCs w:val="21"/>
                      <w:lang w:eastAsia="zh-CN"/>
                    </w:rPr>
                    <w:t>区</w:t>
                  </w:r>
                  <w:r>
                    <w:rPr>
                      <w:rFonts w:hint="default" w:ascii="Times New Roman" w:hAnsi="Times New Roman" w:eastAsia="宋体" w:cs="Times New Roman"/>
                      <w:color w:val="auto"/>
                      <w:spacing w:val="-17"/>
                      <w:kern w:val="0"/>
                      <w:sz w:val="21"/>
                      <w:szCs w:val="21"/>
                    </w:rPr>
                    <w:t>）</w:t>
                  </w:r>
                </w:p>
              </w:tc>
              <w:tc>
                <w:tcPr>
                  <w:tcW w:w="139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rPr>
                    <w:t>油库东部（</w:t>
                  </w:r>
                  <w:r>
                    <w:rPr>
                      <w:rFonts w:hint="eastAsia" w:ascii="Times New Roman" w:hAnsi="Times New Roman" w:cs="Times New Roman"/>
                      <w:color w:val="auto"/>
                      <w:spacing w:val="-17"/>
                      <w:kern w:val="0"/>
                      <w:sz w:val="21"/>
                      <w:szCs w:val="21"/>
                      <w:lang w:eastAsia="zh-CN"/>
                    </w:rPr>
                    <w:t>储罐</w:t>
                  </w:r>
                  <w:r>
                    <w:rPr>
                      <w:rFonts w:hint="default" w:ascii="Times New Roman" w:hAnsi="Times New Roman" w:eastAsia="宋体" w:cs="Times New Roman"/>
                      <w:color w:val="auto"/>
                      <w:spacing w:val="-17"/>
                      <w:kern w:val="0"/>
                      <w:sz w:val="21"/>
                      <w:szCs w:val="21"/>
                      <w:lang w:eastAsia="zh-CN"/>
                    </w:rPr>
                    <w:t>区</w:t>
                  </w:r>
                  <w:r>
                    <w:rPr>
                      <w:rFonts w:hint="default" w:ascii="Times New Roman" w:hAnsi="Times New Roman" w:eastAsia="宋体" w:cs="Times New Roman"/>
                      <w:color w:val="auto"/>
                      <w:spacing w:val="-17"/>
                      <w:kern w:val="0"/>
                      <w:sz w:val="21"/>
                      <w:szCs w:val="21"/>
                    </w:rPr>
                    <w:t>）</w:t>
                  </w:r>
                </w:p>
              </w:tc>
              <w:tc>
                <w:tcPr>
                  <w:tcW w:w="3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6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43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4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rPr>
                    <w:t>0.2m-0.4m</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rPr>
                    <w:t>1m</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2.5m</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0.2m-0.4m</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1m</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2.5m</w:t>
                  </w:r>
                </w:p>
              </w:tc>
              <w:tc>
                <w:tcPr>
                  <w:tcW w:w="3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1月7日</w:t>
                  </w: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汞</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38</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0.0483</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0.0632</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0.0583</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lang w:val="en-US" w:eastAsia="zh-CN"/>
                    </w:rPr>
                    <w:t xml:space="preserve">0.0013 </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lang w:val="en-US" w:eastAsia="zh-CN"/>
                    </w:rPr>
                    <w:t xml:space="preserve">0.0017 </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lang w:val="en-US" w:eastAsia="zh-CN"/>
                    </w:rPr>
                    <w:t xml:space="preserve">0.0015 </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镉</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65</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17"/>
                      <w:kern w:val="0"/>
                      <w:sz w:val="21"/>
                      <w:szCs w:val="21"/>
                      <w:lang w:val="en-US" w:eastAsia="zh-CN"/>
                    </w:rPr>
                  </w:pPr>
                  <w:r>
                    <w:rPr>
                      <w:rFonts w:hint="default" w:ascii="Times New Roman" w:hAnsi="Times New Roman" w:eastAsia="宋体" w:cs="Times New Roman"/>
                      <w:color w:val="auto"/>
                      <w:spacing w:val="-17"/>
                      <w:kern w:val="0"/>
                      <w:sz w:val="21"/>
                      <w:szCs w:val="21"/>
                    </w:rPr>
                    <w:t>铬</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250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2"/>
                      <w:sz w:val="21"/>
                      <w:szCs w:val="21"/>
                      <w:lang w:val="en-US" w:eastAsia="zh-CN" w:bidi="ar-SA"/>
                    </w:rPr>
                    <w:t>20.5</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2"/>
                      <w:sz w:val="21"/>
                      <w:szCs w:val="21"/>
                      <w:lang w:val="en-US" w:eastAsia="zh-CN" w:bidi="ar-SA"/>
                    </w:rPr>
                    <w:t>19.0</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2"/>
                      <w:sz w:val="21"/>
                      <w:szCs w:val="21"/>
                      <w:lang w:val="en-US" w:eastAsia="zh-CN" w:bidi="ar-SA"/>
                    </w:rPr>
                    <w:t>19.6</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0.0820 </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0.0760 </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0.0784 </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镍</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900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14.2</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12.9</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9.26</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0.0158 </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0.0143 </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0.0103 </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铜</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18000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16.7</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14.8</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8.66</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0.0009 </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0.0008 </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0.0005 </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砷</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9.19</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14.1</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6.94</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0.1532 </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0.2350 </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0.1157 </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铅</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800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6.98</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6.21</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11.3</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0.0087 </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0.0078 </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0.0141 </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石油烃（C</w:t>
                  </w:r>
                  <w:r>
                    <w:rPr>
                      <w:rFonts w:hint="default" w:ascii="Times New Roman" w:hAnsi="Times New Roman" w:eastAsia="宋体" w:cs="Times New Roman"/>
                      <w:color w:val="auto"/>
                      <w:spacing w:val="-17"/>
                      <w:kern w:val="0"/>
                      <w:sz w:val="21"/>
                      <w:szCs w:val="21"/>
                      <w:vertAlign w:val="subscript"/>
                    </w:rPr>
                    <w:t>10</w:t>
                  </w:r>
                  <w:r>
                    <w:rPr>
                      <w:rFonts w:hint="default" w:ascii="Times New Roman" w:hAnsi="Times New Roman" w:eastAsia="宋体" w:cs="Times New Roman"/>
                      <w:color w:val="auto"/>
                      <w:spacing w:val="-17"/>
                      <w:kern w:val="0"/>
                      <w:sz w:val="21"/>
                      <w:szCs w:val="21"/>
                    </w:rPr>
                    <w:t>-C</w:t>
                  </w:r>
                  <w:r>
                    <w:rPr>
                      <w:rFonts w:hint="default" w:ascii="Times New Roman" w:hAnsi="Times New Roman" w:eastAsia="宋体" w:cs="Times New Roman"/>
                      <w:color w:val="auto"/>
                      <w:spacing w:val="-17"/>
                      <w:kern w:val="0"/>
                      <w:sz w:val="21"/>
                      <w:szCs w:val="21"/>
                      <w:vertAlign w:val="subscript"/>
                    </w:rPr>
                    <w:t>40</w:t>
                  </w:r>
                  <w:r>
                    <w:rPr>
                      <w:rFonts w:hint="default" w:ascii="Times New Roman" w:hAnsi="Times New Roman" w:eastAsia="宋体" w:cs="Times New Roman"/>
                      <w:color w:val="auto"/>
                      <w:spacing w:val="-17"/>
                      <w:kern w:val="0"/>
                      <w:sz w:val="21"/>
                      <w:szCs w:val="21"/>
                    </w:rPr>
                    <w:t>）</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4500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氯甲烷</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37000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氯乙烯</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430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1,1-二氯乙烯</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66000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1.22</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1.21</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1.41</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0.000018 </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0.000018 </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0.000021 </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二氯甲烷</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616000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2.10</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1.93</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49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0.0000034 </w:t>
                  </w:r>
                </w:p>
              </w:tc>
              <w:tc>
                <w:tcPr>
                  <w:tcW w:w="4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0.0000031 </w:t>
                  </w:r>
                </w:p>
              </w:tc>
              <w:tc>
                <w:tcPr>
                  <w:tcW w:w="3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反式-1,2-二氯乙烯</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54000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1,1-二氯乙烷</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9000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顺式-1,2-二氯乙烯</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596000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氯仿</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900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1,1,1-三氯乙烷</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840000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四氯化碳</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2800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4000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1,2-二氯乙烷</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5000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三氯乙烯</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2800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1,2-二氯丙烷</w:t>
                  </w:r>
                </w:p>
              </w:tc>
              <w:tc>
                <w:tcPr>
                  <w:tcW w:w="4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5000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bl>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eastAsia"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
              <w:gridCol w:w="1212"/>
              <w:gridCol w:w="675"/>
              <w:gridCol w:w="750"/>
              <w:gridCol w:w="800"/>
              <w:gridCol w:w="738"/>
              <w:gridCol w:w="799"/>
              <w:gridCol w:w="723"/>
              <w:gridCol w:w="623"/>
              <w:gridCol w:w="732"/>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检测时间</w:t>
                  </w:r>
                </w:p>
              </w:tc>
              <w:tc>
                <w:tcPr>
                  <w:tcW w:w="75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项目</w:t>
                  </w:r>
                </w:p>
              </w:tc>
              <w:tc>
                <w:tcPr>
                  <w:tcW w:w="42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筛选值</w:t>
                  </w:r>
                </w:p>
              </w:tc>
              <w:tc>
                <w:tcPr>
                  <w:tcW w:w="4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单位</w:t>
                  </w:r>
                </w:p>
              </w:tc>
              <w:tc>
                <w:tcPr>
                  <w:tcW w:w="1459"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检测结果</w:t>
                  </w:r>
                </w:p>
              </w:tc>
              <w:tc>
                <w:tcPr>
                  <w:tcW w:w="1297"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标准指数</w:t>
                  </w:r>
                </w:p>
              </w:tc>
              <w:tc>
                <w:tcPr>
                  <w:tcW w:w="3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42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4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1459"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油库东部（</w:t>
                  </w:r>
                  <w:r>
                    <w:rPr>
                      <w:rFonts w:hint="eastAsia" w:ascii="Times New Roman" w:hAnsi="Times New Roman" w:cs="Times New Roman"/>
                      <w:color w:val="auto"/>
                      <w:spacing w:val="-23"/>
                      <w:kern w:val="0"/>
                      <w:sz w:val="21"/>
                      <w:szCs w:val="21"/>
                      <w:lang w:eastAsia="zh-CN"/>
                    </w:rPr>
                    <w:t>储罐</w:t>
                  </w:r>
                  <w:r>
                    <w:rPr>
                      <w:rFonts w:hint="default" w:ascii="Times New Roman" w:hAnsi="Times New Roman" w:eastAsia="宋体" w:cs="Times New Roman"/>
                      <w:color w:val="auto"/>
                      <w:spacing w:val="-23"/>
                      <w:kern w:val="0"/>
                      <w:sz w:val="21"/>
                      <w:szCs w:val="21"/>
                      <w:lang w:eastAsia="zh-CN"/>
                    </w:rPr>
                    <w:t>区</w:t>
                  </w:r>
                  <w:r>
                    <w:rPr>
                      <w:rFonts w:hint="default" w:ascii="Times New Roman" w:hAnsi="Times New Roman" w:eastAsia="宋体" w:cs="Times New Roman"/>
                      <w:color w:val="auto"/>
                      <w:spacing w:val="-23"/>
                      <w:kern w:val="0"/>
                      <w:sz w:val="21"/>
                      <w:szCs w:val="21"/>
                    </w:rPr>
                    <w:t>）</w:t>
                  </w:r>
                </w:p>
              </w:tc>
              <w:tc>
                <w:tcPr>
                  <w:tcW w:w="1297"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油库东部（</w:t>
                  </w:r>
                  <w:r>
                    <w:rPr>
                      <w:rFonts w:hint="eastAsia" w:ascii="Times New Roman" w:hAnsi="Times New Roman" w:cs="Times New Roman"/>
                      <w:color w:val="auto"/>
                      <w:spacing w:val="-23"/>
                      <w:kern w:val="0"/>
                      <w:sz w:val="21"/>
                      <w:szCs w:val="21"/>
                      <w:lang w:eastAsia="zh-CN"/>
                    </w:rPr>
                    <w:t>储罐</w:t>
                  </w:r>
                  <w:r>
                    <w:rPr>
                      <w:rFonts w:hint="default" w:ascii="Times New Roman" w:hAnsi="Times New Roman" w:eastAsia="宋体" w:cs="Times New Roman"/>
                      <w:color w:val="auto"/>
                      <w:spacing w:val="-23"/>
                      <w:kern w:val="0"/>
                      <w:sz w:val="21"/>
                      <w:szCs w:val="21"/>
                      <w:lang w:eastAsia="zh-CN"/>
                    </w:rPr>
                    <w:t>区</w:t>
                  </w:r>
                  <w:r>
                    <w:rPr>
                      <w:rFonts w:hint="default" w:ascii="Times New Roman" w:hAnsi="Times New Roman" w:eastAsia="宋体" w:cs="Times New Roman"/>
                      <w:color w:val="auto"/>
                      <w:spacing w:val="-23"/>
                      <w:kern w:val="0"/>
                      <w:sz w:val="21"/>
                      <w:szCs w:val="21"/>
                    </w:rPr>
                    <w:t>）</w:t>
                  </w:r>
                </w:p>
              </w:tc>
              <w:tc>
                <w:tcPr>
                  <w:tcW w:w="3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75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42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4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r>
                    <w:rPr>
                      <w:rFonts w:hint="default" w:ascii="Times New Roman" w:hAnsi="Times New Roman" w:eastAsia="宋体" w:cs="Times New Roman"/>
                      <w:color w:val="auto"/>
                      <w:spacing w:val="-23"/>
                      <w:kern w:val="0"/>
                      <w:sz w:val="21"/>
                      <w:szCs w:val="21"/>
                    </w:rPr>
                    <w:t>0.2m-0.4m</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r>
                    <w:rPr>
                      <w:rFonts w:hint="default" w:ascii="Times New Roman" w:hAnsi="Times New Roman" w:eastAsia="宋体" w:cs="Times New Roman"/>
                      <w:color w:val="auto"/>
                      <w:spacing w:val="-23"/>
                      <w:kern w:val="0"/>
                      <w:sz w:val="21"/>
                      <w:szCs w:val="21"/>
                    </w:rPr>
                    <w:t>1m</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r>
                    <w:rPr>
                      <w:rFonts w:hint="default" w:ascii="Times New Roman" w:hAnsi="Times New Roman" w:eastAsia="宋体" w:cs="Times New Roman"/>
                      <w:color w:val="auto"/>
                      <w:spacing w:val="-23"/>
                      <w:kern w:val="0"/>
                      <w:sz w:val="21"/>
                      <w:szCs w:val="21"/>
                    </w:rPr>
                    <w:t>2.5m</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0.2m-0.4m</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1m</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default" w:ascii="Times New Roman" w:hAnsi="Times New Roman" w:eastAsia="宋体" w:cs="Times New Roman"/>
                      <w:color w:val="auto"/>
                      <w:spacing w:val="-23"/>
                      <w:kern w:val="0"/>
                      <w:sz w:val="21"/>
                      <w:szCs w:val="21"/>
                    </w:rPr>
                    <w:t>2.5m</w:t>
                  </w:r>
                </w:p>
              </w:tc>
              <w:tc>
                <w:tcPr>
                  <w:tcW w:w="3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rPr>
                    <w:t>1月7日</w:t>
                  </w: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甲苯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1200000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1,1,2-三氯乙烷</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四氯乙烯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53000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氯苯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270000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1,1,1,2-四氯乙烷</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乙苯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间-二甲苯+对-二甲苯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570000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邻-二甲苯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640000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苯乙烯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1290000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1,1,2,2-四氯乙烷</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6800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1,2,3-三氯丙烷</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1,4-二氯苯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1,2--二氯苯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560000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2-氯酚</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2256</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硝基苯</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76</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萘</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70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苯并[a]蒽</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䓛</w:t>
                  </w:r>
                </w:p>
              </w:tc>
              <w:tc>
                <w:tcPr>
                  <w:tcW w:w="42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1293</w:t>
                  </w:r>
                </w:p>
              </w:tc>
              <w:tc>
                <w:tcPr>
                  <w:tcW w:w="46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苯并[b]荧蒽</w:t>
                  </w:r>
                </w:p>
              </w:tc>
              <w:tc>
                <w:tcPr>
                  <w:tcW w:w="42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苯并[k]荧蒽</w:t>
                  </w:r>
                </w:p>
              </w:tc>
              <w:tc>
                <w:tcPr>
                  <w:tcW w:w="42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151</w:t>
                  </w:r>
                </w:p>
              </w:tc>
              <w:tc>
                <w:tcPr>
                  <w:tcW w:w="46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苯并[a]芘</w:t>
                  </w:r>
                </w:p>
              </w:tc>
              <w:tc>
                <w:tcPr>
                  <w:tcW w:w="42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茚并[1,2,3-cd]芘</w:t>
                  </w:r>
                </w:p>
              </w:tc>
              <w:tc>
                <w:tcPr>
                  <w:tcW w:w="42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二苯并[a,h]蒽</w:t>
                  </w:r>
                </w:p>
              </w:tc>
              <w:tc>
                <w:tcPr>
                  <w:tcW w:w="42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苯胺</w:t>
                  </w:r>
                </w:p>
              </w:tc>
              <w:tc>
                <w:tcPr>
                  <w:tcW w:w="42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260</w:t>
                  </w:r>
                </w:p>
              </w:tc>
              <w:tc>
                <w:tcPr>
                  <w:tcW w:w="46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bl>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985"/>
              <w:gridCol w:w="677"/>
              <w:gridCol w:w="750"/>
              <w:gridCol w:w="838"/>
              <w:gridCol w:w="775"/>
              <w:gridCol w:w="800"/>
              <w:gridCol w:w="765"/>
              <w:gridCol w:w="711"/>
              <w:gridCol w:w="718"/>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1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4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50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369"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4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150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1369"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3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4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0.2-0.4m</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2.5m</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0.2-0.4m</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1m</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2.5m</w:t>
                  </w:r>
                </w:p>
              </w:tc>
              <w:tc>
                <w:tcPr>
                  <w:tcW w:w="3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汞</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38</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0.0928</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0.0204</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0.0881</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bidi="ar-SA"/>
                    </w:rPr>
                    <w:t xml:space="preserve">0.0024 </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bidi="ar-SA"/>
                    </w:rPr>
                    <w:t xml:space="preserve">0.0005 </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bidi="ar-SA"/>
                    </w:rPr>
                    <w:t xml:space="preserve">0.0023 </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镉</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65</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40" w:lineRule="exact"/>
                    <w:jc w:val="center"/>
                    <w:rPr>
                      <w:rFonts w:hint="default"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bidi="ar-SA"/>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40" w:lineRule="exact"/>
                    <w:jc w:val="center"/>
                    <w:rPr>
                      <w:rFonts w:hint="default"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bidi="ar-SA"/>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40" w:lineRule="exact"/>
                    <w:jc w:val="center"/>
                    <w:rPr>
                      <w:rFonts w:hint="default"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bidi="ar-SA"/>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铬</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250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19.1</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14.6</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14.8</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0.0764 </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0.0584 </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0.0592 </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镍</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900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8.57</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6.51</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6.16</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0.0095 </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0.0072 </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0.0068 </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铜</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18000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7.92</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4.70</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4.72</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0.0004 </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0.0003 </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0.0003 </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砷</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60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11.3</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2.15</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3.08</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0.1883 </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0.0358 </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0.0513 </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铅</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800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10.5</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8.04</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9.02</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0.0131 </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0.0101 </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0.0113 </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石油烃（C</w:t>
                  </w:r>
                  <w:r>
                    <w:rPr>
                      <w:rFonts w:hint="default" w:ascii="Times New Roman" w:hAnsi="Times New Roman" w:eastAsia="宋体" w:cs="Times New Roman"/>
                      <w:color w:val="auto"/>
                      <w:spacing w:val="-20"/>
                      <w:kern w:val="0"/>
                      <w:sz w:val="21"/>
                      <w:szCs w:val="21"/>
                      <w:vertAlign w:val="subscript"/>
                    </w:rPr>
                    <w:t>10</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40</w:t>
                  </w:r>
                  <w:r>
                    <w:rPr>
                      <w:rFonts w:hint="default" w:ascii="Times New Roman" w:hAnsi="Times New Roman" w:eastAsia="宋体" w:cs="Times New Roman"/>
                      <w:color w:val="auto"/>
                      <w:spacing w:val="-20"/>
                      <w:kern w:val="0"/>
                      <w:sz w:val="21"/>
                      <w:szCs w:val="21"/>
                    </w:rPr>
                    <w:t>）</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4500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氯甲烷</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37000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氯乙烯</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430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1,1-二氯乙烯</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66000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1.30</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1.13</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0.000020 </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0.000017 </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二氯甲烷</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616000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4.68</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0.0000076 </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反式-1,2-二氯乙烯</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54000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1,1-二氯乙烷</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9000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顺式-1,2-二氯乙烯</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596000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氯仿</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900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1,1,1-三氯乙烷</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840000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四氯化碳</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4000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1,2-二氯乙烷</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三氯乙烯</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1,2-二氯丙烷</w:t>
                  </w: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bl>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088"/>
              <w:gridCol w:w="841"/>
              <w:gridCol w:w="739"/>
              <w:gridCol w:w="836"/>
              <w:gridCol w:w="753"/>
              <w:gridCol w:w="749"/>
              <w:gridCol w:w="804"/>
              <w:gridCol w:w="678"/>
              <w:gridCol w:w="549"/>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7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52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6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459"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267"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8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52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1459"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1267"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52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4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0.2-0.4m</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2.5m</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0.2-0.4m</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1m</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2.5m</w:t>
                  </w: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甲苯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1200000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1,1,2-三氯乙烷</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四氯乙烯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53000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氯苯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270000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1,1,1,2-四氯乙烷</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乙苯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间-二甲苯+对-二甲苯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570000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邻-二甲苯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640000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苯乙烯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1290000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1,1,2,2-四氯乙烷</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6800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1,2,3-三氯丙烷</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1,4-二氯苯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1,2--二氯苯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560000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2-氯苯酚</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2256</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硝基苯</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76</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0.253</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0.0033</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萘</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70</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苯并[a]蒽</w:t>
                  </w:r>
                </w:p>
              </w:tc>
              <w:tc>
                <w:tcPr>
                  <w:tcW w:w="5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䓛</w:t>
                  </w:r>
                </w:p>
              </w:tc>
              <w:tc>
                <w:tcPr>
                  <w:tcW w:w="524"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1293</w:t>
                  </w:r>
                </w:p>
              </w:tc>
              <w:tc>
                <w:tcPr>
                  <w:tcW w:w="46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苯并[b]荧蒽</w:t>
                  </w:r>
                </w:p>
              </w:tc>
              <w:tc>
                <w:tcPr>
                  <w:tcW w:w="524"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苯并[k]荧蒽</w:t>
                  </w:r>
                </w:p>
              </w:tc>
              <w:tc>
                <w:tcPr>
                  <w:tcW w:w="524"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151</w:t>
                  </w:r>
                </w:p>
              </w:tc>
              <w:tc>
                <w:tcPr>
                  <w:tcW w:w="46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苯并[a]芘</w:t>
                  </w:r>
                </w:p>
              </w:tc>
              <w:tc>
                <w:tcPr>
                  <w:tcW w:w="524"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茚并[1,2,3-cd]芘</w:t>
                  </w:r>
                </w:p>
              </w:tc>
              <w:tc>
                <w:tcPr>
                  <w:tcW w:w="524"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二苯并[a,h]蒽</w:t>
                  </w:r>
                </w:p>
              </w:tc>
              <w:tc>
                <w:tcPr>
                  <w:tcW w:w="524"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0.1816</w:t>
                  </w:r>
                </w:p>
              </w:tc>
              <w:tc>
                <w:tcPr>
                  <w:tcW w:w="467"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0.1211</w:t>
                  </w:r>
                </w:p>
              </w:tc>
              <w:tc>
                <w:tcPr>
                  <w:tcW w:w="342"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苯胺</w:t>
                  </w:r>
                </w:p>
              </w:tc>
              <w:tc>
                <w:tcPr>
                  <w:tcW w:w="524"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260</w:t>
                  </w:r>
                </w:p>
              </w:tc>
              <w:tc>
                <w:tcPr>
                  <w:tcW w:w="46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bl>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986"/>
              <w:gridCol w:w="749"/>
              <w:gridCol w:w="666"/>
              <w:gridCol w:w="774"/>
              <w:gridCol w:w="767"/>
              <w:gridCol w:w="767"/>
              <w:gridCol w:w="710"/>
              <w:gridCol w:w="882"/>
              <w:gridCol w:w="746"/>
              <w:gridCol w:w="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1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46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1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441"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460"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6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1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1441"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rPr>
                    <w:t>油库中南部</w:t>
                  </w:r>
                  <w:r>
                    <w:rPr>
                      <w:rFonts w:hint="eastAsia" w:cs="Times New Roman"/>
                      <w:color w:val="auto"/>
                      <w:spacing w:val="-20"/>
                      <w:kern w:val="0"/>
                      <w:sz w:val="21"/>
                      <w:szCs w:val="21"/>
                      <w:lang w:val="en-US" w:eastAsia="zh-CN"/>
                    </w:rPr>
                    <w:t>(</w:t>
                  </w:r>
                  <w:r>
                    <w:rPr>
                      <w:rFonts w:hint="default" w:ascii="Times New Roman" w:hAnsi="Times New Roman" w:eastAsia="宋体" w:cs="Times New Roman"/>
                      <w:color w:val="auto"/>
                      <w:spacing w:val="-20"/>
                      <w:kern w:val="0"/>
                      <w:sz w:val="21"/>
                      <w:szCs w:val="21"/>
                    </w:rPr>
                    <w:t>含油污水处理区</w:t>
                  </w:r>
                  <w:r>
                    <w:rPr>
                      <w:rFonts w:hint="eastAsia" w:cs="Times New Roman"/>
                      <w:color w:val="auto"/>
                      <w:spacing w:val="-20"/>
                      <w:kern w:val="0"/>
                      <w:sz w:val="21"/>
                      <w:szCs w:val="21"/>
                      <w:lang w:val="en-US" w:eastAsia="zh-CN"/>
                    </w:rPr>
                    <w:t>)</w:t>
                  </w:r>
                </w:p>
              </w:tc>
              <w:tc>
                <w:tcPr>
                  <w:tcW w:w="1460"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油库中南部</w:t>
                  </w:r>
                  <w:r>
                    <w:rPr>
                      <w:rFonts w:hint="eastAsia" w:cs="Times New Roman"/>
                      <w:color w:val="auto"/>
                      <w:spacing w:val="-20"/>
                      <w:kern w:val="0"/>
                      <w:sz w:val="21"/>
                      <w:szCs w:val="21"/>
                      <w:lang w:val="en-US" w:eastAsia="zh-CN"/>
                    </w:rPr>
                    <w:t>(</w:t>
                  </w:r>
                  <w:r>
                    <w:rPr>
                      <w:rFonts w:hint="default" w:ascii="Times New Roman" w:hAnsi="Times New Roman" w:eastAsia="宋体" w:cs="Times New Roman"/>
                      <w:color w:val="auto"/>
                      <w:spacing w:val="-20"/>
                      <w:kern w:val="0"/>
                      <w:sz w:val="21"/>
                      <w:szCs w:val="21"/>
                    </w:rPr>
                    <w:t>含油污水处理区</w:t>
                  </w:r>
                  <w:r>
                    <w:rPr>
                      <w:rFonts w:hint="eastAsia" w:cs="Times New Roman"/>
                      <w:color w:val="auto"/>
                      <w:spacing w:val="-20"/>
                      <w:kern w:val="0"/>
                      <w:sz w:val="21"/>
                      <w:szCs w:val="21"/>
                      <w:lang w:val="en-US" w:eastAsia="zh-CN"/>
                    </w:rPr>
                    <w:t>)</w:t>
                  </w:r>
                </w:p>
              </w:tc>
              <w:tc>
                <w:tcPr>
                  <w:tcW w:w="3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6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6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1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0.2-0.4m</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2.5m</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0.2-0.4m</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1m</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2.5m</w:t>
                  </w:r>
                </w:p>
              </w:tc>
              <w:tc>
                <w:tcPr>
                  <w:tcW w:w="36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汞</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38</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0.0435</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0.0224</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0.0626</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0.0011 </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0.0006 </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0.0016 </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镉</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65</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铬</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250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14.6</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16.1</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15.1</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0.0584 </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0.0644 </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0.0604 </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镍</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900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6.98</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7.43</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6.72</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0.0078 </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0.0083 </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0.0075 </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铜</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18000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5.15</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5.71</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4.99</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0.0003 </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0.0003 </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0.0003 </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砷</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1.40</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2.17</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3.54</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0.0233 </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0.0362 </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0.0590 </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铅</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800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9.09</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9.77</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8.70</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0.0114 </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0.0122 </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0.0109 </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石油烃（C</w:t>
                  </w:r>
                  <w:r>
                    <w:rPr>
                      <w:rFonts w:hint="default" w:ascii="Times New Roman" w:hAnsi="Times New Roman" w:eastAsia="宋体" w:cs="Times New Roman"/>
                      <w:color w:val="auto"/>
                      <w:spacing w:val="-20"/>
                      <w:kern w:val="0"/>
                      <w:sz w:val="21"/>
                      <w:szCs w:val="21"/>
                      <w:vertAlign w:val="subscript"/>
                    </w:rPr>
                    <w:t>10</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40</w:t>
                  </w:r>
                  <w:r>
                    <w:rPr>
                      <w:rFonts w:hint="default" w:ascii="Times New Roman" w:hAnsi="Times New Roman" w:eastAsia="宋体" w:cs="Times New Roman"/>
                      <w:color w:val="auto"/>
                      <w:spacing w:val="-20"/>
                      <w:kern w:val="0"/>
                      <w:sz w:val="21"/>
                      <w:szCs w:val="21"/>
                    </w:rPr>
                    <w:t>）</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4500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氯甲烷</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37000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氯乙烯</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430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1,1-二氯乙烯</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66000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1.16</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4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0.000018 </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二氯甲烷</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616000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2.41</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5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0.0000039 </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反式-1,2-二氯乙烯</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54000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1,1-二氯乙烷</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9000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顺式-1,2-二氯乙烯</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596000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氯仿</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900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1,1,1-三氯乙烷</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840000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四氯化碳</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4000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1,2-二氯乙烷</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三氯乙烯</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1,2-二氯丙烷</w:t>
                  </w:r>
                </w:p>
              </w:tc>
              <w:tc>
                <w:tcPr>
                  <w:tcW w:w="46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bl>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lang w:eastAsia="zh-CN"/>
              </w:rPr>
            </w:pPr>
          </w:p>
          <w:p>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139"/>
              <w:gridCol w:w="801"/>
              <w:gridCol w:w="663"/>
              <w:gridCol w:w="775"/>
              <w:gridCol w:w="812"/>
              <w:gridCol w:w="738"/>
              <w:gridCol w:w="659"/>
              <w:gridCol w:w="670"/>
              <w:gridCol w:w="67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71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50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1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45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248"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42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5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145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油库中南部（含油污水处理区）</w:t>
                  </w:r>
                </w:p>
              </w:tc>
              <w:tc>
                <w:tcPr>
                  <w:tcW w:w="1248"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油库中南部（含油污水处理区）</w:t>
                  </w:r>
                </w:p>
              </w:tc>
              <w:tc>
                <w:tcPr>
                  <w:tcW w:w="42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5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1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olor w:val="auto"/>
                      <w:spacing w:val="-20"/>
                      <w:sz w:val="21"/>
                      <w:szCs w:val="21"/>
                      <w:lang w:val="en-US" w:eastAsia="zh-CN"/>
                    </w:rPr>
                    <w:t>0.2-0.4m</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olor w:val="auto"/>
                      <w:spacing w:val="-20"/>
                      <w:sz w:val="21"/>
                      <w:szCs w:val="21"/>
                      <w:lang w:val="en-US" w:eastAsia="zh-CN"/>
                    </w:rPr>
                    <w:t>2.5m</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color w:val="auto"/>
                      <w:spacing w:val="-20"/>
                      <w:sz w:val="21"/>
                      <w:szCs w:val="21"/>
                      <w:lang w:val="en-US" w:eastAsia="zh-CN"/>
                    </w:rPr>
                  </w:pPr>
                  <w:r>
                    <w:rPr>
                      <w:rFonts w:hint="eastAsia"/>
                      <w:color w:val="auto"/>
                      <w:spacing w:val="-20"/>
                      <w:sz w:val="21"/>
                      <w:szCs w:val="21"/>
                      <w:lang w:val="en-US" w:eastAsia="zh-CN"/>
                    </w:rPr>
                    <w:t>0.2-0.4m</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1m</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color w:val="auto"/>
                      <w:spacing w:val="-20"/>
                      <w:sz w:val="21"/>
                      <w:szCs w:val="21"/>
                      <w:lang w:val="en-US" w:eastAsia="zh-CN"/>
                    </w:rPr>
                  </w:pPr>
                  <w:r>
                    <w:rPr>
                      <w:rFonts w:hint="eastAsia"/>
                      <w:color w:val="auto"/>
                      <w:spacing w:val="-20"/>
                      <w:sz w:val="21"/>
                      <w:szCs w:val="21"/>
                      <w:lang w:val="en-US" w:eastAsia="zh-CN"/>
                    </w:rPr>
                    <w:t>2.5m</w:t>
                  </w:r>
                </w:p>
              </w:tc>
              <w:tc>
                <w:tcPr>
                  <w:tcW w:w="42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甲苯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1200000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1,1,2-三氯乙烷</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四氯乙烯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53000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1.53</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 xml:space="preserve">0.000029 </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氯苯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270000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1,1,1,2-四氯乙烷</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乙苯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间-二甲苯+对-二甲苯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570000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邻-二甲苯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640000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苯乙烯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1290000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1,1,2,2-四氯乙烷</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6800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1,2,3-三氯丙烷</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500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1,4-二氯苯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560000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2-氯苯酚</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2256</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硝基苯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76</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萘</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70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苯并[a]蒽</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䓛</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1293</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苯并[b]荧蒽</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苯并[k]荧蒽</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151</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苯并[a]芘</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bidi="ar"/>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茚并[1,2,3-cd]芘</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bidi="ar"/>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二苯并[a,h]蒽</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苯胺</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260</w:t>
                  </w:r>
                </w:p>
              </w:tc>
              <w:tc>
                <w:tcPr>
                  <w:tcW w:w="41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bl>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eastAsia" w:ascii="Times New Roman" w:hAnsi="Times New Roman" w:eastAsia="宋体" w:cs="Times New Roman"/>
                <w:color w:val="auto"/>
                <w:lang w:val="en-US"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843"/>
              <w:gridCol w:w="792"/>
              <w:gridCol w:w="783"/>
              <w:gridCol w:w="1424"/>
              <w:gridCol w:w="1427"/>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检测时间</w:t>
                  </w:r>
                </w:p>
              </w:tc>
              <w:tc>
                <w:tcPr>
                  <w:tcW w:w="115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49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筛选值</w:t>
                  </w:r>
                </w:p>
              </w:tc>
              <w:tc>
                <w:tcPr>
                  <w:tcW w:w="48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标准指数</w:t>
                  </w:r>
                </w:p>
              </w:tc>
              <w:tc>
                <w:tcPr>
                  <w:tcW w:w="6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4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48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77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油库东部（</w:t>
                  </w:r>
                  <w:r>
                    <w:rPr>
                      <w:rFonts w:hint="eastAsia" w:ascii="Times New Roman" w:hAnsi="Times New Roman" w:cs="Times New Roman"/>
                      <w:color w:val="auto"/>
                      <w:kern w:val="0"/>
                      <w:sz w:val="21"/>
                      <w:szCs w:val="21"/>
                      <w:lang w:eastAsia="zh-CN"/>
                    </w:rPr>
                    <w:t>储罐</w:t>
                  </w:r>
                  <w:r>
                    <w:rPr>
                      <w:rFonts w:hint="default" w:ascii="Times New Roman" w:hAnsi="Times New Roman" w:eastAsia="宋体" w:cs="Times New Roman"/>
                      <w:color w:val="auto"/>
                      <w:kern w:val="0"/>
                      <w:sz w:val="21"/>
                      <w:szCs w:val="21"/>
                      <w:lang w:eastAsia="zh-CN"/>
                    </w:rPr>
                    <w:t>区</w:t>
                  </w:r>
                  <w:r>
                    <w:rPr>
                      <w:rFonts w:hint="default" w:ascii="Times New Roman" w:hAnsi="Times New Roman" w:eastAsia="宋体" w:cs="Times New Roman"/>
                      <w:color w:val="auto"/>
                      <w:kern w:val="0"/>
                      <w:sz w:val="21"/>
                      <w:szCs w:val="21"/>
                    </w:rPr>
                    <w:t>）0m-0.2m</w:t>
                  </w:r>
                </w:p>
              </w:tc>
              <w:tc>
                <w:tcPr>
                  <w:tcW w:w="6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1月7日</w:t>
                  </w: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38</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0.196</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65</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铬</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250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15.5</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0.0620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镍</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900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7.25</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0.0081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铜</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18000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5.50</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1.76</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0.0293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800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10.3</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0.0129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石油烃（C</w:t>
                  </w:r>
                  <w:r>
                    <w:rPr>
                      <w:rFonts w:hint="default" w:ascii="Times New Roman" w:hAnsi="Times New Roman" w:eastAsia="宋体" w:cs="Times New Roman"/>
                      <w:color w:val="auto"/>
                      <w:kern w:val="0"/>
                      <w:sz w:val="21"/>
                      <w:szCs w:val="21"/>
                      <w:vertAlign w:val="subscript"/>
                    </w:rPr>
                    <w:t>10</w:t>
                  </w: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40</w:t>
                  </w:r>
                  <w:r>
                    <w:rPr>
                      <w:rFonts w:hint="default" w:ascii="Times New Roman" w:hAnsi="Times New Roman" w:eastAsia="宋体" w:cs="Times New Roman"/>
                      <w:color w:val="auto"/>
                      <w:kern w:val="0"/>
                      <w:sz w:val="21"/>
                      <w:szCs w:val="21"/>
                    </w:rPr>
                    <w:t>）</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4500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氯甲烷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37000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氯乙烯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430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1,1-二氯乙烯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66000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1.15</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0.000017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二氯甲烷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616000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3.53</w:t>
                  </w:r>
                </w:p>
              </w:tc>
              <w:tc>
                <w:tcPr>
                  <w:tcW w:w="89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0.0000057 </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反式-1,2-二氯乙烯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54000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1,1-二氯乙烷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9000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顺式-1,2-二氯乙烯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596000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氯仿</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900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1,1,1-三氯乙烷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840000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四氯化碳</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4000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1,2-二氯乙烷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三氯乙烯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1,2-二氯丙烷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甲苯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1200000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1,1,2-三氯乙烷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四氯乙烯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53000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270000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1,1,1,2-四氯乙烷</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10000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乙苯</w:t>
                  </w:r>
                </w:p>
              </w:tc>
              <w:tc>
                <w:tcPr>
                  <w:tcW w:w="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bl>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lang w:eastAsia="zh-CN"/>
              </w:rPr>
            </w:pP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default" w:ascii="Times New Roman" w:hAnsi="Times New Roman" w:eastAsia="宋体" w:cs="Times New Roman"/>
                <w:color w:val="auto"/>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27"/>
              <w:gridCol w:w="688"/>
              <w:gridCol w:w="915"/>
              <w:gridCol w:w="1178"/>
              <w:gridCol w:w="1654"/>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检测时间</w:t>
                  </w:r>
                </w:p>
              </w:tc>
              <w:tc>
                <w:tcPr>
                  <w:tcW w:w="107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4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筛选值</w:t>
                  </w:r>
                </w:p>
              </w:tc>
              <w:tc>
                <w:tcPr>
                  <w:tcW w:w="57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标准指数</w:t>
                  </w:r>
                </w:p>
              </w:tc>
              <w:tc>
                <w:tcPr>
                  <w:tcW w:w="69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4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57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76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油库东部（</w:t>
                  </w:r>
                  <w:r>
                    <w:rPr>
                      <w:rFonts w:hint="eastAsia" w:ascii="Times New Roman" w:hAnsi="Times New Roman" w:eastAsia="宋体" w:cs="Times New Roman"/>
                      <w:color w:val="auto"/>
                      <w:kern w:val="0"/>
                      <w:sz w:val="21"/>
                      <w:szCs w:val="21"/>
                      <w:lang w:eastAsia="zh-CN"/>
                    </w:rPr>
                    <w:t>储罐</w:t>
                  </w:r>
                  <w:r>
                    <w:rPr>
                      <w:rFonts w:hint="default" w:ascii="Times New Roman" w:hAnsi="Times New Roman" w:eastAsia="宋体" w:cs="Times New Roman"/>
                      <w:color w:val="auto"/>
                      <w:kern w:val="0"/>
                      <w:sz w:val="21"/>
                      <w:szCs w:val="21"/>
                      <w:lang w:eastAsia="zh-CN"/>
                    </w:rPr>
                    <w:t>区</w:t>
                  </w:r>
                  <w:r>
                    <w:rPr>
                      <w:rFonts w:hint="default" w:ascii="Times New Roman" w:hAnsi="Times New Roman" w:eastAsia="宋体" w:cs="Times New Roman"/>
                      <w:color w:val="auto"/>
                      <w:kern w:val="0"/>
                      <w:sz w:val="21"/>
                      <w:szCs w:val="21"/>
                    </w:rPr>
                    <w:t>）0m-0.2m</w:t>
                  </w:r>
                </w:p>
              </w:tc>
              <w:tc>
                <w:tcPr>
                  <w:tcW w:w="69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1月7日</w:t>
                  </w: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间-二甲苯+对-二甲苯</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570000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邻-二甲苯</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640000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苯乙烯</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1290000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1,1,2,2-四氯乙烷</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6800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1,2,3-三氯丙烷</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500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1,4-二氯苯</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20000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1,2--二氯苯</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560000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2-氯苯酚</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2256</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硝基苯</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76</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萘</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70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苯并[a]蒽</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䓛</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1293</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苯并[b]荧蒽</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苯并[k]荧蒽</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151</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苯并[a]芘</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茚并[1,2,3-cd]芘</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二苯并[a,h]蒽</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苯胺</w:t>
                  </w:r>
                </w:p>
              </w:tc>
              <w:tc>
                <w:tcPr>
                  <w:tcW w:w="42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260</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bl>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eastAsia" w:ascii="Times New Roman" w:hAnsi="Times New Roman" w:eastAsia="宋体" w:cs="Times New Roman"/>
                <w:color w:val="auto"/>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ascii="Times New Roman" w:hAnsi="Times New Roman" w:cs="Times New Roman"/>
                <w:b/>
                <w:bCs/>
                <w:color w:val="auto"/>
                <w:spacing w:val="-2"/>
                <w:kern w:val="0"/>
                <w:sz w:val="24"/>
                <w:highlight w:val="none"/>
                <w:lang w:val="en-US" w:eastAsia="zh-CN"/>
              </w:rPr>
              <w:t>2</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农用地</w:t>
            </w:r>
            <w:r>
              <w:rPr>
                <w:rFonts w:hint="eastAsia" w:cs="Times New Roman"/>
                <w:b/>
                <w:bCs/>
                <w:color w:val="auto"/>
                <w:spacing w:val="-2"/>
                <w:kern w:val="0"/>
                <w:sz w:val="24"/>
                <w:highlight w:val="none"/>
                <w:lang w:eastAsia="zh-CN"/>
              </w:rPr>
              <w:t>）</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17"/>
              <w:gridCol w:w="652"/>
              <w:gridCol w:w="678"/>
              <w:gridCol w:w="1093"/>
              <w:gridCol w:w="1081"/>
              <w:gridCol w:w="1045"/>
              <w:gridCol w:w="1090"/>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9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40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2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356"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332"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7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2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油库西南侧100m（耕地）0m-0.2m</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油库北侧100（林地）0m-0.2m</w:t>
                  </w:r>
                </w:p>
              </w:tc>
              <w:tc>
                <w:tcPr>
                  <w:tcW w:w="6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油库西南侧100m（耕地）0m-0.2m</w:t>
                  </w:r>
                </w:p>
              </w:tc>
              <w:tc>
                <w:tcPr>
                  <w:tcW w:w="6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油库北侧100（林地）0m-0.2m</w:t>
                  </w:r>
                </w:p>
              </w:tc>
              <w:tc>
                <w:tcPr>
                  <w:tcW w:w="37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汞</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3.4</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0.0525</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0.0245</w:t>
                  </w:r>
                </w:p>
              </w:tc>
              <w:tc>
                <w:tcPr>
                  <w:tcW w:w="6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0.0154 </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0.0072 </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镉</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0.6</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5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68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铬</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250</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14.1</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15.9</w:t>
                  </w:r>
                </w:p>
              </w:tc>
              <w:tc>
                <w:tcPr>
                  <w:tcW w:w="6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0.0564 </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0.0636 </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镍</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190</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6.65</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7.02</w:t>
                  </w:r>
                </w:p>
              </w:tc>
              <w:tc>
                <w:tcPr>
                  <w:tcW w:w="6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0.0350 </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0.0369 </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铜</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100</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5.74</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7.14</w:t>
                  </w:r>
                </w:p>
              </w:tc>
              <w:tc>
                <w:tcPr>
                  <w:tcW w:w="6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0.0574 </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0.0714 </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砷</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1.40</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1.23</w:t>
                  </w:r>
                </w:p>
              </w:tc>
              <w:tc>
                <w:tcPr>
                  <w:tcW w:w="6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0.0560 </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0.0492 </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铅</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170</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10.7</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11.5</w:t>
                  </w:r>
                </w:p>
              </w:tc>
              <w:tc>
                <w:tcPr>
                  <w:tcW w:w="6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0.0629 </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0.0676 </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rPr>
                    <w:t>石油烃</w:t>
                  </w:r>
                  <w:r>
                    <w:rPr>
                      <w:rFonts w:hint="eastAsia" w:cs="Times New Roman"/>
                      <w:color w:val="auto"/>
                      <w:spacing w:val="-20"/>
                      <w:kern w:val="0"/>
                      <w:sz w:val="21"/>
                      <w:szCs w:val="21"/>
                      <w:lang w:val="en-US" w:eastAsia="zh-CN"/>
                    </w:rPr>
                    <w:t>(</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10</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40</w:t>
                  </w:r>
                  <w:r>
                    <w:rPr>
                      <w:rFonts w:hint="eastAsia" w:cs="Times New Roman"/>
                      <w:color w:val="auto"/>
                      <w:spacing w:val="-20"/>
                      <w:kern w:val="0"/>
                      <w:sz w:val="21"/>
                      <w:szCs w:val="21"/>
                      <w:lang w:val="en-US" w:eastAsia="zh-CN"/>
                    </w:rPr>
                    <w:t>)</w:t>
                  </w:r>
                </w:p>
              </w:tc>
              <w:tc>
                <w:tcPr>
                  <w:tcW w:w="40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4500</w:t>
                  </w:r>
                </w:p>
              </w:tc>
              <w:tc>
                <w:tcPr>
                  <w:tcW w:w="4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6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bl>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74" w:firstLineChars="200"/>
              <w:jc w:val="both"/>
              <w:textAlignment w:val="auto"/>
              <w:rPr>
                <w:rFonts w:hint="default" w:ascii="Times New Roman" w:hAnsi="Times New Roman" w:eastAsia="宋体" w:cs="Times New Roman"/>
                <w:color w:val="auto"/>
                <w:spacing w:val="-2"/>
                <w:kern w:val="0"/>
                <w:sz w:val="24"/>
                <w:szCs w:val="28"/>
                <w:highlight w:val="none"/>
              </w:rPr>
            </w:pPr>
            <w:r>
              <w:rPr>
                <w:rFonts w:hint="default" w:ascii="Times New Roman" w:hAnsi="Times New Roman" w:eastAsia="宋体" w:cs="Times New Roman"/>
                <w:color w:val="auto"/>
                <w:spacing w:val="-2"/>
                <w:kern w:val="0"/>
                <w:sz w:val="24"/>
                <w:szCs w:val="28"/>
                <w:highlight w:val="none"/>
              </w:rPr>
              <w:t>由上表可以看出，该区域土壤环境质量良好，监测点的各项标准指数均满足</w:t>
            </w:r>
            <w:r>
              <w:rPr>
                <w:rFonts w:hint="eastAsia" w:cs="Times New Roman"/>
                <w:color w:val="auto"/>
                <w:spacing w:val="-2"/>
                <w:kern w:val="0"/>
                <w:sz w:val="24"/>
                <w:szCs w:val="28"/>
                <w:highlight w:val="none"/>
                <w:lang w:val="en-US" w:eastAsia="zh-CN"/>
              </w:rPr>
              <w:t>相关</w:t>
            </w:r>
            <w:r>
              <w:rPr>
                <w:rFonts w:hint="default" w:ascii="Times New Roman" w:hAnsi="Times New Roman" w:eastAsia="宋体" w:cs="Times New Roman"/>
                <w:color w:val="auto"/>
                <w:spacing w:val="-2"/>
                <w:kern w:val="0"/>
                <w:sz w:val="24"/>
                <w:szCs w:val="28"/>
                <w:highlight w:val="none"/>
              </w:rPr>
              <w:t>标准要求。</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jc w:val="both"/>
              <w:textAlignment w:val="auto"/>
              <w:rPr>
                <w:rFonts w:hint="eastAsia" w:ascii="Times New Roman" w:hAnsi="Times New Roman" w:eastAsia="宋体" w:cs="Times New Roman"/>
                <w:b/>
                <w:bCs/>
                <w:caps w:val="0"/>
                <w:color w:val="auto"/>
                <w:kern w:val="2"/>
                <w:sz w:val="24"/>
                <w:szCs w:val="24"/>
                <w:highlight w:val="none"/>
                <w:lang w:val="en-US" w:eastAsia="zh-CN" w:bidi="ar-SA"/>
              </w:rPr>
            </w:pPr>
            <w:r>
              <w:rPr>
                <w:rFonts w:hint="eastAsia" w:ascii="Times New Roman" w:hAnsi="Times New Roman" w:eastAsia="宋体" w:cs="Times New Roman"/>
                <w:b/>
                <w:bCs/>
                <w:caps w:val="0"/>
                <w:color w:val="auto"/>
                <w:kern w:val="2"/>
                <w:sz w:val="24"/>
                <w:szCs w:val="24"/>
                <w:highlight w:val="none"/>
                <w:lang w:val="en-US" w:eastAsia="zh-CN" w:bidi="ar-SA"/>
              </w:rPr>
              <w:t>六、生态环境现状</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ascii="Times New Roman" w:hAnsi="Times New Roman" w:eastAsia="宋体" w:cs="Times New Roman"/>
                <w:b w:val="0"/>
                <w:bCs w:val="0"/>
                <w:caps w:val="0"/>
                <w:color w:val="auto"/>
                <w:kern w:val="2"/>
                <w:sz w:val="24"/>
                <w:szCs w:val="24"/>
                <w:highlight w:val="none"/>
                <w:lang w:val="en-US" w:eastAsia="zh-CN" w:bidi="ar-SA"/>
              </w:rPr>
            </w:pPr>
            <w:r>
              <w:rPr>
                <w:rFonts w:hint="eastAsia" w:cs="Times New Roman"/>
                <w:b w:val="0"/>
                <w:bCs w:val="0"/>
                <w:caps w:val="0"/>
                <w:color w:val="auto"/>
                <w:kern w:val="2"/>
                <w:sz w:val="24"/>
                <w:szCs w:val="24"/>
                <w:highlight w:val="none"/>
                <w:lang w:val="en-US" w:eastAsia="zh-CN" w:bidi="ar-SA"/>
              </w:rPr>
              <w:t>根据现场调查，</w:t>
            </w:r>
            <w:r>
              <w:rPr>
                <w:rFonts w:hint="eastAsia" w:ascii="Times New Roman" w:hAnsi="Times New Roman" w:eastAsia="宋体" w:cs="Times New Roman"/>
                <w:b w:val="0"/>
                <w:bCs w:val="0"/>
                <w:caps w:val="0"/>
                <w:color w:val="auto"/>
                <w:kern w:val="2"/>
                <w:sz w:val="24"/>
                <w:szCs w:val="24"/>
                <w:highlight w:val="none"/>
                <w:lang w:val="en-US" w:eastAsia="zh-CN" w:bidi="ar-SA"/>
              </w:rPr>
              <w:t>拟建项目</w:t>
            </w:r>
            <w:r>
              <w:rPr>
                <w:rFonts w:hint="eastAsia" w:cs="Times New Roman"/>
                <w:b w:val="0"/>
                <w:bCs w:val="0"/>
                <w:caps w:val="0"/>
                <w:color w:val="auto"/>
                <w:kern w:val="2"/>
                <w:sz w:val="24"/>
                <w:szCs w:val="24"/>
                <w:highlight w:val="none"/>
                <w:lang w:val="en-US" w:eastAsia="zh-CN" w:bidi="ar-SA"/>
              </w:rPr>
              <w:t>所占区域土地类型为林地、农用地、交通用地等，盆地中丘陵湿润森林植被区，主要分布有防护林、果林、耕地等，主要种植西瓜、柑橘、达州脆李、樱桃、玉米、小麦、水稻、花生、大豆等；</w:t>
            </w:r>
            <w:r>
              <w:rPr>
                <w:rFonts w:hint="eastAsia" w:ascii="Times New Roman" w:hAnsi="Times New Roman" w:eastAsia="宋体" w:cs="Times New Roman"/>
                <w:b w:val="0"/>
                <w:bCs w:val="0"/>
                <w:caps w:val="0"/>
                <w:color w:val="auto"/>
                <w:kern w:val="2"/>
                <w:sz w:val="24"/>
                <w:szCs w:val="24"/>
                <w:highlight w:val="none"/>
                <w:lang w:val="en-US" w:eastAsia="zh-CN" w:bidi="ar-SA"/>
              </w:rPr>
              <w:t>占地范围内自然生态环境已很大程度受到人类的干扰</w:t>
            </w:r>
            <w:r>
              <w:rPr>
                <w:rFonts w:hint="eastAsia" w:cs="Times New Roman"/>
                <w:b w:val="0"/>
                <w:bCs w:val="0"/>
                <w:caps w:val="0"/>
                <w:color w:val="auto"/>
                <w:kern w:val="2"/>
                <w:sz w:val="24"/>
                <w:szCs w:val="24"/>
                <w:highlight w:val="none"/>
                <w:lang w:val="en-US" w:eastAsia="zh-CN" w:bidi="ar-SA"/>
              </w:rPr>
              <w:t>，无野生动物分布，家养动物主要为猪、牛、羊、兔、家禽</w:t>
            </w:r>
            <w:r>
              <w:rPr>
                <w:rFonts w:hint="eastAsia" w:ascii="Times New Roman" w:hAnsi="Times New Roman" w:eastAsia="宋体" w:cs="Times New Roman"/>
                <w:b w:val="0"/>
                <w:bCs w:val="0"/>
                <w:caps w:val="0"/>
                <w:color w:val="auto"/>
                <w:kern w:val="2"/>
                <w:sz w:val="24"/>
                <w:szCs w:val="24"/>
                <w:highlight w:val="none"/>
                <w:lang w:val="en-US" w:eastAsia="zh-CN" w:bidi="ar-SA"/>
              </w:rPr>
              <w:t>。</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eastAsia" w:ascii="Times New Roman" w:hAnsi="Times New Roman" w:eastAsia="宋体" w:cs="Times New Roman"/>
                <w:b w:val="0"/>
                <w:bCs w:val="0"/>
                <w:caps w:val="0"/>
                <w:color w:val="auto"/>
                <w:kern w:val="2"/>
                <w:sz w:val="24"/>
                <w:szCs w:val="24"/>
                <w:highlight w:val="none"/>
                <w:lang w:val="en-US" w:eastAsia="zh-CN" w:bidi="ar-SA"/>
              </w:rPr>
              <w:t>项目所在区域占用了原双新公路和石门沟，为保障运输畅通，拟将双新公路进行改线；为减少地质灾害的发生，规划在项目用地西侧现状河沟处设置泄洪沟。</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cs="Times New Roman"/>
                <w:b w:val="0"/>
                <w:bCs w:val="0"/>
                <w:caps w:val="0"/>
                <w:color w:val="auto"/>
                <w:kern w:val="2"/>
                <w:sz w:val="24"/>
                <w:szCs w:val="24"/>
                <w:highlight w:val="none"/>
                <w:lang w:val="en-US" w:eastAsia="zh-CN" w:bidi="ar-SA"/>
              </w:rPr>
            </w:pPr>
            <w:r>
              <w:rPr>
                <w:rFonts w:hint="eastAsia" w:cs="Times New Roman"/>
                <w:b w:val="0"/>
                <w:bCs w:val="0"/>
                <w:caps w:val="0"/>
                <w:color w:val="auto"/>
                <w:kern w:val="2"/>
                <w:sz w:val="24"/>
                <w:szCs w:val="24"/>
                <w:highlight w:val="none"/>
                <w:lang w:val="en-US" w:eastAsia="zh-CN" w:bidi="ar-SA"/>
              </w:rPr>
              <w:t>达州市金博士水业有限公司位于项目西侧120m处，主要从事天然桶（瓶）装水的生产和销售，水源来自周边矿山矿井涌水，目前该公司处于停产状态；项目不会对该公司正常运行产生影响。</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color w:val="auto"/>
                <w:lang w:val="en-US" w:eastAsia="zh-CN"/>
              </w:rPr>
            </w:pPr>
            <w:r>
              <w:rPr>
                <w:rFonts w:hint="eastAsia" w:ascii="Times New Roman" w:hAnsi="Times New Roman" w:eastAsia="宋体" w:cs="Times New Roman"/>
                <w:b w:val="0"/>
                <w:bCs w:val="0"/>
                <w:caps w:val="0"/>
                <w:color w:val="auto"/>
                <w:kern w:val="2"/>
                <w:sz w:val="24"/>
                <w:szCs w:val="24"/>
                <w:highlight w:val="none"/>
                <w:lang w:val="en-US" w:eastAsia="zh-CN" w:bidi="ar-SA"/>
              </w:rPr>
              <w:t>项目周围无国家、市、县级自然保护区及野生动物自然保护区、森林公园、风景名胜区、重点文物及名胜古迹、生态敏感与珍稀野生动植物栖息地等环境保护敏感目标。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20" w:type="dxa"/>
            <w:noWrap w:val="0"/>
            <w:vAlign w:val="center"/>
          </w:tcPr>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环境</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保护</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目标</w:t>
            </w:r>
          </w:p>
        </w:tc>
        <w:tc>
          <w:tcPr>
            <w:tcW w:w="8241" w:type="dxa"/>
            <w:noWrap w:val="0"/>
            <w:vAlign w:val="center"/>
          </w:tcPr>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一、外环境关系</w:t>
            </w:r>
          </w:p>
          <w:p>
            <w:pPr>
              <w:pStyle w:val="2"/>
              <w:adjustRightInd/>
              <w:snapToGrid/>
              <w:spacing w:line="42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本项目位于达州双龙铁路物流园</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部分位于现有园区范围外</w:t>
            </w:r>
            <w:r>
              <w:rPr>
                <w:rFonts w:hint="default" w:ascii="Times New Roman" w:hAnsi="Times New Roman" w:eastAsia="宋体" w:cs="Times New Roman"/>
                <w:color w:val="auto"/>
                <w:sz w:val="24"/>
                <w:szCs w:val="24"/>
                <w:lang w:val="en-US" w:eastAsia="zh-CN"/>
              </w:rPr>
              <w:t>。东南侧距现状双龙镇场镇约750m，距离双龙场镇规划区边界约750m，用地西北距离120m为达州市金博士水业有限公司，南侧为铁路货场和襄渝铁路，距离铁路线230m，东侧距离300m为双龙车站，西侧为拟建的规划路和泄洪沟，其他地方为空地。</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bCs/>
                <w:caps w:val="0"/>
                <w:color w:val="auto"/>
                <w:spacing w:val="0"/>
                <w:kern w:val="2"/>
                <w:sz w:val="24"/>
                <w:szCs w:val="24"/>
                <w:highlight w:val="none"/>
                <w:lang w:val="en-US" w:eastAsia="zh-CN" w:bidi="ar-SA"/>
              </w:rPr>
            </w:pPr>
            <w:r>
              <w:rPr>
                <w:rFonts w:hint="eastAsia" w:ascii="Times New Roman" w:hAnsi="Times New Roman" w:eastAsia="宋体" w:cs="Times New Roman"/>
                <w:b/>
                <w:bCs/>
                <w:caps w:val="0"/>
                <w:color w:val="auto"/>
                <w:spacing w:val="0"/>
                <w:kern w:val="2"/>
                <w:sz w:val="24"/>
                <w:szCs w:val="24"/>
                <w:highlight w:val="none"/>
                <w:lang w:val="en-US" w:eastAsia="zh-CN" w:bidi="ar-SA"/>
              </w:rPr>
              <w:t>二、环境保护目标</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aps w:val="0"/>
                <w:color w:val="auto"/>
                <w:spacing w:val="0"/>
                <w:kern w:val="2"/>
                <w:sz w:val="24"/>
                <w:szCs w:val="24"/>
                <w:highlight w:val="none"/>
                <w:lang w:val="en-US" w:eastAsia="zh-CN" w:bidi="ar-SA"/>
              </w:rPr>
            </w:pPr>
            <w:r>
              <w:rPr>
                <w:rFonts w:hint="eastAsia" w:ascii="Times New Roman" w:hAnsi="Times New Roman" w:eastAsia="宋体" w:cs="Times New Roman"/>
                <w:b w:val="0"/>
                <w:bCs w:val="0"/>
                <w:caps w:val="0"/>
                <w:color w:val="auto"/>
                <w:spacing w:val="0"/>
                <w:kern w:val="2"/>
                <w:sz w:val="24"/>
                <w:szCs w:val="24"/>
                <w:highlight w:val="none"/>
                <w:lang w:val="en-US" w:eastAsia="zh-CN" w:bidi="ar-SA"/>
              </w:rPr>
              <w:t>1、大气环境保护目标</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aps w:val="0"/>
                <w:color w:val="auto"/>
                <w:spacing w:val="0"/>
                <w:kern w:val="2"/>
                <w:sz w:val="24"/>
                <w:szCs w:val="24"/>
                <w:highlight w:val="none"/>
                <w:lang w:val="en-US" w:eastAsia="zh-CN" w:bidi="ar-SA"/>
              </w:rPr>
            </w:pPr>
            <w:r>
              <w:rPr>
                <w:rFonts w:hint="eastAsia" w:ascii="Times New Roman" w:hAnsi="Times New Roman" w:eastAsia="宋体" w:cs="Times New Roman"/>
                <w:b w:val="0"/>
                <w:bCs w:val="0"/>
                <w:caps w:val="0"/>
                <w:color w:val="auto"/>
                <w:spacing w:val="0"/>
                <w:kern w:val="2"/>
                <w:sz w:val="24"/>
                <w:szCs w:val="24"/>
                <w:highlight w:val="none"/>
                <w:lang w:val="en-US" w:eastAsia="zh-CN" w:bidi="ar-SA"/>
              </w:rPr>
              <w:t>拟建项目位于达州市通川区双龙铁路物流园内，经调查，大气环境保护目标见下表。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bookmarkStart w:id="2" w:name="_Ref259903135"/>
            <w:r>
              <w:rPr>
                <w:rFonts w:hint="default" w:ascii="Times New Roman" w:hAnsi="Times New Roman" w:eastAsia="宋体" w:cs="Times New Roman"/>
                <w:b/>
                <w:color w:val="auto"/>
                <w:kern w:val="2"/>
                <w:sz w:val="24"/>
                <w:szCs w:val="24"/>
                <w:lang w:val="en-US" w:eastAsia="zh-CN" w:bidi="ar-SA"/>
              </w:rPr>
              <w:t>表</w:t>
            </w:r>
            <w:bookmarkEnd w:id="2"/>
            <w:r>
              <w:rPr>
                <w:rFonts w:hint="default" w:ascii="Times New Roman" w:hAnsi="Times New Roman" w:eastAsia="宋体" w:cs="Times New Roman"/>
                <w:b/>
                <w:color w:val="auto"/>
                <w:kern w:val="2"/>
                <w:sz w:val="24"/>
                <w:szCs w:val="24"/>
                <w:lang w:val="en-US" w:eastAsia="zh-CN" w:bidi="ar-SA"/>
              </w:rPr>
              <w:t>3-1</w:t>
            </w:r>
            <w:r>
              <w:rPr>
                <w:rFonts w:hint="eastAsia" w:ascii="Times New Roman" w:hAnsi="Times New Roman" w:cs="Times New Roman"/>
                <w:b/>
                <w:color w:val="auto"/>
                <w:kern w:val="2"/>
                <w:sz w:val="24"/>
                <w:szCs w:val="24"/>
                <w:lang w:val="en-US" w:eastAsia="zh-CN" w:bidi="ar-SA"/>
              </w:rPr>
              <w:t>4</w:t>
            </w:r>
            <w:r>
              <w:rPr>
                <w:rFonts w:hint="default" w:ascii="Times New Roman" w:hAnsi="Times New Roman" w:eastAsia="宋体" w:cs="Times New Roman"/>
                <w:b/>
                <w:color w:val="auto"/>
                <w:kern w:val="2"/>
                <w:sz w:val="24"/>
                <w:szCs w:val="24"/>
                <w:lang w:val="en-US" w:eastAsia="zh-CN" w:bidi="ar-SA"/>
              </w:rPr>
              <w:t xml:space="preserve">    环境保护目标一览表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73"/>
              <w:gridCol w:w="1104"/>
              <w:gridCol w:w="1019"/>
              <w:gridCol w:w="915"/>
              <w:gridCol w:w="622"/>
              <w:gridCol w:w="625"/>
              <w:gridCol w:w="625"/>
              <w:gridCol w:w="802"/>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环境要素</w:t>
                  </w:r>
                </w:p>
              </w:tc>
              <w:tc>
                <w:tcPr>
                  <w:tcW w:w="4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名称</w:t>
                  </w:r>
                </w:p>
              </w:tc>
              <w:tc>
                <w:tcPr>
                  <w:tcW w:w="132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坐标/经纬度°</w:t>
                  </w:r>
                </w:p>
              </w:tc>
              <w:tc>
                <w:tcPr>
                  <w:tcW w:w="57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保护对象</w:t>
                  </w:r>
                </w:p>
              </w:tc>
              <w:tc>
                <w:tcPr>
                  <w:tcW w:w="38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保护内容</w:t>
                  </w:r>
                </w:p>
              </w:tc>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人数（人）</w:t>
                  </w:r>
                </w:p>
              </w:tc>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环境功能区</w:t>
                  </w:r>
                </w:p>
              </w:tc>
              <w:tc>
                <w:tcPr>
                  <w:tcW w:w="50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相对本项目方位</w:t>
                  </w:r>
                </w:p>
              </w:tc>
              <w:tc>
                <w:tcPr>
                  <w:tcW w:w="50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相对本项目距离/m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68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东经</w:t>
                  </w:r>
                </w:p>
              </w:tc>
              <w:tc>
                <w:tcPr>
                  <w:tcW w:w="63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北纬</w:t>
                  </w:r>
                </w:p>
              </w:tc>
              <w:tc>
                <w:tcPr>
                  <w:tcW w:w="57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环境空气</w:t>
                  </w:r>
                </w:p>
              </w:tc>
              <w:tc>
                <w:tcPr>
                  <w:tcW w:w="48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大石坝</w:t>
                  </w:r>
                </w:p>
              </w:tc>
              <w:tc>
                <w:tcPr>
                  <w:tcW w:w="68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107.441861</w:t>
                  </w:r>
                </w:p>
              </w:tc>
              <w:tc>
                <w:tcPr>
                  <w:tcW w:w="63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31.295987</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居民区</w:t>
                  </w:r>
                </w:p>
              </w:tc>
              <w:tc>
                <w:tcPr>
                  <w:tcW w:w="38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人群</w:t>
                  </w:r>
                </w:p>
              </w:tc>
              <w:tc>
                <w:tcPr>
                  <w:tcW w:w="39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15</w:t>
                  </w:r>
                </w:p>
              </w:tc>
              <w:tc>
                <w:tcPr>
                  <w:tcW w:w="39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二类</w:t>
                  </w:r>
                </w:p>
              </w:tc>
              <w:tc>
                <w:tcPr>
                  <w:tcW w:w="50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库址内</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库址内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张家沟</w:t>
                  </w:r>
                </w:p>
              </w:tc>
              <w:tc>
                <w:tcPr>
                  <w:tcW w:w="68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107.442188</w:t>
                  </w:r>
                </w:p>
              </w:tc>
              <w:tc>
                <w:tcPr>
                  <w:tcW w:w="63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31.295515</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居民区</w:t>
                  </w:r>
                </w:p>
              </w:tc>
              <w:tc>
                <w:tcPr>
                  <w:tcW w:w="38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cs="Times New Roman"/>
                      <w:color w:val="auto"/>
                      <w:spacing w:val="-20"/>
                      <w:kern w:val="0"/>
                      <w:sz w:val="21"/>
                      <w:szCs w:val="21"/>
                      <w:lang w:val="en-US" w:eastAsia="zh-CN" w:bidi="ar-SA"/>
                    </w:rPr>
                    <w:t>人群</w:t>
                  </w:r>
                </w:p>
              </w:tc>
              <w:tc>
                <w:tcPr>
                  <w:tcW w:w="39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33</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S</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上院子</w:t>
                  </w:r>
                </w:p>
              </w:tc>
              <w:tc>
                <w:tcPr>
                  <w:tcW w:w="68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107.439790</w:t>
                  </w:r>
                </w:p>
              </w:tc>
              <w:tc>
                <w:tcPr>
                  <w:tcW w:w="63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31.292650</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56</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SSW</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牟家河边</w:t>
                  </w:r>
                </w:p>
              </w:tc>
              <w:tc>
                <w:tcPr>
                  <w:tcW w:w="68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107.444744</w:t>
                  </w:r>
                </w:p>
              </w:tc>
              <w:tc>
                <w:tcPr>
                  <w:tcW w:w="63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31.291974</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57</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双丰小湾</w:t>
                  </w:r>
                </w:p>
              </w:tc>
              <w:tc>
                <w:tcPr>
                  <w:tcW w:w="68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107.442684</w:t>
                  </w:r>
                </w:p>
              </w:tc>
              <w:tc>
                <w:tcPr>
                  <w:tcW w:w="63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31.293608</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6</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黑儿口</w:t>
                  </w:r>
                </w:p>
              </w:tc>
              <w:tc>
                <w:tcPr>
                  <w:tcW w:w="68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107.441343</w:t>
                  </w:r>
                </w:p>
              </w:tc>
              <w:tc>
                <w:tcPr>
                  <w:tcW w:w="63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31.291298</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10</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冯家沟</w:t>
                  </w:r>
                </w:p>
              </w:tc>
              <w:tc>
                <w:tcPr>
                  <w:tcW w:w="68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107.448682</w:t>
                  </w:r>
                </w:p>
              </w:tc>
              <w:tc>
                <w:tcPr>
                  <w:tcW w:w="63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31.295043</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83</w:t>
                  </w:r>
                </w:p>
              </w:tc>
              <w:tc>
                <w:tcPr>
                  <w:tcW w:w="39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SSE</w:t>
                  </w:r>
                </w:p>
              </w:tc>
              <w:tc>
                <w:tcPr>
                  <w:tcW w:w="503"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baseline"/>
                    <w:rPr>
                      <w:rFonts w:hint="default" w:ascii="Times New Roman" w:hAnsi="Times New Roman"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注：以上敏感点均为村民小组，不属于行政村。</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aps w:val="0"/>
                <w:color w:val="auto"/>
                <w:spacing w:val="0"/>
                <w:kern w:val="2"/>
                <w:sz w:val="24"/>
                <w:szCs w:val="24"/>
                <w:highlight w:val="none"/>
                <w:lang w:val="en-US" w:eastAsia="zh-CN" w:bidi="ar-SA"/>
              </w:rPr>
            </w:pPr>
            <w:r>
              <w:rPr>
                <w:rFonts w:hint="default" w:ascii="Times New Roman" w:hAnsi="Times New Roman" w:eastAsia="宋体" w:cs="Times New Roman"/>
                <w:b w:val="0"/>
                <w:bCs w:val="0"/>
                <w:caps w:val="0"/>
                <w:color w:val="auto"/>
                <w:spacing w:val="0"/>
                <w:kern w:val="2"/>
                <w:sz w:val="24"/>
                <w:szCs w:val="24"/>
                <w:highlight w:val="none"/>
                <w:lang w:val="en-US" w:eastAsia="zh-CN" w:bidi="ar-SA"/>
              </w:rPr>
              <w:t>2、其他环境保护目标</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eastAsia" w:cs="Times New Roman"/>
                <w:b/>
                <w:color w:val="auto"/>
                <w:sz w:val="24"/>
                <w:szCs w:val="24"/>
                <w:highlight w:val="none"/>
                <w:lang w:val="en-US" w:eastAsia="zh-CN"/>
              </w:rPr>
              <w:t>3-15</w:t>
            </w:r>
            <w:r>
              <w:rPr>
                <w:rFonts w:hint="default" w:ascii="Times New Roman" w:hAnsi="Times New Roman" w:cs="Times New Roman"/>
                <w:b/>
                <w:color w:val="auto"/>
                <w:sz w:val="24"/>
                <w:szCs w:val="24"/>
                <w:highlight w:val="none"/>
              </w:rPr>
              <w:t xml:space="preserve">    其他保护目标及保护级别一览表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381"/>
              <w:gridCol w:w="1088"/>
              <w:gridCol w:w="1082"/>
              <w:gridCol w:w="3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环境要素</w:t>
                  </w:r>
                </w:p>
              </w:tc>
              <w:tc>
                <w:tcPr>
                  <w:tcW w:w="8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保护对象</w:t>
                  </w:r>
                </w:p>
              </w:tc>
              <w:tc>
                <w:tcPr>
                  <w:tcW w:w="679"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eastAsia="zh-CN"/>
                    </w:rPr>
                    <w:t>方位</w:t>
                  </w:r>
                </w:p>
              </w:tc>
              <w:tc>
                <w:tcPr>
                  <w:tcW w:w="675"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eastAsia="zh-CN"/>
                    </w:rPr>
                    <w:t>与</w:t>
                  </w:r>
                  <w:r>
                    <w:rPr>
                      <w:rFonts w:hint="eastAsia" w:cs="Times New Roman"/>
                      <w:color w:val="auto"/>
                      <w:sz w:val="21"/>
                      <w:szCs w:val="21"/>
                      <w:highlight w:val="none"/>
                      <w:lang w:eastAsia="zh-CN"/>
                    </w:rPr>
                    <w:t>厂</w:t>
                  </w:r>
                  <w:r>
                    <w:rPr>
                      <w:rFonts w:hint="eastAsia" w:eastAsia="宋体" w:cs="Times New Roman"/>
                      <w:color w:val="auto"/>
                      <w:sz w:val="21"/>
                      <w:szCs w:val="21"/>
                      <w:highlight w:val="none"/>
                      <w:lang w:eastAsia="zh-CN"/>
                    </w:rPr>
                    <w:t>界距离（</w:t>
                  </w:r>
                  <w:r>
                    <w:rPr>
                      <w:rFonts w:hint="eastAsia" w:eastAsia="宋体" w:cs="Times New Roman"/>
                      <w:color w:val="auto"/>
                      <w:sz w:val="21"/>
                      <w:szCs w:val="21"/>
                      <w:highlight w:val="none"/>
                      <w:lang w:val="en-US" w:eastAsia="zh-CN"/>
                    </w:rPr>
                    <w:t>m）</w:t>
                  </w:r>
                </w:p>
              </w:tc>
              <w:tc>
                <w:tcPr>
                  <w:tcW w:w="2108"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声环境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张家沟</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库内</w:t>
                  </w:r>
                </w:p>
              </w:tc>
              <w:tc>
                <w:tcPr>
                  <w:tcW w:w="675" w:type="pct"/>
                  <w:tcBorders>
                    <w:top w:val="single" w:color="auto" w:sz="4" w:space="0"/>
                    <w:left w:val="single" w:color="auto" w:sz="4" w:space="0"/>
                    <w:bottom w:val="single" w:color="auto" w:sz="4" w:space="0"/>
                    <w:right w:val="single" w:color="auto" w:sz="4" w:space="0"/>
                  </w:tcBorders>
                  <w:noWrap w:val="0"/>
                  <w:vAlign w:val="center"/>
                </w:tcPr>
                <w:p>
                  <w:pPr>
                    <w:pStyle w:val="12"/>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《声环境质量标准》(GB3096-2008)中</w:t>
                  </w:r>
                  <w:r>
                    <w:rPr>
                      <w:rFonts w:hint="eastAsia" w:cs="Times New Roman"/>
                      <w:color w:val="auto"/>
                      <w:sz w:val="21"/>
                      <w:szCs w:val="21"/>
                      <w:highlight w:val="none"/>
                      <w:lang w:val="en-US" w:eastAsia="zh-CN"/>
                    </w:rPr>
                    <w:t>3</w:t>
                  </w:r>
                  <w:r>
                    <w:rPr>
                      <w:rFonts w:hint="default" w:eastAsia="宋体" w:cs="Times New Roman"/>
                      <w:color w:val="auto"/>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大石坝</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675" w:type="pct"/>
                  <w:tcBorders>
                    <w:top w:val="single" w:color="auto" w:sz="4" w:space="0"/>
                    <w:left w:val="single" w:color="auto" w:sz="4" w:space="0"/>
                    <w:bottom w:val="single" w:color="auto" w:sz="4" w:space="0"/>
                    <w:right w:val="single" w:color="auto" w:sz="4" w:space="0"/>
                  </w:tcBorders>
                  <w:noWrap w:val="0"/>
                  <w:vAlign w:val="center"/>
                </w:tcPr>
                <w:p>
                  <w:pPr>
                    <w:pStyle w:val="12"/>
                    <w:keepNext w:val="0"/>
                    <w:keepLines w:val="0"/>
                    <w:suppressLineNumbers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紧邻</w:t>
                  </w:r>
                </w:p>
              </w:tc>
              <w:tc>
                <w:tcPr>
                  <w:tcW w:w="2108" w:type="pct"/>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生态环境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eastAsia="zh-CN"/>
                    </w:rPr>
                    <w:t>占地范围内</w:t>
                  </w:r>
                  <w:r>
                    <w:rPr>
                      <w:rFonts w:hint="eastAsia" w:cs="Times New Roman"/>
                      <w:color w:val="auto"/>
                      <w:sz w:val="21"/>
                      <w:szCs w:val="21"/>
                      <w:highlight w:val="none"/>
                      <w:lang w:val="en-US" w:eastAsia="zh-CN"/>
                    </w:rPr>
                    <w:t>其他</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生态环境不恶化，不对区域生态环境产生明显影响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占地内石门河</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设置排洪沟，并进行行洪论证，不会对区域生态环境产生明显影响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eastAsia" w:eastAsia="宋体" w:cs="Times New Roman"/>
                      <w:color w:val="auto"/>
                      <w:sz w:val="21"/>
                      <w:szCs w:val="21"/>
                      <w:highlight w:val="none"/>
                    </w:rPr>
                    <w:t>地表水环境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双龙河</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SE</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1120</w:t>
                  </w:r>
                </w:p>
              </w:tc>
              <w:tc>
                <w:tcPr>
                  <w:tcW w:w="21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地下水环境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区域浅层地下水</w:t>
                  </w:r>
                </w:p>
              </w:tc>
              <w:tc>
                <w:tcPr>
                  <w:tcW w:w="6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s="Times New Roman"/>
                      <w:color w:val="auto"/>
                      <w:sz w:val="21"/>
                      <w:szCs w:val="21"/>
                      <w:highlight w:val="none"/>
                    </w:rPr>
                  </w:pPr>
                  <w:r>
                    <w:rPr>
                      <w:rFonts w:hint="default" w:ascii="Times New Roman" w:hAnsi="Times New Roman" w:eastAsia="宋体" w:cs="Times New Roman"/>
                      <w:color w:val="auto"/>
                      <w:kern w:val="0"/>
                      <w:sz w:val="21"/>
                      <w:szCs w:val="21"/>
                    </w:rPr>
                    <w:t>《地下水质量标准》（GB/T14848-2017）Ⅲ类标准</w:t>
                  </w:r>
                </w:p>
              </w:tc>
            </w:tr>
          </w:tbl>
          <w:p>
            <w:pPr>
              <w:pStyle w:val="11"/>
              <w:rPr>
                <w:rFonts w:hint="eastAsia"/>
                <w:color w:val="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820" w:type="dxa"/>
            <w:noWrap w:val="0"/>
            <w:tcMar>
              <w:left w:w="28" w:type="dxa"/>
              <w:right w:w="28" w:type="dxa"/>
            </w:tcMar>
            <w:vAlign w:val="center"/>
          </w:tcPr>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污染</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物排</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放控</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制标</w:t>
            </w:r>
          </w:p>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准</w:t>
            </w:r>
          </w:p>
        </w:tc>
        <w:tc>
          <w:tcPr>
            <w:tcW w:w="8241" w:type="dxa"/>
            <w:noWrap w:val="0"/>
            <w:vAlign w:val="center"/>
          </w:tcPr>
          <w:p>
            <w:pPr>
              <w:keepNext w:val="0"/>
              <w:keepLines w:val="0"/>
              <w:pageBreakBefore w:val="0"/>
              <w:widowControl w:val="0"/>
              <w:numPr>
                <w:ilvl w:val="0"/>
                <w:numId w:val="15"/>
              </w:numPr>
              <w:kinsoku/>
              <w:wordWrap/>
              <w:overflowPunct/>
              <w:topLinePunct w:val="0"/>
              <w:autoSpaceDE/>
              <w:autoSpaceDN/>
              <w:bidi w:val="0"/>
              <w:adjustRightInd w:val="0"/>
              <w:snapToGrid w:val="0"/>
              <w:spacing w:line="440" w:lineRule="exact"/>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w:t>
            </w:r>
            <w:r>
              <w:rPr>
                <w:rFonts w:hint="default" w:ascii="Times New Roman" w:hAnsi="Times New Roman" w:cs="Times New Roman"/>
                <w:color w:val="auto"/>
                <w:kern w:val="0"/>
                <w:sz w:val="24"/>
                <w:szCs w:val="24"/>
                <w:highlight w:val="none"/>
                <w:lang w:bidi="ar"/>
              </w:rPr>
              <w:t>施工期扬尘污染物执行《四川省施工场地扬尘排放标准》（DB51/2682-2020）。</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sz w:val="24"/>
                <w:szCs w:val="24"/>
                <w:highlight w:val="none"/>
              </w:rPr>
              <w:t>运营期：</w:t>
            </w:r>
            <w:r>
              <w:rPr>
                <w:rFonts w:hint="default" w:ascii="Times New Roman" w:hAnsi="Times New Roman" w:eastAsia="宋体" w:cs="Times New Roman"/>
                <w:color w:val="auto"/>
                <w:kern w:val="0"/>
                <w:sz w:val="24"/>
                <w:szCs w:val="24"/>
              </w:rPr>
              <w:t>油气回收</w:t>
            </w:r>
            <w:r>
              <w:rPr>
                <w:rFonts w:hint="default" w:ascii="Times New Roman" w:hAnsi="Times New Roman" w:eastAsia="宋体" w:cs="Times New Roman"/>
                <w:color w:val="auto"/>
                <w:kern w:val="0"/>
                <w:sz w:val="24"/>
              </w:rPr>
              <w:t>处理装置挥发性有机物执行《储油库大气污染物排放标准》（GB20950-</w:t>
            </w:r>
            <w:r>
              <w:rPr>
                <w:rFonts w:hint="eastAsia" w:ascii="Times New Roman" w:hAnsi="Times New Roman" w:cs="Times New Roman"/>
                <w:color w:val="auto"/>
                <w:kern w:val="0"/>
                <w:sz w:val="24"/>
                <w:lang w:val="en-US" w:eastAsia="zh-CN"/>
              </w:rPr>
              <w:t>2020</w:t>
            </w:r>
            <w:r>
              <w:rPr>
                <w:rFonts w:hint="default" w:ascii="Times New Roman" w:hAnsi="Times New Roman" w:eastAsia="宋体" w:cs="Times New Roman"/>
                <w:color w:val="auto"/>
                <w:kern w:val="0"/>
                <w:sz w:val="24"/>
              </w:rPr>
              <w:t>）</w:t>
            </w:r>
            <w:r>
              <w:rPr>
                <w:rFonts w:hint="eastAsia" w:ascii="Times New Roman" w:hAnsi="Times New Roman" w:cs="Times New Roman"/>
                <w:color w:val="auto"/>
                <w:kern w:val="0"/>
                <w:sz w:val="24"/>
                <w:lang w:eastAsia="zh-CN"/>
              </w:rPr>
              <w:t>表</w:t>
            </w:r>
            <w:r>
              <w:rPr>
                <w:rFonts w:hint="eastAsia" w:ascii="Times New Roman" w:hAnsi="Times New Roman" w:cs="Times New Roman"/>
                <w:color w:val="auto"/>
                <w:kern w:val="0"/>
                <w:sz w:val="24"/>
                <w:lang w:val="en-US" w:eastAsia="zh-CN"/>
              </w:rPr>
              <w:t>1标准</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rPr>
              <w:t>无组织排放的挥发性有机物（VOCs）执行《四川省固定污染源大气挥发性有机物排放标准》（DB51/2377-2017）表5无组织排放监控浓度限值（常规控制污染项目）</w:t>
            </w:r>
            <w:r>
              <w:rPr>
                <w:rFonts w:hint="eastAsia" w:cs="Times New Roman"/>
                <w:color w:val="auto"/>
                <w:kern w:val="0"/>
                <w:sz w:val="24"/>
                <w:lang w:eastAsia="zh-CN"/>
              </w:rPr>
              <w:t>；</w:t>
            </w:r>
            <w:r>
              <w:rPr>
                <w:rFonts w:hint="eastAsia" w:cs="Times New Roman"/>
                <w:color w:val="auto"/>
                <w:kern w:val="0"/>
                <w:sz w:val="24"/>
                <w:lang w:val="en-US" w:eastAsia="zh-CN"/>
              </w:rPr>
              <w:t>厂区内无组织废气执行《挥发性有机物无组织排放控制标准》（GB37822-2019）表A.1规定排放限值</w:t>
            </w:r>
            <w:r>
              <w:rPr>
                <w:rFonts w:hint="eastAsia" w:cs="Times New Roman"/>
                <w:color w:val="auto"/>
                <w:kern w:val="0"/>
                <w:sz w:val="24"/>
                <w:lang w:eastAsia="zh-CN"/>
              </w:rPr>
              <w:t>。</w:t>
            </w:r>
            <w:r>
              <w:rPr>
                <w:rFonts w:hint="eastAsia" w:cs="Times New Roman"/>
                <w:color w:val="auto"/>
                <w:kern w:val="0"/>
                <w:sz w:val="24"/>
                <w:lang w:val="en-US" w:eastAsia="zh-CN"/>
              </w:rPr>
              <w:t>食堂油烟执行《饮食业油烟排放标准（试行）》（GB18483-2001）中小型标准。</w:t>
            </w:r>
          </w:p>
          <w:p>
            <w:pPr>
              <w:keepNext w:val="0"/>
              <w:keepLines w:val="0"/>
              <w:pageBreakBefore w:val="0"/>
              <w:widowControl w:val="0"/>
              <w:kinsoku/>
              <w:wordWrap/>
              <w:overflowPunct/>
              <w:topLinePunct w:val="0"/>
              <w:autoSpaceDE/>
              <w:autoSpaceDN/>
              <w:bidi w:val="0"/>
              <w:adjustRightInd/>
              <w:snapToGrid/>
              <w:spacing w:line="440" w:lineRule="exact"/>
              <w:ind w:firstLine="502" w:firstLineChars="200"/>
              <w:textAlignment w:val="auto"/>
              <w:rPr>
                <w:rFonts w:hint="default" w:ascii="Times New Roman" w:hAnsi="Times New Roman" w:eastAsia="宋体" w:cs="Times New Roman"/>
                <w:b/>
                <w:bCs/>
                <w:color w:val="auto"/>
                <w:spacing w:val="5"/>
                <w:kern w:val="2"/>
                <w:sz w:val="24"/>
                <w:szCs w:val="24"/>
                <w:highlight w:val="none"/>
                <w:lang w:val="en-US" w:eastAsia="zh-CN" w:bidi="ar-SA"/>
              </w:rPr>
            </w:pPr>
            <w:r>
              <w:rPr>
                <w:rFonts w:hint="default" w:ascii="Times New Roman" w:hAnsi="Times New Roman" w:eastAsia="宋体" w:cs="Times New Roman"/>
                <w:b/>
                <w:bCs/>
                <w:color w:val="auto"/>
                <w:spacing w:val="5"/>
                <w:kern w:val="2"/>
                <w:sz w:val="24"/>
                <w:szCs w:val="24"/>
                <w:highlight w:val="none"/>
                <w:lang w:val="en-US" w:eastAsia="zh-CN" w:bidi="ar-SA"/>
              </w:rPr>
              <w:t>表</w:t>
            </w:r>
            <w:r>
              <w:rPr>
                <w:rFonts w:hint="eastAsia" w:ascii="Times New Roman" w:hAnsi="Times New Roman" w:eastAsia="宋体" w:cs="Times New Roman"/>
                <w:b/>
                <w:bCs/>
                <w:color w:val="auto"/>
                <w:spacing w:val="5"/>
                <w:kern w:val="2"/>
                <w:sz w:val="24"/>
                <w:szCs w:val="24"/>
                <w:highlight w:val="none"/>
                <w:lang w:val="en-US" w:eastAsia="zh-CN" w:bidi="ar-SA"/>
              </w:rPr>
              <w:t>3-16</w:t>
            </w:r>
            <w:r>
              <w:rPr>
                <w:rFonts w:hint="default" w:ascii="Times New Roman" w:hAnsi="Times New Roman" w:eastAsia="宋体" w:cs="Times New Roman"/>
                <w:b/>
                <w:bCs/>
                <w:color w:val="auto"/>
                <w:spacing w:val="5"/>
                <w:kern w:val="2"/>
                <w:sz w:val="24"/>
                <w:szCs w:val="24"/>
                <w:highlight w:val="none"/>
                <w:lang w:val="en-US" w:eastAsia="zh-CN" w:bidi="ar-SA"/>
              </w:rPr>
              <w:t xml:space="preserve">   大气污染物排放标准浓度限值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1"/>
              <w:gridCol w:w="719"/>
              <w:gridCol w:w="837"/>
              <w:gridCol w:w="253"/>
              <w:gridCol w:w="2632"/>
              <w:gridCol w:w="1049"/>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0" w:type="pct"/>
                  <w:gridSpan w:val="2"/>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污染源</w:t>
                  </w:r>
                </w:p>
              </w:tc>
              <w:tc>
                <w:tcPr>
                  <w:tcW w:w="522" w:type="pc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污染物</w:t>
                  </w:r>
                </w:p>
              </w:tc>
              <w:tc>
                <w:tcPr>
                  <w:tcW w:w="1800" w:type="pct"/>
                  <w:gridSpan w:val="2"/>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污染物排放限值</w:t>
                  </w:r>
                </w:p>
              </w:tc>
              <w:tc>
                <w:tcPr>
                  <w:tcW w:w="654" w:type="pc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eastAsia="宋体" w:cs="Times New Roman"/>
                      <w:color w:val="auto"/>
                      <w:spacing w:val="0"/>
                      <w:sz w:val="21"/>
                      <w:szCs w:val="21"/>
                      <w:highlight w:val="none"/>
                      <w:lang w:val="en-US" w:eastAsia="zh-CN"/>
                    </w:rPr>
                  </w:pPr>
                  <w:r>
                    <w:rPr>
                      <w:rFonts w:hint="eastAsia" w:ascii="Times New Roman" w:cs="Times New Roman"/>
                      <w:color w:val="auto"/>
                      <w:spacing w:val="0"/>
                      <w:sz w:val="21"/>
                      <w:szCs w:val="21"/>
                      <w:highlight w:val="none"/>
                      <w:lang w:val="en-US" w:eastAsia="zh-CN"/>
                    </w:rPr>
                    <w:t>监测时间</w:t>
                  </w:r>
                </w:p>
              </w:tc>
              <w:tc>
                <w:tcPr>
                  <w:tcW w:w="1242" w:type="pc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restar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施工期</w:t>
                  </w:r>
                </w:p>
              </w:tc>
              <w:tc>
                <w:tcPr>
                  <w:tcW w:w="448" w:type="pct"/>
                  <w:vMerge w:val="restar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建筑施工</w:t>
                  </w:r>
                </w:p>
              </w:tc>
              <w:tc>
                <w:tcPr>
                  <w:tcW w:w="522" w:type="pct"/>
                  <w:vMerge w:val="restar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总悬浮颗粒物（TSP）</w:t>
                  </w:r>
                </w:p>
              </w:tc>
              <w:tc>
                <w:tcPr>
                  <w:tcW w:w="158" w:type="pct"/>
                  <w:vMerge w:val="restar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eastAsia" w:ascii="Times New Roman" w:cs="Times New Roman"/>
                      <w:color w:val="auto"/>
                      <w:spacing w:val="0"/>
                      <w:sz w:val="21"/>
                      <w:szCs w:val="21"/>
                      <w:highlight w:val="none"/>
                    </w:rPr>
                    <w:t>达州市</w:t>
                  </w:r>
                </w:p>
              </w:tc>
              <w:tc>
                <w:tcPr>
                  <w:tcW w:w="1642" w:type="pc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拆除工程/土石方开挖/土石方回填阶段：600ug/m</w:t>
                  </w:r>
                  <w:r>
                    <w:rPr>
                      <w:rFonts w:hint="default" w:ascii="Times New Roman" w:cs="Times New Roman"/>
                      <w:color w:val="auto"/>
                      <w:spacing w:val="0"/>
                      <w:sz w:val="21"/>
                      <w:szCs w:val="21"/>
                      <w:highlight w:val="none"/>
                      <w:vertAlign w:val="superscript"/>
                    </w:rPr>
                    <w:t>3</w:t>
                  </w:r>
                </w:p>
              </w:tc>
              <w:tc>
                <w:tcPr>
                  <w:tcW w:w="654" w:type="pct"/>
                  <w:vMerge w:val="restar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eastAsia="宋体" w:cs="Times New Roman"/>
                      <w:color w:val="auto"/>
                      <w:spacing w:val="0"/>
                      <w:sz w:val="21"/>
                      <w:szCs w:val="21"/>
                      <w:highlight w:val="none"/>
                      <w:lang w:val="en-US" w:eastAsia="zh-CN" w:bidi="ar"/>
                    </w:rPr>
                  </w:pPr>
                  <w:r>
                    <w:rPr>
                      <w:rFonts w:hint="eastAsia" w:ascii="Times New Roman" w:cs="Times New Roman"/>
                      <w:color w:val="auto"/>
                      <w:spacing w:val="0"/>
                      <w:sz w:val="21"/>
                      <w:szCs w:val="21"/>
                      <w:highlight w:val="none"/>
                      <w:lang w:val="en-US" w:eastAsia="zh-CN" w:bidi="ar"/>
                    </w:rPr>
                    <w:t>自监测起持续15分钟</w:t>
                  </w:r>
                </w:p>
              </w:tc>
              <w:tc>
                <w:tcPr>
                  <w:tcW w:w="1242" w:type="pct"/>
                  <w:vMerge w:val="restar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lang w:bidi="ar"/>
                    </w:rPr>
                    <w:t>《四川省施工场地扬尘排放标准》（DB51/2682-2020）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448" w:type="pct"/>
                  <w:vMerge w:val="continue"/>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522" w:type="pct"/>
                  <w:vMerge w:val="continue"/>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158" w:type="pct"/>
                  <w:vMerge w:val="continue"/>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1642" w:type="pc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其他工程阶段250ug/m</w:t>
                  </w:r>
                  <w:r>
                    <w:rPr>
                      <w:rFonts w:hint="default" w:ascii="Times New Roman" w:cs="Times New Roman"/>
                      <w:color w:val="auto"/>
                      <w:spacing w:val="0"/>
                      <w:sz w:val="21"/>
                      <w:szCs w:val="21"/>
                      <w:highlight w:val="none"/>
                      <w:vertAlign w:val="superscript"/>
                    </w:rPr>
                    <w:t>3</w:t>
                  </w:r>
                </w:p>
              </w:tc>
              <w:tc>
                <w:tcPr>
                  <w:tcW w:w="654" w:type="pct"/>
                  <w:vMerge w:val="continue"/>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snapToGrid w:val="0"/>
                      <w:color w:val="auto"/>
                      <w:spacing w:val="0"/>
                      <w:sz w:val="21"/>
                      <w:szCs w:val="21"/>
                      <w:highlight w:val="none"/>
                    </w:rPr>
                  </w:pPr>
                </w:p>
              </w:tc>
              <w:tc>
                <w:tcPr>
                  <w:tcW w:w="1242" w:type="pct"/>
                  <w:vMerge w:val="continue"/>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snapToGrid w:val="0"/>
                      <w:color w:val="auto"/>
                      <w:spacing w:val="0"/>
                      <w:sz w:val="21"/>
                      <w:szCs w:val="21"/>
                      <w:highlight w:val="none"/>
                    </w:rPr>
                  </w:pPr>
                </w:p>
              </w:tc>
            </w:tr>
          </w:tbl>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ascii="Times New Roman" w:hAnsi="Times New Roman" w:eastAsia="宋体" w:cs="Times New Roman"/>
                <w:b/>
                <w:color w:val="auto"/>
                <w:kern w:val="0"/>
                <w:sz w:val="24"/>
                <w:szCs w:val="24"/>
                <w:lang w:val="en-US" w:eastAsia="zh-CN"/>
              </w:rPr>
              <w:t>3-17</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项目废气污染物排放标准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30"/>
              <w:gridCol w:w="2532"/>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6"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项目</w:t>
                  </w:r>
                </w:p>
              </w:tc>
              <w:tc>
                <w:tcPr>
                  <w:tcW w:w="15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标准限值</w:t>
                  </w:r>
                </w:p>
              </w:tc>
              <w:tc>
                <w:tcPr>
                  <w:tcW w:w="21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油气（NMHC）</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油气回收</w:t>
                  </w:r>
                  <w:r>
                    <w:rPr>
                      <w:rFonts w:hint="default" w:ascii="Times New Roman" w:hAnsi="Times New Roman" w:eastAsia="宋体" w:cs="Times New Roman"/>
                      <w:color w:val="auto"/>
                      <w:kern w:val="0"/>
                      <w:sz w:val="21"/>
                      <w:szCs w:val="20"/>
                      <w:highlight w:val="none"/>
                      <w:lang w:val="en-US" w:eastAsia="zh-CN" w:bidi="ar-SA"/>
                    </w:rPr>
                    <w:t>有组织排放</w:t>
                  </w:r>
                </w:p>
              </w:tc>
              <w:tc>
                <w:tcPr>
                  <w:tcW w:w="15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25</w:t>
                  </w:r>
                  <w:r>
                    <w:rPr>
                      <w:rFonts w:hint="default" w:ascii="Times New Roman" w:hAnsi="Times New Roman" w:eastAsia="宋体" w:cs="Times New Roman"/>
                      <w:color w:val="auto"/>
                      <w:kern w:val="0"/>
                      <w:sz w:val="21"/>
                      <w:szCs w:val="20"/>
                      <w:highlight w:val="none"/>
                      <w:lang w:val="en-US" w:eastAsia="zh-CN" w:bidi="ar-SA"/>
                    </w:rPr>
                    <w:t>g/m</w:t>
                  </w:r>
                  <w:r>
                    <w:rPr>
                      <w:rFonts w:hint="default" w:ascii="Times New Roman" w:hAnsi="Times New Roman" w:eastAsia="宋体" w:cs="Times New Roman"/>
                      <w:color w:val="auto"/>
                      <w:kern w:val="0"/>
                      <w:sz w:val="21"/>
                      <w:szCs w:val="20"/>
                      <w:highlight w:val="none"/>
                      <w:vertAlign w:val="superscript"/>
                      <w:lang w:val="en-US" w:eastAsia="zh-CN" w:bidi="ar-SA"/>
                    </w:rPr>
                    <w:t>3</w:t>
                  </w:r>
                  <w:r>
                    <w:rPr>
                      <w:rFonts w:hint="eastAsia" w:ascii="Times New Roman" w:hAnsi="Times New Roman" w:eastAsia="宋体" w:cs="Times New Roman"/>
                      <w:color w:val="auto"/>
                      <w:kern w:val="0"/>
                      <w:sz w:val="21"/>
                      <w:szCs w:val="20"/>
                      <w:highlight w:val="none"/>
                      <w:vertAlign w:val="baseline"/>
                      <w:lang w:val="en-US" w:eastAsia="zh-CN" w:bidi="ar-SA"/>
                    </w:rPr>
                    <w:t>，处理效率≥95%</w:t>
                  </w:r>
                  <w:r>
                    <w:rPr>
                      <w:rFonts w:hint="eastAsia" w:cs="Times New Roman"/>
                      <w:color w:val="auto"/>
                      <w:kern w:val="0"/>
                      <w:sz w:val="21"/>
                      <w:szCs w:val="20"/>
                      <w:highlight w:val="none"/>
                      <w:vertAlign w:val="baseline"/>
                      <w:lang w:val="en-US" w:eastAsia="zh-CN" w:bidi="ar-SA"/>
                    </w:rPr>
                    <w:t>，排放口高度不低于4m</w:t>
                  </w:r>
                </w:p>
              </w:tc>
              <w:tc>
                <w:tcPr>
                  <w:tcW w:w="21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《储油库大气污染物排放标准》（GB20950-20</w:t>
                  </w:r>
                  <w:r>
                    <w:rPr>
                      <w:rFonts w:hint="eastAsia" w:ascii="Times New Roman" w:hAnsi="Times New Roman"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表1标准要求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p>
              </w:tc>
              <w:tc>
                <w:tcPr>
                  <w:tcW w:w="8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厂界无组织</w:t>
                  </w:r>
                </w:p>
              </w:tc>
              <w:tc>
                <w:tcPr>
                  <w:tcW w:w="15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2.0mg/m</w:t>
                  </w:r>
                  <w:r>
                    <w:rPr>
                      <w:rFonts w:hint="default" w:ascii="Times New Roman" w:hAnsi="Times New Roman" w:eastAsia="宋体" w:cs="Times New Roman"/>
                      <w:color w:val="auto"/>
                      <w:kern w:val="0"/>
                      <w:sz w:val="21"/>
                      <w:szCs w:val="20"/>
                      <w:highlight w:val="none"/>
                      <w:vertAlign w:val="superscript"/>
                      <w:lang w:val="en-US" w:eastAsia="zh-CN" w:bidi="ar-SA"/>
                    </w:rPr>
                    <w:t>3</w:t>
                  </w:r>
                </w:p>
              </w:tc>
              <w:tc>
                <w:tcPr>
                  <w:tcW w:w="21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《四川省固定污染源大气挥发性有机物排放标准》（DB51/2377-2017）表5无组织排放监控浓度限值（常规控制污染项目）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p>
              </w:tc>
              <w:tc>
                <w:tcPr>
                  <w:tcW w:w="8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厂内无组织</w:t>
                  </w:r>
                </w:p>
              </w:tc>
              <w:tc>
                <w:tcPr>
                  <w:tcW w:w="15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监控点处1小时平均浓度：6.020mg/m</w:t>
                  </w:r>
                  <w:r>
                    <w:rPr>
                      <w:rFonts w:hint="eastAsia" w:cs="Times New Roman"/>
                      <w:color w:val="auto"/>
                      <w:kern w:val="0"/>
                      <w:sz w:val="21"/>
                      <w:szCs w:val="20"/>
                      <w:highlight w:val="none"/>
                      <w:vertAlign w:val="superscript"/>
                      <w:lang w:val="en-US" w:eastAsia="zh-CN" w:bidi="ar-SA"/>
                    </w:rPr>
                    <w:t>3</w:t>
                  </w:r>
                </w:p>
              </w:tc>
              <w:tc>
                <w:tcPr>
                  <w:tcW w:w="212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0"/>
                      <w:highlight w:val="none"/>
                      <w:lang w:val="en-US" w:eastAsia="zh-CN" w:bidi="ar-SA"/>
                    </w:rPr>
                    <w:t>《挥发性有机物无组织排放控制标准》（GB37822-2019）表A.1规定排放限值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color w:val="auto"/>
                    </w:rPr>
                  </w:pPr>
                </w:p>
              </w:tc>
              <w:tc>
                <w:tcPr>
                  <w:tcW w:w="8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color w:val="auto"/>
                    </w:rPr>
                  </w:pPr>
                </w:p>
              </w:tc>
              <w:tc>
                <w:tcPr>
                  <w:tcW w:w="15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监控点处任意一次浓度限值：20mg/m</w:t>
                  </w:r>
                  <w:r>
                    <w:rPr>
                      <w:rFonts w:hint="eastAsia" w:cs="Times New Roman"/>
                      <w:color w:val="auto"/>
                      <w:kern w:val="0"/>
                      <w:sz w:val="21"/>
                      <w:szCs w:val="20"/>
                      <w:highlight w:val="none"/>
                      <w:vertAlign w:val="superscript"/>
                      <w:lang w:val="en-US" w:eastAsia="zh-CN" w:bidi="ar-SA"/>
                    </w:rPr>
                    <w:t>3</w:t>
                  </w:r>
                </w:p>
              </w:tc>
              <w:tc>
                <w:tcPr>
                  <w:tcW w:w="212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ascii="Times New Roman" w:hAnsi="Times New Roman" w:eastAsia="宋体" w:cs="Times New Roman"/>
                      <w:color w:val="auto"/>
                      <w:kern w:val="0"/>
                      <w:sz w:val="21"/>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eastAsia="宋体"/>
                      <w:color w:val="auto"/>
                      <w:lang w:val="en-US" w:eastAsia="zh-CN"/>
                    </w:rPr>
                  </w:pPr>
                  <w:r>
                    <w:rPr>
                      <w:rFonts w:hint="eastAsia"/>
                      <w:color w:val="auto"/>
                      <w:lang w:val="en-US" w:eastAsia="zh-CN"/>
                    </w:rPr>
                    <w:t>食堂油烟</w:t>
                  </w:r>
                </w:p>
              </w:tc>
              <w:tc>
                <w:tcPr>
                  <w:tcW w:w="8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eastAsia="宋体"/>
                      <w:color w:val="auto"/>
                      <w:lang w:val="en-US" w:eastAsia="zh-CN"/>
                    </w:rPr>
                  </w:pPr>
                  <w:r>
                    <w:rPr>
                      <w:rFonts w:hint="eastAsia"/>
                      <w:color w:val="auto"/>
                      <w:lang w:val="en-US" w:eastAsia="zh-CN"/>
                    </w:rPr>
                    <w:t>油烟</w:t>
                  </w:r>
                </w:p>
              </w:tc>
              <w:tc>
                <w:tcPr>
                  <w:tcW w:w="15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最高允许浓度：2.0mg/m</w:t>
                  </w:r>
                  <w:r>
                    <w:rPr>
                      <w:rFonts w:hint="eastAsia" w:cs="Times New Roman"/>
                      <w:color w:val="auto"/>
                      <w:kern w:val="0"/>
                      <w:sz w:val="21"/>
                      <w:szCs w:val="20"/>
                      <w:highlight w:val="none"/>
                      <w:vertAlign w:val="superscript"/>
                      <w:lang w:val="en-US" w:eastAsia="zh-CN" w:bidi="ar-SA"/>
                    </w:rPr>
                    <w:t>3</w:t>
                  </w:r>
                </w:p>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最低去除率：60%</w:t>
                  </w:r>
                </w:p>
              </w:tc>
              <w:tc>
                <w:tcPr>
                  <w:tcW w:w="21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《饮食业油烟排放标准（试行）》（GB18483-2001）中小型标准</w:t>
                  </w:r>
                </w:p>
              </w:tc>
            </w:tr>
          </w:tbl>
          <w:p>
            <w:pPr>
              <w:pStyle w:val="10"/>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50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废水</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500" w:firstLineChars="200"/>
              <w:jc w:val="both"/>
              <w:textAlignment w:val="auto"/>
              <w:rPr>
                <w:rFonts w:hint="eastAsia" w:hAnsi="Courier New" w:cs="Times New Roman"/>
                <w:b w:val="0"/>
                <w:bCs w:val="0"/>
                <w:caps w:val="0"/>
                <w:color w:val="auto"/>
                <w:spacing w:val="5"/>
                <w:kern w:val="2"/>
                <w:sz w:val="24"/>
                <w:szCs w:val="24"/>
                <w:lang w:val="en-US" w:eastAsia="zh-CN" w:bidi="ar-SA"/>
              </w:rPr>
            </w:pPr>
            <w:r>
              <w:rPr>
                <w:rFonts w:hint="eastAsia" w:hAnsi="Courier New" w:cs="Times New Roman"/>
                <w:b w:val="0"/>
                <w:bCs w:val="0"/>
                <w:caps w:val="0"/>
                <w:color w:val="auto"/>
                <w:spacing w:val="5"/>
                <w:kern w:val="2"/>
                <w:sz w:val="24"/>
                <w:szCs w:val="24"/>
                <w:lang w:val="en-US" w:eastAsia="zh-CN" w:bidi="ar-SA"/>
              </w:rPr>
              <w:t>双龙污水处理厂扩建完成前，项目含油废水执行《城市污水再生利用  城市杂用水水质》（GB/T18920-2020）表1“城市绿化、道路清扫、消防、建筑施工”用水标准，生活污水（食堂废水经隔油池处理）经化粪池处理后定期清掏外运；</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500" w:firstLineChars="200"/>
              <w:jc w:val="both"/>
              <w:textAlignment w:val="auto"/>
              <w:rPr>
                <w:rFonts w:cs="Times New Roman"/>
                <w:b/>
                <w:bCs/>
                <w:color w:val="auto"/>
                <w:sz w:val="24"/>
                <w:szCs w:val="24"/>
                <w:highlight w:val="none"/>
              </w:rPr>
            </w:pPr>
            <w:r>
              <w:rPr>
                <w:rFonts w:hint="eastAsia" w:hAnsi="Courier New" w:cs="Times New Roman"/>
                <w:b w:val="0"/>
                <w:bCs w:val="0"/>
                <w:caps w:val="0"/>
                <w:color w:val="auto"/>
                <w:spacing w:val="5"/>
                <w:kern w:val="2"/>
                <w:sz w:val="24"/>
                <w:szCs w:val="24"/>
                <w:lang w:val="en-US" w:eastAsia="zh-CN" w:bidi="ar-SA"/>
              </w:rPr>
              <w:t>双龙镇污水处理厂扩建完成后，</w:t>
            </w:r>
            <w:r>
              <w:rPr>
                <w:rFonts w:hint="eastAsia" w:ascii="Times New Roman" w:hAnsi="Courier New" w:eastAsia="宋体" w:cs="Times New Roman"/>
                <w:b w:val="0"/>
                <w:bCs w:val="0"/>
                <w:caps w:val="0"/>
                <w:color w:val="auto"/>
                <w:spacing w:val="5"/>
                <w:kern w:val="2"/>
                <w:sz w:val="24"/>
                <w:szCs w:val="24"/>
                <w:lang w:val="en-US" w:eastAsia="zh-CN" w:bidi="ar-SA"/>
              </w:rPr>
              <w:t>项目废水执行</w:t>
            </w:r>
            <w:r>
              <w:rPr>
                <w:rFonts w:hint="default" w:ascii="Times New Roman" w:hAnsi="Courier New" w:eastAsia="宋体" w:cs="Times New Roman"/>
                <w:b w:val="0"/>
                <w:bCs w:val="0"/>
                <w:caps w:val="0"/>
                <w:color w:val="auto"/>
                <w:spacing w:val="5"/>
                <w:kern w:val="2"/>
                <w:sz w:val="24"/>
                <w:szCs w:val="24"/>
                <w:lang w:val="en-US" w:eastAsia="zh-CN" w:bidi="ar-SA"/>
              </w:rPr>
              <w:t>《污水综合排放标准》（GB8978-1996）表4三级标准</w:t>
            </w:r>
            <w:r>
              <w:rPr>
                <w:rFonts w:hint="eastAsia" w:ascii="Times New Roman" w:hAnsi="Courier New" w:eastAsia="宋体" w:cs="Times New Roman"/>
                <w:b w:val="0"/>
                <w:bCs w:val="0"/>
                <w:caps w:val="0"/>
                <w:color w:val="auto"/>
                <w:spacing w:val="5"/>
                <w:kern w:val="2"/>
                <w:sz w:val="24"/>
                <w:szCs w:val="24"/>
                <w:lang w:val="en-US" w:eastAsia="zh-CN" w:bidi="ar-SA"/>
              </w:rPr>
              <w:t>，同时满足双龙镇污水处理厂进水水质要求。</w:t>
            </w:r>
          </w:p>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eastAsia" w:ascii="Times New Roman" w:hAnsi="Times New Roman" w:eastAsia="宋体" w:cs="Times New Roman"/>
                <w:b/>
                <w:color w:val="auto"/>
                <w:kern w:val="0"/>
                <w:sz w:val="24"/>
                <w:szCs w:val="24"/>
                <w:lang w:eastAsia="zh-CN"/>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3-18</w:t>
            </w:r>
            <w:r>
              <w:rPr>
                <w:rFonts w:cs="Times New Roman"/>
                <w:b/>
                <w:bCs/>
                <w:color w:val="auto"/>
                <w:sz w:val="24"/>
                <w:szCs w:val="24"/>
                <w:highlight w:val="none"/>
              </w:rPr>
              <w:t xml:space="preserve">   </w:t>
            </w:r>
            <w:r>
              <w:rPr>
                <w:rFonts w:hint="eastAsia" w:cs="Times New Roman"/>
                <w:b/>
                <w:bCs/>
                <w:color w:val="auto"/>
                <w:sz w:val="24"/>
                <w:szCs w:val="24"/>
                <w:highlight w:val="none"/>
                <w:lang w:val="en-US" w:eastAsia="zh-CN"/>
              </w:rPr>
              <w:t>双龙镇污水处理厂扩建完成前</w:t>
            </w:r>
            <w:r>
              <w:rPr>
                <w:rFonts w:hint="eastAsia" w:cs="Times New Roman"/>
                <w:b/>
                <w:bCs/>
                <w:color w:val="auto"/>
                <w:sz w:val="24"/>
                <w:szCs w:val="24"/>
                <w:highlight w:val="none"/>
                <w:lang w:eastAsia="zh-CN"/>
              </w:rPr>
              <w:t>废水</w:t>
            </w:r>
            <w:r>
              <w:rPr>
                <w:rFonts w:hint="default" w:ascii="Times New Roman" w:hAnsi="Times New Roman" w:eastAsia="宋体" w:cs="Times New Roman"/>
                <w:b/>
                <w:color w:val="auto"/>
                <w:kern w:val="0"/>
                <w:sz w:val="24"/>
                <w:szCs w:val="24"/>
              </w:rPr>
              <w:t>污染物</w:t>
            </w:r>
            <w:r>
              <w:rPr>
                <w:rFonts w:hint="eastAsia" w:cs="Times New Roman"/>
                <w:b/>
                <w:color w:val="auto"/>
                <w:kern w:val="0"/>
                <w:sz w:val="24"/>
                <w:szCs w:val="24"/>
                <w:lang w:val="en-US" w:eastAsia="zh-CN"/>
              </w:rPr>
              <w:t>限值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4947"/>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城市绿化、道路清扫、消防、建筑施工</w:t>
                  </w:r>
                </w:p>
              </w:tc>
              <w:tc>
                <w:tcPr>
                  <w:tcW w:w="1091"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pH</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6.0~9.0</w:t>
                  </w:r>
                </w:p>
              </w:tc>
              <w:tc>
                <w:tcPr>
                  <w:tcW w:w="109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《城市污水再生利用  城市杂用水水质》（GB/T18920-2020）表1“城市绿化、道路清扫、消防、建筑施工”用水标准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10</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氨氮</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8</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石油类</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动植物油</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SS</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总氮</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总磷</w:t>
                  </w:r>
                </w:p>
              </w:tc>
              <w:tc>
                <w:tcPr>
                  <w:tcW w:w="308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bl>
          <w:p>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3-19</w:t>
            </w:r>
            <w:r>
              <w:rPr>
                <w:rFonts w:cs="Times New Roman"/>
                <w:b/>
                <w:bCs/>
                <w:color w:val="auto"/>
                <w:sz w:val="24"/>
                <w:szCs w:val="24"/>
                <w:highlight w:val="none"/>
              </w:rPr>
              <w:t xml:space="preserve">   </w:t>
            </w:r>
            <w:r>
              <w:rPr>
                <w:rFonts w:hint="eastAsia" w:cs="Times New Roman"/>
                <w:b/>
                <w:bCs/>
                <w:color w:val="auto"/>
                <w:sz w:val="24"/>
                <w:szCs w:val="24"/>
                <w:highlight w:val="none"/>
                <w:lang w:val="en-US" w:eastAsia="zh-CN"/>
              </w:rPr>
              <w:t>双龙镇污水处理厂扩建完成后</w:t>
            </w:r>
            <w:r>
              <w:rPr>
                <w:rFonts w:hint="eastAsia" w:cs="Times New Roman"/>
                <w:b/>
                <w:bCs/>
                <w:color w:val="auto"/>
                <w:sz w:val="24"/>
                <w:szCs w:val="24"/>
                <w:highlight w:val="none"/>
                <w:lang w:eastAsia="zh-CN"/>
              </w:rPr>
              <w:t>废水</w:t>
            </w:r>
            <w:r>
              <w:rPr>
                <w:rFonts w:hint="default" w:ascii="Times New Roman" w:hAnsi="Times New Roman" w:eastAsia="宋体" w:cs="Times New Roman"/>
                <w:b/>
                <w:color w:val="auto"/>
                <w:kern w:val="0"/>
                <w:sz w:val="24"/>
                <w:szCs w:val="24"/>
              </w:rPr>
              <w:t>污染物排放标准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340"/>
              <w:gridCol w:w="2066"/>
              <w:gridCol w:w="1539"/>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w:t>
                  </w:r>
                </w:p>
              </w:tc>
              <w:tc>
                <w:tcPr>
                  <w:tcW w:w="3085" w:type="pct"/>
                  <w:gridSpan w:val="3"/>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污染物排放限值</w:t>
                  </w:r>
                </w:p>
              </w:tc>
              <w:tc>
                <w:tcPr>
                  <w:tcW w:w="109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综排标准</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污水处理厂进水标准</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最终执行标准</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pH</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6~9</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6~9</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6～9</w:t>
                  </w:r>
                </w:p>
              </w:tc>
              <w:tc>
                <w:tcPr>
                  <w:tcW w:w="109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满足《污水综合排放标准》（GB8978-1996）表4三级标准，双龙镇污水处理厂进水水质要求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500</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500</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500</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300</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300</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300</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氨氮</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45</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45</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45</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石油类</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20</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20</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20</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动植物油</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100</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100</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100</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SS</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400</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400</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100</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总氮</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40</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总磷</w:t>
                  </w:r>
                </w:p>
              </w:tc>
              <w:tc>
                <w:tcPr>
                  <w:tcW w:w="836"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w:t>
                  </w:r>
                </w:p>
              </w:tc>
              <w:tc>
                <w:tcPr>
                  <w:tcW w:w="128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Cs w:val="21"/>
                    </w:rPr>
                    <w:t>8</w:t>
                  </w:r>
                </w:p>
              </w:tc>
              <w:tc>
                <w:tcPr>
                  <w:tcW w:w="960"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8</w:t>
                  </w:r>
                </w:p>
              </w:tc>
              <w:tc>
                <w:tcPr>
                  <w:tcW w:w="10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bl>
          <w:p>
            <w:pPr>
              <w:pStyle w:val="11"/>
              <w:keepNext w:val="0"/>
              <w:keepLines w:val="0"/>
              <w:pageBreakBefore w:val="0"/>
              <w:widowControl w:val="0"/>
              <w:numPr>
                <w:ilvl w:val="0"/>
                <w:numId w:val="15"/>
              </w:numPr>
              <w:kinsoku/>
              <w:wordWrap/>
              <w:overflowPunct/>
              <w:topLinePunct w:val="0"/>
              <w:autoSpaceDE/>
              <w:autoSpaceDN/>
              <w:bidi w:val="0"/>
              <w:spacing w:before="0" w:after="0" w:line="440" w:lineRule="exact"/>
              <w:ind w:left="0" w:leftChars="0" w:firstLine="480" w:firstLineChars="200"/>
              <w:jc w:val="both"/>
              <w:textAlignment w:val="auto"/>
              <w:rPr>
                <w:rFonts w:hint="default"/>
                <w:b w:val="0"/>
                <w:bCs w:val="0"/>
                <w:color w:val="auto"/>
                <w:sz w:val="24"/>
                <w:szCs w:val="24"/>
                <w:lang w:val="en-US" w:eastAsia="zh-CN"/>
              </w:rPr>
            </w:pPr>
            <w:r>
              <w:rPr>
                <w:rFonts w:hint="eastAsia"/>
                <w:b w:val="0"/>
                <w:bCs w:val="0"/>
                <w:color w:val="auto"/>
                <w:sz w:val="24"/>
                <w:szCs w:val="24"/>
                <w:lang w:val="en-US" w:eastAsia="zh-CN"/>
              </w:rPr>
              <w:t>噪声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施工期噪声执行《建筑施工场界环境噪声排放标准》（GB12523-2011）；</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运营期</w:t>
            </w:r>
            <w:r>
              <w:rPr>
                <w:rFonts w:hint="eastAsia" w:cs="Times New Roman"/>
                <w:color w:val="auto"/>
                <w:sz w:val="24"/>
                <w:szCs w:val="24"/>
                <w:highlight w:val="none"/>
                <w:lang w:eastAsia="zh-CN"/>
              </w:rPr>
              <w:t>厂界</w:t>
            </w:r>
            <w:r>
              <w:rPr>
                <w:rFonts w:hint="default" w:ascii="Times New Roman" w:hAnsi="Times New Roman" w:cs="Times New Roman"/>
                <w:color w:val="auto"/>
                <w:sz w:val="24"/>
                <w:szCs w:val="24"/>
                <w:highlight w:val="none"/>
              </w:rPr>
              <w:t>噪声执行《工业企业厂界环境噪声排放标准》（GB12348-2008）</w:t>
            </w:r>
            <w:r>
              <w:rPr>
                <w:rFonts w:hint="eastAsia" w:cs="Times New Roman"/>
                <w:color w:val="auto"/>
                <w:sz w:val="24"/>
                <w:szCs w:val="24"/>
                <w:highlight w:val="none"/>
                <w:lang w:val="en-US" w:eastAsia="zh-CN"/>
              </w:rPr>
              <w:t>3类</w:t>
            </w:r>
            <w:r>
              <w:rPr>
                <w:rFonts w:hint="default" w:ascii="Times New Roman" w:hAnsi="Times New Roman" w:cs="Times New Roman"/>
                <w:color w:val="auto"/>
                <w:sz w:val="24"/>
                <w:szCs w:val="24"/>
                <w:highlight w:val="none"/>
              </w:rPr>
              <w:t>标准</w:t>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3-20</w:t>
            </w:r>
            <w:r>
              <w:rPr>
                <w:rFonts w:hint="default" w:ascii="Times New Roman" w:hAnsi="Times New Roman" w:cs="Times New Roman"/>
                <w:b/>
                <w:bCs/>
                <w:color w:val="auto"/>
                <w:sz w:val="24"/>
                <w:szCs w:val="24"/>
                <w:highlight w:val="none"/>
              </w:rPr>
              <w:t xml:space="preserve">   噪声排放标准</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856"/>
              <w:gridCol w:w="610"/>
              <w:gridCol w:w="699"/>
              <w:gridCol w:w="976"/>
              <w:gridCol w:w="4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序号</w:t>
                  </w:r>
                </w:p>
              </w:tc>
              <w:tc>
                <w:tcPr>
                  <w:tcW w:w="914"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时段</w:t>
                  </w:r>
                </w:p>
              </w:tc>
              <w:tc>
                <w:tcPr>
                  <w:tcW w:w="1045"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标准值dB(A)</w:t>
                  </w:r>
                </w:p>
              </w:tc>
              <w:tc>
                <w:tcPr>
                  <w:tcW w:w="269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p>
              </w:tc>
              <w:tc>
                <w:tcPr>
                  <w:tcW w:w="914"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昼间</w:t>
                  </w:r>
                </w:p>
              </w:tc>
              <w:tc>
                <w:tcPr>
                  <w:tcW w:w="6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夜间</w:t>
                  </w:r>
                </w:p>
              </w:tc>
              <w:tc>
                <w:tcPr>
                  <w:tcW w:w="269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1</w:t>
                  </w:r>
                </w:p>
              </w:tc>
              <w:tc>
                <w:tcPr>
                  <w:tcW w:w="914"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施工期</w:t>
                  </w: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70</w:t>
                  </w:r>
                </w:p>
              </w:tc>
              <w:tc>
                <w:tcPr>
                  <w:tcW w:w="6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55</w:t>
                  </w:r>
                </w:p>
              </w:tc>
              <w:tc>
                <w:tcPr>
                  <w:tcW w:w="269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eastAsia="宋体" w:cs="Times New Roman"/>
                      <w:color w:val="auto"/>
                      <w:sz w:val="21"/>
                      <w:szCs w:val="21"/>
                      <w:highlight w:val="none"/>
                      <w:lang w:eastAsia="zh-CN"/>
                    </w:rPr>
                  </w:pPr>
                  <w:r>
                    <w:rPr>
                      <w:rFonts w:hint="default" w:cs="Times New Roman"/>
                      <w:color w:val="auto"/>
                      <w:sz w:val="21"/>
                      <w:szCs w:val="21"/>
                      <w:highlight w:val="none"/>
                    </w:rPr>
                    <w:t>《建筑施工场界环境噪声排放标准》GB12523-2011</w:t>
                  </w: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2</w:t>
                  </w:r>
                </w:p>
              </w:tc>
              <w:tc>
                <w:tcPr>
                  <w:tcW w:w="5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运营期</w:t>
                  </w:r>
                </w:p>
              </w:tc>
              <w:tc>
                <w:tcPr>
                  <w:tcW w:w="3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43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69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《工业企业厂界环境噪声排放标准》（GB12348-2008）</w:t>
                  </w:r>
                  <w:r>
                    <w:rPr>
                      <w:rFonts w:hint="eastAsia" w:cs="Times New Roman"/>
                      <w:color w:val="auto"/>
                      <w:sz w:val="21"/>
                      <w:szCs w:val="21"/>
                      <w:highlight w:val="none"/>
                      <w:lang w:val="en-US" w:eastAsia="zh-CN"/>
                    </w:rPr>
                    <w:t>3</w:t>
                  </w:r>
                  <w:r>
                    <w:rPr>
                      <w:rFonts w:hint="default" w:cs="Times New Roman"/>
                      <w:color w:val="auto"/>
                      <w:sz w:val="21"/>
                      <w:szCs w:val="21"/>
                      <w:highlight w:val="none"/>
                    </w:rPr>
                    <w:t>类标准</w:t>
                  </w:r>
                </w:p>
              </w:tc>
            </w:tr>
          </w:tbl>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4、固废</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一般</w:t>
            </w:r>
            <w:r>
              <w:rPr>
                <w:rFonts w:hint="default" w:ascii="Times New Roman" w:hAnsi="Times New Roman" w:eastAsia="宋体" w:cs="Times New Roman"/>
                <w:b w:val="0"/>
                <w:bCs w:val="0"/>
                <w:color w:val="auto"/>
                <w:sz w:val="24"/>
                <w:szCs w:val="24"/>
                <w:lang w:val="en-US" w:eastAsia="zh-CN"/>
              </w:rPr>
              <w:t>固体废物排放执行</w:t>
            </w:r>
            <w:r>
              <w:rPr>
                <w:rFonts w:hint="eastAsia" w:ascii="Times New Roman" w:hAnsi="Times New Roman" w:eastAsia="宋体" w:cs="Times New Roman"/>
                <w:b w:val="0"/>
                <w:bCs w:val="0"/>
                <w:color w:val="auto"/>
                <w:sz w:val="24"/>
                <w:szCs w:val="24"/>
                <w:lang w:val="en-US" w:eastAsia="zh-CN"/>
              </w:rPr>
              <w:t>《一般工业固体废物贮存和填埋污染控制标准》（GB18599-2020）中相关规定；危险废物贮存执行</w:t>
            </w:r>
            <w:r>
              <w:rPr>
                <w:rFonts w:hint="default" w:ascii="Times New Roman" w:hAnsi="Times New Roman" w:eastAsia="宋体" w:cs="Times New Roman"/>
                <w:b w:val="0"/>
                <w:bCs w:val="0"/>
                <w:color w:val="auto"/>
                <w:sz w:val="24"/>
                <w:szCs w:val="24"/>
                <w:lang w:val="en-US" w:eastAsia="zh-CN"/>
              </w:rPr>
              <w:t>《危险废物贮存污染控制标准》（GB18597-2001）</w:t>
            </w:r>
            <w:r>
              <w:rPr>
                <w:rFonts w:hint="eastAsia" w:ascii="Times New Roman" w:hAnsi="Times New Roman" w:eastAsia="宋体" w:cs="Times New Roman"/>
                <w:b w:val="0"/>
                <w:bCs w:val="0"/>
                <w:color w:val="auto"/>
                <w:sz w:val="24"/>
                <w:szCs w:val="24"/>
                <w:lang w:val="en-US" w:eastAsia="zh-CN"/>
              </w:rPr>
              <w:t>中相关规定。</w:t>
            </w:r>
          </w:p>
          <w:p>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21</w:t>
            </w:r>
            <w:r>
              <w:rPr>
                <w:rFonts w:hint="eastAsia" w:ascii="Times New Roman" w:hAnsi="Times New Roman" w:eastAsia="宋体" w:cs="Times New Roman"/>
                <w:b/>
                <w:bCs/>
                <w:color w:val="auto"/>
                <w:sz w:val="24"/>
                <w:szCs w:val="24"/>
                <w:lang w:val="en-US" w:eastAsia="zh-CN"/>
              </w:rPr>
              <w:t xml:space="preserve">    固体废物排放标准</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9"/>
              <w:gridCol w:w="1263"/>
              <w:gridCol w:w="6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1" w:type="pct"/>
                  <w:gridSpan w:val="2"/>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color w:val="auto"/>
                      <w:spacing w:val="0"/>
                      <w:sz w:val="21"/>
                      <w:szCs w:val="21"/>
                      <w:highlight w:val="none"/>
                    </w:rPr>
                  </w:pPr>
                  <w:r>
                    <w:rPr>
                      <w:rFonts w:hint="default"/>
                      <w:color w:val="auto"/>
                      <w:spacing w:val="0"/>
                      <w:sz w:val="21"/>
                      <w:szCs w:val="21"/>
                      <w:highlight w:val="none"/>
                    </w:rPr>
                    <w:t>污染源</w:t>
                  </w:r>
                </w:p>
              </w:tc>
              <w:tc>
                <w:tcPr>
                  <w:tcW w:w="3968" w:type="pct"/>
                  <w:noWrap w:val="0"/>
                  <w:vAlign w:val="center"/>
                </w:tcPr>
                <w:p>
                  <w:pPr>
                    <w:pStyle w:val="38"/>
                    <w:keepNext w:val="0"/>
                    <w:keepLines w:val="0"/>
                    <w:suppressLineNumbers w:val="0"/>
                    <w:spacing w:before="0" w:beforeAutospacing="0" w:after="0" w:afterAutospacing="0" w:line="360" w:lineRule="exact"/>
                    <w:ind w:left="0" w:right="0" w:firstLine="0" w:firstLineChars="0"/>
                    <w:jc w:val="center"/>
                    <w:rPr>
                      <w:rFonts w:hint="default"/>
                      <w:color w:val="auto"/>
                      <w:spacing w:val="0"/>
                      <w:sz w:val="21"/>
                      <w:szCs w:val="21"/>
                      <w:highlight w:val="none"/>
                    </w:rPr>
                  </w:pPr>
                  <w:r>
                    <w:rPr>
                      <w:rFonts w:hint="eastAsia"/>
                      <w:color w:val="auto"/>
                      <w:spacing w:val="0"/>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243" w:type="pct"/>
                  <w:vMerge w:val="restar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运营期</w:t>
                  </w:r>
                </w:p>
              </w:tc>
              <w:tc>
                <w:tcPr>
                  <w:tcW w:w="787"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一般固废</w:t>
                  </w:r>
                </w:p>
              </w:tc>
              <w:tc>
                <w:tcPr>
                  <w:tcW w:w="3968"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《一般工业固体废物贮存和填埋污染控制标准》（GB18599-2020）</w:t>
                  </w:r>
                  <w:r>
                    <w:rPr>
                      <w:rFonts w:hint="default" w:ascii="Times New Roman" w:hAnsi="Times New Roman" w:eastAsia="宋体" w:cs="Times New Roman"/>
                      <w:color w:val="auto"/>
                      <w:sz w:val="21"/>
                      <w:szCs w:val="21"/>
                      <w:highlight w:val="none"/>
                    </w:rPr>
                    <w:t>中相关规定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243" w:type="pct"/>
                  <w:vMerge w:val="continue"/>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787"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危险废物</w:t>
                  </w:r>
                </w:p>
              </w:tc>
              <w:tc>
                <w:tcPr>
                  <w:tcW w:w="3968"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《危险废物贮存污染控制标准》(GB18597-2001)及修改单（环境保护部公告[2013]第36号）相关规定要求</w:t>
                  </w:r>
                  <w:r>
                    <w:rPr>
                      <w:rFonts w:hint="eastAsia"/>
                      <w:color w:val="auto"/>
                      <w:sz w:val="21"/>
                      <w:szCs w:val="21"/>
                      <w:highlight w:val="none"/>
                    </w:rPr>
                    <w:t>；</w:t>
                  </w:r>
                </w:p>
              </w:tc>
            </w:tr>
          </w:tbl>
          <w:p>
            <w:pPr>
              <w:keepNext w:val="0"/>
              <w:keepLines w:val="0"/>
              <w:pageBreakBefore w:val="0"/>
              <w:widowControl w:val="0"/>
              <w:kinsoku/>
              <w:wordWrap/>
              <w:overflowPunct/>
              <w:topLinePunct w:val="0"/>
              <w:autoSpaceDE/>
              <w:autoSpaceDN/>
              <w:bidi w:val="0"/>
              <w:spacing w:line="440" w:lineRule="exact"/>
              <w:ind w:firstLine="420" w:firstLineChars="200"/>
              <w:jc w:val="both"/>
              <w:textAlignment w:val="auto"/>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20" w:type="dxa"/>
            <w:noWrap w:val="0"/>
            <w:vAlign w:val="center"/>
          </w:tcPr>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总量</w:t>
            </w:r>
          </w:p>
          <w:p>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控制</w:t>
            </w:r>
          </w:p>
          <w:p>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指标</w:t>
            </w:r>
          </w:p>
        </w:tc>
        <w:tc>
          <w:tcPr>
            <w:tcW w:w="8241" w:type="dxa"/>
            <w:noWrap w:val="0"/>
            <w:vAlign w:val="center"/>
          </w:tcPr>
          <w:p>
            <w:pPr>
              <w:keepNext w:val="0"/>
              <w:keepLines w:val="0"/>
              <w:pageBreakBefore w:val="0"/>
              <w:widowControl w:val="0"/>
              <w:kinsoku/>
              <w:wordWrap/>
              <w:overflowPunct/>
              <w:topLinePunct w:val="0"/>
              <w:bidi w:val="0"/>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根据环境保护“十三五”计划实施总量控制的污染物种类，结合当地的环境质量限制及建设项目污染物排放特征，按照最大限度减少污染物排放量及区域污染物排放总则，确定该项目总量控制指标为：COD、NH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eastAsia" w:cs="Times New Roman"/>
                <w:color w:val="auto"/>
                <w:sz w:val="24"/>
                <w:szCs w:val="24"/>
                <w:vertAlign w:val="baseline"/>
                <w:lang w:eastAsia="zh-CN"/>
              </w:rPr>
              <w:t>、</w:t>
            </w:r>
            <w:r>
              <w:rPr>
                <w:rFonts w:hint="eastAsia" w:cs="Times New Roman"/>
                <w:color w:val="auto"/>
                <w:sz w:val="24"/>
                <w:szCs w:val="24"/>
                <w:vertAlign w:val="baseline"/>
                <w:lang w:val="en-US" w:eastAsia="zh-CN"/>
              </w:rPr>
              <w:t>VOCs</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pacing w:line="42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本项目不使用锅炉，不会产生SO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eastAsia" w:cs="Times New Roman"/>
                <w:color w:val="auto"/>
                <w:sz w:val="24"/>
                <w:szCs w:val="24"/>
                <w:vertAlign w:val="baseline"/>
                <w:lang w:eastAsia="zh-CN"/>
              </w:rPr>
              <w:t>，</w:t>
            </w:r>
            <w:r>
              <w:rPr>
                <w:rFonts w:hint="eastAsia" w:cs="Times New Roman"/>
                <w:color w:val="auto"/>
                <w:sz w:val="24"/>
                <w:lang w:val="en-US" w:eastAsia="zh-CN"/>
              </w:rPr>
              <w:t>VOCs总量为0.45t/a。</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s="Times New Roman"/>
                <w:color w:val="auto"/>
                <w:sz w:val="24"/>
                <w:lang w:val="en-US" w:eastAsia="zh-CN"/>
              </w:rPr>
              <w:t>双龙镇污水处理厂扩建完成前总量核算</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cs="Times New Roman"/>
                <w:color w:val="auto"/>
                <w:sz w:val="24"/>
                <w:lang w:val="en-US" w:eastAsia="zh-CN"/>
              </w:rPr>
            </w:pPr>
            <w:r>
              <w:rPr>
                <w:rFonts w:hint="default" w:ascii="Times New Roman" w:hAnsi="Times New Roman" w:eastAsia="宋体" w:cs="Times New Roman"/>
                <w:color w:val="auto"/>
                <w:sz w:val="24"/>
              </w:rPr>
              <w:t>根据工程分析</w:t>
            </w:r>
            <w:r>
              <w:rPr>
                <w:rFonts w:hint="eastAsia" w:cs="Times New Roman"/>
                <w:color w:val="auto"/>
                <w:sz w:val="24"/>
                <w:lang w:eastAsia="zh-CN"/>
              </w:rPr>
              <w:t>，</w:t>
            </w:r>
            <w:r>
              <w:rPr>
                <w:rFonts w:hint="eastAsia" w:cs="Times New Roman"/>
                <w:color w:val="auto"/>
                <w:sz w:val="24"/>
                <w:lang w:val="en-US" w:eastAsia="zh-CN"/>
              </w:rPr>
              <w:t>双龙镇污水处理厂扩建完成前，生活污水（食堂废水经隔油池处理）经化粪池处理后定期清掏外运，含油生产废水经厂区含油废水处理站处理后用于库区绿化和泼洒抑尘。故总量控制指标为SO</w:t>
            </w:r>
            <w:r>
              <w:rPr>
                <w:rFonts w:hint="eastAsia" w:cs="Times New Roman"/>
                <w:color w:val="auto"/>
                <w:sz w:val="24"/>
                <w:vertAlign w:val="subscript"/>
                <w:lang w:val="en-US" w:eastAsia="zh-CN"/>
              </w:rPr>
              <w:t>2</w:t>
            </w:r>
            <w:r>
              <w:rPr>
                <w:rFonts w:hint="eastAsia" w:cs="Times New Roman"/>
                <w:color w:val="auto"/>
                <w:sz w:val="24"/>
                <w:lang w:val="en-US" w:eastAsia="zh-CN"/>
              </w:rPr>
              <w:t>：0.000t/a，NOx：0.000t/a，VOCs：5.386t/a；COD：0.000t/a，</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：0.000</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双龙镇污水处理厂扩建完成前总量核算</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根据工程分析</w:t>
            </w:r>
            <w:r>
              <w:rPr>
                <w:rFonts w:hint="eastAsia" w:cs="Times New Roman"/>
                <w:color w:val="auto"/>
                <w:sz w:val="24"/>
                <w:lang w:eastAsia="zh-CN"/>
              </w:rPr>
              <w:t>，</w:t>
            </w:r>
            <w:r>
              <w:rPr>
                <w:rFonts w:hint="eastAsia" w:cs="Times New Roman"/>
                <w:color w:val="auto"/>
                <w:sz w:val="24"/>
                <w:lang w:val="en-US" w:eastAsia="zh-CN"/>
              </w:rPr>
              <w:t>双龙镇污水处理厂扩建完成后，</w:t>
            </w:r>
            <w:r>
              <w:rPr>
                <w:rFonts w:hint="default" w:ascii="Times New Roman" w:hAnsi="Times New Roman" w:eastAsia="宋体" w:cs="Times New Roman"/>
                <w:color w:val="auto"/>
                <w:sz w:val="24"/>
              </w:rPr>
              <w:t>生活污水</w:t>
            </w:r>
            <w:r>
              <w:rPr>
                <w:rFonts w:hint="eastAsia" w:cs="Times New Roman"/>
                <w:color w:val="auto"/>
                <w:sz w:val="24"/>
                <w:lang w:eastAsia="zh-CN"/>
              </w:rPr>
              <w:t>（</w:t>
            </w:r>
            <w:r>
              <w:rPr>
                <w:rFonts w:hint="eastAsia" w:cs="Times New Roman"/>
                <w:color w:val="auto"/>
                <w:sz w:val="24"/>
                <w:lang w:val="en-US" w:eastAsia="zh-CN"/>
              </w:rPr>
              <w:t>食堂废水经隔油池处理</w:t>
            </w:r>
            <w:r>
              <w:rPr>
                <w:rFonts w:hint="eastAsia" w:cs="Times New Roman"/>
                <w:color w:val="auto"/>
                <w:sz w:val="24"/>
                <w:lang w:eastAsia="zh-CN"/>
              </w:rPr>
              <w:t>）</w:t>
            </w:r>
            <w:r>
              <w:rPr>
                <w:rFonts w:hint="default" w:ascii="Times New Roman" w:hAnsi="Times New Roman" w:eastAsia="宋体" w:cs="Times New Roman"/>
                <w:color w:val="auto"/>
                <w:sz w:val="24"/>
              </w:rPr>
              <w:t>经化粪池处理</w:t>
            </w:r>
            <w:r>
              <w:rPr>
                <w:rFonts w:hint="eastAsia" w:cs="Times New Roman"/>
                <w:color w:val="auto"/>
                <w:sz w:val="24"/>
                <w:lang w:val="en-US" w:eastAsia="zh-CN"/>
              </w:rPr>
              <w:t>+地埋式生活污水处理装置</w:t>
            </w:r>
            <w:r>
              <w:rPr>
                <w:rFonts w:hint="default" w:ascii="Times New Roman" w:hAnsi="Times New Roman" w:eastAsia="宋体" w:cs="Times New Roman"/>
                <w:color w:val="auto"/>
                <w:sz w:val="24"/>
              </w:rPr>
              <w:t>、含油废水经隔油池+含油</w:t>
            </w:r>
            <w:r>
              <w:rPr>
                <w:rFonts w:hint="eastAsia" w:ascii="Times New Roman" w:hAnsi="Times New Roman" w:cs="Times New Roman"/>
                <w:color w:val="auto"/>
                <w:sz w:val="24"/>
                <w:lang w:eastAsia="zh-CN"/>
              </w:rPr>
              <w:t>废水处理站</w:t>
            </w:r>
            <w:r>
              <w:rPr>
                <w:rFonts w:hint="default" w:ascii="Times New Roman" w:hAnsi="Times New Roman" w:eastAsia="宋体" w:cs="Times New Roman"/>
                <w:color w:val="auto"/>
                <w:sz w:val="24"/>
              </w:rPr>
              <w:t>处理达到《污水综合排放标准》（GB8978-1996）三级标准</w:t>
            </w:r>
            <w:r>
              <w:rPr>
                <w:rFonts w:hint="eastAsia" w:cs="Times New Roman"/>
                <w:color w:val="auto"/>
                <w:sz w:val="24"/>
                <w:lang w:val="en-US" w:eastAsia="zh-CN"/>
              </w:rPr>
              <w:t>同时满足双龙镇污水处理厂进水水质要求</w:t>
            </w:r>
            <w:r>
              <w:rPr>
                <w:rFonts w:hint="default" w:ascii="Times New Roman" w:hAnsi="Times New Roman" w:eastAsia="宋体" w:cs="Times New Roman"/>
                <w:color w:val="auto"/>
                <w:sz w:val="24"/>
              </w:rPr>
              <w:t>，排入市政污水管网，进入双龙镇污水处理厂处理达《城镇污水处理厂污染物排放标准》一级标准A标准后排双龙河，废水总量控制指标可在接纳的污水处理厂的总量控制指标内进行调剂。</w:t>
            </w:r>
          </w:p>
          <w:p>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根据排放标准核算，COD：50mg/L，NH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-N：5mg/L。</w:t>
            </w:r>
          </w:p>
          <w:p>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w:t>
            </w:r>
            <w:r>
              <w:rPr>
                <w:rFonts w:hint="eastAsia" w:cs="Times New Roman"/>
                <w:color w:val="auto"/>
                <w:sz w:val="24"/>
                <w:szCs w:val="24"/>
                <w:lang w:val="en-US" w:eastAsia="zh-CN"/>
              </w:rPr>
              <w:t>37.727</w:t>
            </w:r>
            <w:r>
              <w:rPr>
                <w:rFonts w:hint="default" w:ascii="Times New Roman" w:hAnsi="Times New Roman" w:eastAsia="宋体" w:cs="Times New Roman"/>
                <w:color w:val="auto"/>
                <w:sz w:val="24"/>
                <w:szCs w:val="24"/>
              </w:rPr>
              <w:t>×3</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rPr>
              <w:t>×50×10</w:t>
            </w:r>
            <w:r>
              <w:rPr>
                <w:rFonts w:hint="default" w:ascii="Times New Roman" w:hAnsi="Times New Roman" w:eastAsia="宋体" w:cs="Times New Roman"/>
                <w:color w:val="auto"/>
                <w:sz w:val="24"/>
                <w:szCs w:val="24"/>
                <w:vertAlign w:val="superscript"/>
              </w:rPr>
              <w:t>-6</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0.660</w:t>
            </w:r>
            <w:r>
              <w:rPr>
                <w:rFonts w:hint="default" w:ascii="Times New Roman" w:hAnsi="Times New Roman" w:eastAsia="宋体" w:cs="Times New Roman"/>
                <w:color w:val="auto"/>
                <w:sz w:val="24"/>
                <w:szCs w:val="24"/>
              </w:rPr>
              <w:t>t/a</w:t>
            </w:r>
          </w:p>
          <w:p>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37.727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rPr>
              <w:t>×5×10</w:t>
            </w:r>
            <w:r>
              <w:rPr>
                <w:rFonts w:hint="default" w:ascii="Times New Roman" w:hAnsi="Times New Roman" w:eastAsia="宋体" w:cs="Times New Roman"/>
                <w:color w:val="auto"/>
                <w:sz w:val="24"/>
                <w:szCs w:val="24"/>
                <w:vertAlign w:val="superscript"/>
              </w:rPr>
              <w:t>-6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66</w:t>
            </w:r>
            <w:r>
              <w:rPr>
                <w:rFonts w:hint="default" w:ascii="Times New Roman" w:hAnsi="Times New Roman" w:eastAsia="宋体" w:cs="Times New Roman"/>
                <w:color w:val="auto"/>
                <w:sz w:val="24"/>
                <w:szCs w:val="24"/>
              </w:rPr>
              <w:t>t/a</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污染物总量控制指标为：</w:t>
            </w:r>
            <w:r>
              <w:rPr>
                <w:rFonts w:hint="eastAsia" w:cs="Times New Roman"/>
                <w:color w:val="auto"/>
                <w:sz w:val="24"/>
                <w:lang w:val="en-US" w:eastAsia="zh-CN"/>
              </w:rPr>
              <w:t>SO</w:t>
            </w:r>
            <w:r>
              <w:rPr>
                <w:rFonts w:hint="eastAsia" w:cs="Times New Roman"/>
                <w:color w:val="auto"/>
                <w:sz w:val="24"/>
                <w:vertAlign w:val="subscript"/>
                <w:lang w:val="en-US" w:eastAsia="zh-CN"/>
              </w:rPr>
              <w:t>2</w:t>
            </w:r>
            <w:r>
              <w:rPr>
                <w:rFonts w:hint="eastAsia" w:cs="Times New Roman"/>
                <w:color w:val="auto"/>
                <w:sz w:val="24"/>
                <w:lang w:val="en-US" w:eastAsia="zh-CN"/>
              </w:rPr>
              <w:t>：0.000t/a，NOx：0.000t/a，VOCs：5.386t/a；</w:t>
            </w:r>
            <w:r>
              <w:rPr>
                <w:rFonts w:hint="default" w:ascii="Times New Roman" w:hAnsi="Times New Roman" w:eastAsia="宋体" w:cs="Times New Roman"/>
                <w:color w:val="auto"/>
                <w:sz w:val="24"/>
                <w:szCs w:val="24"/>
              </w:rPr>
              <w:t>COD</w:t>
            </w:r>
            <w:r>
              <w:rPr>
                <w:rFonts w:hint="eastAsia" w:cs="Times New Roman"/>
                <w:color w:val="auto"/>
                <w:sz w:val="24"/>
                <w:szCs w:val="24"/>
                <w:lang w:val="en-US" w:eastAsia="zh-CN"/>
              </w:rPr>
              <w:t>0.660</w:t>
            </w:r>
            <w:r>
              <w:rPr>
                <w:rFonts w:hint="default" w:ascii="Times New Roman" w:hAnsi="Times New Roman" w:eastAsia="宋体" w:cs="Times New Roman"/>
                <w:color w:val="auto"/>
                <w:sz w:val="24"/>
                <w:szCs w:val="24"/>
              </w:rPr>
              <w:t>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0.066</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jc w:val="both"/>
              <w:textAlignment w:val="auto"/>
              <w:rPr>
                <w:rFonts w:hint="eastAsia" w:ascii="宋体" w:hAnsi="宋体" w:eastAsia="宋体" w:cs="宋体"/>
                <w:color w:val="auto"/>
                <w:kern w:val="0"/>
                <w:szCs w:val="21"/>
                <w:lang w:val="en-US" w:eastAsia="zh-CN"/>
              </w:rPr>
            </w:pPr>
          </w:p>
        </w:tc>
      </w:tr>
    </w:tbl>
    <w:p>
      <w:pPr>
        <w:pStyle w:val="17"/>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84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77" w:type="dxa"/>
            <w:noWrap w:val="0"/>
            <w:tcMar>
              <w:left w:w="28" w:type="dxa"/>
              <w:right w:w="28" w:type="dxa"/>
            </w:tcMar>
            <w:vAlign w:val="center"/>
          </w:tcPr>
          <w:p>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施工</w:t>
            </w:r>
          </w:p>
          <w:p>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期环</w:t>
            </w:r>
          </w:p>
          <w:p>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境保</w:t>
            </w:r>
          </w:p>
          <w:p>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护措</w:t>
            </w:r>
          </w:p>
          <w:p>
            <w:pPr>
              <w:pStyle w:val="17"/>
              <w:adjustRightInd w:val="0"/>
              <w:snapToGrid w:val="0"/>
              <w:spacing w:before="0" w:beforeAutospacing="0" w:after="0" w:afterAutospacing="0"/>
              <w:jc w:val="center"/>
              <w:rPr>
                <w:rFonts w:hint="eastAsia" w:cs="宋体"/>
                <w:bCs/>
                <w:color w:val="auto"/>
                <w:kern w:val="2"/>
                <w:sz w:val="21"/>
                <w:szCs w:val="21"/>
              </w:rPr>
            </w:pPr>
            <w:r>
              <w:rPr>
                <w:rFonts w:hint="eastAsia" w:cs="宋体"/>
                <w:b/>
                <w:bCs/>
                <w:color w:val="auto"/>
                <w:kern w:val="2"/>
                <w:sz w:val="21"/>
                <w:szCs w:val="21"/>
              </w:rPr>
              <w:t>施</w:t>
            </w:r>
          </w:p>
        </w:tc>
        <w:tc>
          <w:tcPr>
            <w:tcW w:w="8431" w:type="dxa"/>
            <w:noWrap w:val="0"/>
            <w:vAlign w:val="center"/>
          </w:tcPr>
          <w:p>
            <w:pPr>
              <w:pStyle w:val="10"/>
              <w:keepNext w:val="0"/>
              <w:keepLines w:val="0"/>
              <w:pageBreakBefore w:val="0"/>
              <w:widowControl w:val="0"/>
              <w:numPr>
                <w:ilvl w:val="0"/>
                <w:numId w:val="16"/>
              </w:numPr>
              <w:kinsoku/>
              <w:wordWrap/>
              <w:overflowPunct/>
              <w:topLinePunct w:val="0"/>
              <w:autoSpaceDE/>
              <w:autoSpaceDN/>
              <w:bidi w:val="0"/>
              <w:spacing w:line="440" w:lineRule="exact"/>
              <w:ind w:left="-60" w:leftChars="0" w:firstLine="480" w:firstLineChars="0"/>
              <w:textAlignment w:val="auto"/>
              <w:rPr>
                <w:rFonts w:hint="eastAsia"/>
                <w:b/>
                <w:bCs/>
                <w:color w:val="auto"/>
                <w:sz w:val="24"/>
                <w:szCs w:val="24"/>
                <w:lang w:val="en-US" w:eastAsia="zh-CN"/>
              </w:rPr>
            </w:pPr>
            <w:r>
              <w:rPr>
                <w:rFonts w:hint="eastAsia"/>
                <w:b/>
                <w:bCs/>
                <w:color w:val="auto"/>
                <w:sz w:val="24"/>
                <w:szCs w:val="24"/>
                <w:lang w:val="en-US" w:eastAsia="zh-CN"/>
              </w:rPr>
              <w:t>施工期废气环境保护措施</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根据本工程的特点，其施工期大气污染源主要为场地平整及建设等过程中产生的扬尘、罐体焊接烟气、罐体涂漆和储罐底座防渗产生的废气。主要包括：a、场地平整时产生的扬尘；b、施工土方及渣土现场堆放所产生的扬尘，建筑施工过程和建筑材料运输过程中所产生的大量含沙尘埃，管线开挖产生的扬尘；c、人来车往造成的现场道路扬尘；d、施工机械和施工运输车辆机动车尾气；e、罐体焊接烟尘废气；f、罐体涂装废气；g、储罐底座防渗产生的废气</w:t>
            </w:r>
            <w:r>
              <w:rPr>
                <w:rFonts w:hint="eastAsia"/>
                <w:color w:val="auto"/>
                <w:sz w:val="24"/>
                <w:szCs w:val="24"/>
                <w:lang w:val="en-US" w:eastAsia="zh-CN"/>
              </w:rPr>
              <w:t>；h、管道探伤产生的辐射</w:t>
            </w:r>
            <w:r>
              <w:rPr>
                <w:rFonts w:hint="default"/>
                <w:color w:val="auto"/>
                <w:sz w:val="24"/>
                <w:szCs w:val="24"/>
                <w:lang w:val="en-US" w:eastAsia="zh-CN"/>
              </w:rPr>
              <w:t>。</w:t>
            </w:r>
          </w:p>
          <w:p>
            <w:pPr>
              <w:keepNext w:val="0"/>
              <w:keepLines w:val="0"/>
              <w:pageBreakBefore w:val="0"/>
              <w:widowControl/>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（1）</w:t>
            </w:r>
            <w:r>
              <w:rPr>
                <w:rFonts w:hint="default"/>
                <w:color w:val="auto"/>
                <w:sz w:val="24"/>
                <w:szCs w:val="24"/>
                <w:lang w:val="en-US" w:eastAsia="zh-CN"/>
              </w:rPr>
              <w:t>场地平整产生的粉尘</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拆迁期主要内容为拆除区域内现有建筑。该项目用地为居民住宅，因建筑的拆迁及进入运输车辆产生的悬浮物颗粒及地面粉尘将对周围大气环境产生污染，据调查此类粉尘均为无组织排放，主要起尘点为住宅拆除点以及建筑垃圾堆放点，起尘时间为拆除作业时间。</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default"/>
                <w:color w:val="auto"/>
                <w:sz w:val="24"/>
                <w:szCs w:val="24"/>
              </w:rPr>
              <w:t>土建阶段、管道开挖扬尘污染状况</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①主要污染源</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土建施工和管道开挖过程中，粉尘起尘特征总体分为两类：一类是静态起尘，主要指水泥等建筑材料及土方、建筑垃圾堆放过程中风蚀尘及施工场地的风蚀尘，另一类是动态起尘，主要指起尘及运输车辆往来造成的地面扬尘。</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粉尘污染一般来源于以下几方面：</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土方挖掘、堆放、清运、回填及场地平整过程产生的粉尘；</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建筑材料如水泥、白灰、砂子等在其装卸、运输、堆放等过程中，因风力作用而产生的扬尘污染；</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搅拌车辆和运输车辆往来造成地面扬尘；</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施工垃圾在其堆放过程和清运过程中产生扬尘。</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施工期起尘环节虽然较多，但根据同类项目类比资料及现场调查结果，施工期主要起尘环节为物料堆场及装卸过程，其它过程如场地平整及车辆运输造成的地面扬尘，因产生量相对较小、较为分散且受自然条件影响较大，本评价报告中对其产生量不作定量评述。</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②建筑材料装卸过程粉尘源强预测</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center"/>
              <w:textAlignment w:val="auto"/>
              <w:rPr>
                <w:rFonts w:hint="default"/>
                <w:color w:val="auto"/>
                <w:sz w:val="24"/>
                <w:szCs w:val="24"/>
                <w:lang w:val="en-US" w:eastAsia="zh-CN"/>
              </w:rPr>
            </w:pPr>
            <w:r>
              <w:rPr>
                <w:rFonts w:hint="default"/>
                <w:color w:val="auto"/>
                <w:sz w:val="24"/>
                <w:szCs w:val="24"/>
                <w:lang w:val="en-US" w:eastAsia="zh-CN"/>
              </w:rPr>
              <w:t>Q1=α·U2.56·е-0.47ω</w:t>
            </w:r>
          </w:p>
          <w:p>
            <w:pPr>
              <w:keepNext w:val="0"/>
              <w:keepLines w:val="0"/>
              <w:pageBreakBefore w:val="0"/>
              <w:widowControl w:val="0"/>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式中：Q1—堆场起尘系数(kg/t)；</w:t>
            </w:r>
          </w:p>
          <w:p>
            <w:pPr>
              <w:keepNext w:val="0"/>
              <w:keepLines w:val="0"/>
              <w:pageBreakBefore w:val="0"/>
              <w:widowControl w:val="0"/>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α—试验系数，与材料及地面粗糙度等有关；</w:t>
            </w:r>
          </w:p>
          <w:p>
            <w:pPr>
              <w:keepNext w:val="0"/>
              <w:keepLines w:val="0"/>
              <w:pageBreakBefore w:val="0"/>
              <w:widowControl w:val="0"/>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U—平均风速(m/s)；</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ω—堆场表面湿度(%)。</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动态起尘与材料粒径、环境风速、装卸高度、装卸强度等密切相关，其中受风力因素的影响</w:t>
            </w:r>
            <w:r>
              <w:rPr>
                <w:rFonts w:hint="eastAsia"/>
                <w:color w:val="auto"/>
                <w:sz w:val="24"/>
                <w:szCs w:val="24"/>
                <w:lang w:val="en-US" w:eastAsia="zh-CN"/>
              </w:rPr>
              <w:t>较大</w:t>
            </w:r>
            <w:r>
              <w:rPr>
                <w:rFonts w:hint="default"/>
                <w:color w:val="auto"/>
                <w:sz w:val="24"/>
                <w:szCs w:val="24"/>
                <w:lang w:val="en-US" w:eastAsia="zh-CN"/>
              </w:rPr>
              <w:t>，根据有关试验结果，风速4m/s时装卸相对起尘量约为万分之0.5至4。其动态起尘规律表征为：</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center"/>
              <w:rPr>
                <w:rFonts w:hint="default"/>
                <w:color w:val="auto"/>
                <w:sz w:val="24"/>
                <w:szCs w:val="24"/>
                <w:lang w:val="en-US" w:eastAsia="zh-CN"/>
              </w:rPr>
            </w:pPr>
            <w:r>
              <w:rPr>
                <w:rFonts w:hint="default"/>
                <w:color w:val="auto"/>
                <w:sz w:val="24"/>
                <w:szCs w:val="24"/>
                <w:lang w:val="en-US" w:eastAsia="zh-CN"/>
              </w:rPr>
              <w:t>Q2=1.35×10-5·U2.05·H1.23·β</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式中：Q2—起尘系数(kg/t)</w:t>
            </w:r>
            <w:r>
              <w:rPr>
                <w:rFonts w:hint="eastAsia"/>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H—装卸落差(m)</w:t>
            </w:r>
            <w:r>
              <w:rPr>
                <w:rFonts w:hint="eastAsia"/>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U—平均风速(m/s)；</w:t>
            </w:r>
          </w:p>
          <w:p>
            <w:pPr>
              <w:keepNext w:val="0"/>
              <w:keepLines w:val="0"/>
              <w:pageBreakBefore w:val="0"/>
              <w:widowControl w:val="0"/>
              <w:kinsoku/>
              <w:wordWrap/>
              <w:overflowPunct/>
              <w:topLinePunct w:val="0"/>
              <w:bidi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β—试验系数，与装卸强度等有关。</w:t>
            </w:r>
          </w:p>
          <w:p>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t>③车辆行驶扬尘</w:t>
            </w:r>
          </w:p>
          <w:p>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t>车辆行驶产生的扬尘，在完全干燥情况下，可按下列经验公式计算：</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center"/>
              <w:rPr>
                <w:rFonts w:hint="default"/>
                <w:color w:val="auto"/>
                <w:sz w:val="24"/>
                <w:szCs w:val="24"/>
                <w:lang w:val="en-US" w:eastAsia="zh-CN"/>
              </w:rPr>
            </w:pPr>
            <w:r>
              <w:rPr>
                <w:rFonts w:hint="default"/>
                <w:color w:val="auto"/>
                <w:sz w:val="24"/>
                <w:szCs w:val="24"/>
                <w:lang w:val="en-US" w:eastAsia="zh-CN"/>
              </w:rPr>
              <w:t>Q=0.123(V/5)(W/6.8)0.85(P/0.5)0.75</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式中：Q——汽车行驶的扬尘，kg/km·辆；</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V——汽车速度，km/h；</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W——汽车载重量，吨；</w:t>
            </w:r>
          </w:p>
          <w:p>
            <w:pPr>
              <w:keepNext w:val="0"/>
              <w:keepLines w:val="0"/>
              <w:pageBreakBefore w:val="0"/>
              <w:widowControl w:val="0"/>
              <w:kinsoku/>
              <w:wordWrap/>
              <w:overflowPunct/>
              <w:topLinePunct w:val="0"/>
              <w:bidi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P——道路表面粉尘量，kg/m</w:t>
            </w:r>
            <w:r>
              <w:rPr>
                <w:rFonts w:hint="default"/>
                <w:color w:val="auto"/>
                <w:sz w:val="24"/>
                <w:szCs w:val="24"/>
                <w:vertAlign w:val="superscript"/>
                <w:lang w:val="en-US" w:eastAsia="zh-CN"/>
              </w:rPr>
              <w:t>2</w:t>
            </w:r>
            <w:r>
              <w:rPr>
                <w:rFonts w:hint="default"/>
                <w:color w:val="auto"/>
                <w:sz w:val="24"/>
                <w:szCs w:val="24"/>
                <w:lang w:val="en-US" w:eastAsia="zh-CN"/>
              </w:rPr>
              <w:t>。</w:t>
            </w:r>
          </w:p>
          <w:p>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default"/>
                <w:color w:val="auto"/>
                <w:sz w:val="24"/>
                <w:szCs w:val="24"/>
              </w:rPr>
              <w:t>施工机械和施工运输车辆机动车尾气</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施工车辆、打桩机、挖土机等因燃油产生的SO</w:t>
            </w:r>
            <w:r>
              <w:rPr>
                <w:rFonts w:hint="default"/>
                <w:color w:val="auto"/>
                <w:sz w:val="24"/>
                <w:szCs w:val="24"/>
                <w:vertAlign w:val="subscript"/>
                <w:lang w:val="en-US" w:eastAsia="zh-CN"/>
              </w:rPr>
              <w:t>2</w:t>
            </w:r>
            <w:r>
              <w:rPr>
                <w:rFonts w:hint="default"/>
                <w:color w:val="auto"/>
                <w:sz w:val="24"/>
                <w:szCs w:val="24"/>
                <w:lang w:val="en-US" w:eastAsia="zh-CN"/>
              </w:rPr>
              <w:t>、CO、NO</w:t>
            </w:r>
            <w:r>
              <w:rPr>
                <w:rFonts w:hint="default"/>
                <w:color w:val="auto"/>
                <w:sz w:val="24"/>
                <w:szCs w:val="24"/>
                <w:vertAlign w:val="subscript"/>
                <w:lang w:val="en-US" w:eastAsia="zh-CN"/>
              </w:rPr>
              <w:t>2</w:t>
            </w:r>
            <w:r>
              <w:rPr>
                <w:rFonts w:hint="default"/>
                <w:color w:val="auto"/>
                <w:sz w:val="24"/>
                <w:szCs w:val="24"/>
                <w:lang w:val="en-US" w:eastAsia="zh-CN"/>
              </w:rPr>
              <w:t>、烃类等污染物会对大气环境造成不良影响。但这种污染源较分散且为流动性，污染物排放量不大，表现为间歇性特征，因此影响是短期和局部的，因此，本环评不对其进行定量分析。</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（4）</w:t>
            </w:r>
            <w:r>
              <w:rPr>
                <w:rFonts w:hint="default"/>
                <w:color w:val="auto"/>
                <w:sz w:val="24"/>
                <w:szCs w:val="24"/>
                <w:lang w:val="en-US" w:eastAsia="zh-CN"/>
              </w:rPr>
              <w:t>罐体焊接烟尘</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本项目所用储罐除质量检查罐外各种储罐属于非标设备，由于体积太大不能够在工厂加工，需要在现场进行制作，在储罐制作时的重要工序是罐体的焊接，电弧焊</w:t>
            </w:r>
            <w:r>
              <w:rPr>
                <w:rFonts w:hint="eastAsia"/>
                <w:color w:val="auto"/>
                <w:sz w:val="24"/>
                <w:szCs w:val="24"/>
                <w:lang w:val="en-US" w:eastAsia="zh-CN"/>
              </w:rPr>
              <w:t>是</w:t>
            </w:r>
            <w:r>
              <w:rPr>
                <w:rFonts w:hint="default"/>
                <w:color w:val="auto"/>
                <w:sz w:val="24"/>
                <w:szCs w:val="24"/>
                <w:lang w:val="en-US" w:eastAsia="zh-CN"/>
              </w:rPr>
              <w:t>目前应用最普遍的一种焊接方式。在施焊时，焊条、焊件和药皮在电弧高温下，发生蒸发、凝结和汽化，产生一定量的烟尘。根据《焊接技术手册》，手工电弧焊的发尘量为6-8g/kg，取平均值7g/kg计算，预计项目共用焊条量为1t，则项目焊接烟尘产生量为0.007t。</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（5）</w:t>
            </w:r>
            <w:r>
              <w:rPr>
                <w:rFonts w:hint="default"/>
                <w:color w:val="auto"/>
                <w:sz w:val="24"/>
                <w:szCs w:val="24"/>
                <w:lang w:val="en-US" w:eastAsia="zh-CN"/>
              </w:rPr>
              <w:t>罐体涂装废气</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为了防止罐体腐蚀，在储罐内外表面均需涂刷防腐涂料进行防腐处理。项目使用涂料中挥发成分主要为苯系物，包括苯、二甲苯（苯约占20%、二甲苯约占80%）等，挥发的苯系物无组织排放至大气环境，油漆中挥发份的比例约占20%，在喷涂和晾干过程中挥发份全部挥发，属无组织排放。建议建设单位在罐体涂装时采用环保型涂料。</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（6）</w:t>
            </w:r>
            <w:r>
              <w:rPr>
                <w:rFonts w:hint="default"/>
                <w:color w:val="auto"/>
                <w:sz w:val="24"/>
                <w:szCs w:val="24"/>
                <w:lang w:val="en-US" w:eastAsia="zh-CN"/>
              </w:rPr>
              <w:t>储罐底座防渗产生的废气</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本项目储罐底座需要进行防渗处理，储罐基础地基施工，从下到上依次厚碎石垫层、C10素混凝土垫层、厚钢筋混凝土底板、中粗砂垫层、细粒式沥青混凝土、沥青砂面层。需要用到细粒式沥青混凝土、沥青砂，均为直接外购商品沥青混凝土和沥青砂。在沥青摊铺时会释放少量的沥青烟气，由于用量不大、施工期短，本环评不进行定量分析。</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（7）探伤辐射</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探测</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"https://baike.baidu.com/item/%E9%87%91%E5%B1%9E%E6%9D%90%E6%96%99"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金属材料</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或部件内部的裂纹或缺陷。常用的</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方法有：X光</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"https://baike.baidu.com/item/%E5%B0%84%E7%BA%BF%E6%8E%A2%E4%BC%A4"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射线探伤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"https://baike.baidu.com/item/%E8%B6%85%E5%A3%B0%E6%B3%A2%E6%8E%A2%E4%BC%A4"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超声波探伤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"https://baike.baidu.com/item/%E7%A3%81%E7%B2%89%E6%8E%A2%E4%BC%A4"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磁粉探伤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"https://baike.baidu.com/item/%E6%B8%97%E9%80%8F%E6%8E%A2%E4%BC%A4"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渗透探伤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"https://baike.baidu.com/item/%E6%B6%A1%E6%B5%81%E6%8E%A2%E4%BC%A4"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涡流探伤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、γ</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"https://baike.baidu.com/item/%E5%B0%84%E7%BA%BF%E6%8E%A2%E4%BC%A4"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射线探伤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、萤光</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"https://baike.baidu.com/item/%E7%9D%80%E8%89%B2%E6%8E%A2%E4%BC%A4"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着色探伤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等方法。物理</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就是不产生</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"https://baike.baidu.com/item/%E5%8C%96%E5%AD%A6%E5%8F%98%E5%8C%96"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化学变化</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的情况下进行</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"https://baike.baidu.com/item/%E6%97%A0%E6%8D%9F%E6%8E%A2%E4%BC%A4"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无损探伤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探伤会产生一定的辐射危害，</w:t>
            </w:r>
            <w:r>
              <w:rPr>
                <w:rFonts w:hint="default" w:ascii="Times New Roman" w:hAnsi="Times New Roman" w:eastAsia="宋体" w:cs="Times New Roman"/>
                <w:color w:val="auto"/>
                <w:sz w:val="24"/>
                <w:szCs w:val="24"/>
                <w:lang w:val="en-US" w:eastAsia="zh-CN"/>
              </w:rPr>
              <w:t>操作时需要穿防护衣，</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"https://baike.baidu.com/item/%E9%98%B2%E6%8A%A4%E6%89%8B%E5%A5%97"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防护手套</w:t>
            </w:r>
            <w:r>
              <w:rPr>
                <w:rFonts w:hint="default"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bidi w:val="0"/>
              <w:adjustRightInd w:val="0"/>
              <w:snapToGrid w:val="0"/>
              <w:spacing w:line="440" w:lineRule="exact"/>
              <w:ind w:firstLine="482" w:firstLineChars="200"/>
              <w:jc w:val="both"/>
              <w:textAlignment w:val="baseline"/>
              <w:rPr>
                <w:rFonts w:hint="default"/>
                <w:b/>
                <w:bCs/>
                <w:color w:val="auto"/>
                <w:sz w:val="24"/>
                <w:szCs w:val="24"/>
              </w:rPr>
            </w:pPr>
            <w:r>
              <w:rPr>
                <w:rFonts w:hint="default"/>
                <w:b/>
                <w:bCs/>
                <w:color w:val="auto"/>
                <w:sz w:val="24"/>
                <w:szCs w:val="24"/>
              </w:rPr>
              <w:t>治理措施：</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1）施工扬尘</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①针对施工任务和施工场地环境状况，制定合理的施工计划，采取集中力量逐段施工方法，缩短施工周期，减少施工现场的工作面，减轻施工扬尘对环境的影响。</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②为减少扬尘对环境的影响，建议施工期全面落实《四川省人民政府办公厅关于加强灰霾污染防治的通知》、《关于有效控制城市扬尘污染物的通知》、《四川省大气污染防治行动计划实施细则》，《达州市大气污染防治行动计划实施方案（2014-2017）》和《通川区大气污染防治行动计划实施方案（2014-2017）》（区政府办2014.05.22）要求进行施工；全面督查建设工地现场管理“六必须”、“六不准”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加强车辆保养和维护，减少超载，减少停车怠速时间。</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③施工车辆采取篷布加盖措施，施工车辆运输路线选择尽量避绕人口密集区、学校、医院等敏感点。</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④运输弃土、垃圾的车辆装载高度应低于</w:t>
            </w:r>
            <w:r>
              <w:rPr>
                <w:rFonts w:hint="eastAsia"/>
                <w:color w:val="auto"/>
                <w:sz w:val="24"/>
                <w:szCs w:val="24"/>
                <w:lang w:eastAsia="zh-CN"/>
              </w:rPr>
              <w:t>车辆</w:t>
            </w:r>
            <w:r>
              <w:rPr>
                <w:rFonts w:hint="default"/>
                <w:color w:val="auto"/>
                <w:sz w:val="24"/>
                <w:szCs w:val="24"/>
              </w:rPr>
              <w:t>上沿，不得超高超载。实行封闭运输，以免车辆颠簸撒漏。坚持文明装卸，运输车辆装卸完货后应清洗车厢。</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⑤在施工场地上设置专人负责弃土、建筑垃圾、建筑材料的处置、清运和堆放，堆放场地加盖蓬布或洒水，防止二次扬尘。</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⑥对建筑垃圾及弃土应及时处理、清运、以减少占地，防止扬尘污染，改善施工场地的环境。</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⑦施工过程中，在施工现场周围，连续设置不低于1.5m高的围挡，并做到坚固美观。</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⑧在施工场地安排员工定期对施工场地洒水以减少扬尘量，洒水次数根据天气状况而定，一般每天洒水1~2次，若遇到大风或干燥天气可适当增加洒水次数。</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⑨施工结束后，应尽早对场区内的裸露地面进行绿化、硬化工作，减少扬尘的产生量和预防水土流失。可选取栽种易存活、好管理的本地品种，尽可能增大场区内、外的绿化面积，做到草、灌、木相结合。</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2）机械设备、车辆燃油废气防治措施如下：</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①选用先进的施工机械，减少油耗和燃油废气污染；</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②尽量使用电气化设备，少使用燃油设备；</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③做好设备的维修和养护工作，使机械设备处于良好的工作状态，减少油耗，同时降低污染。</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3）罐体焊接烟尘</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项目焊接烟尘产生量较小，</w:t>
            </w:r>
            <w:r>
              <w:rPr>
                <w:rFonts w:hint="eastAsia"/>
                <w:color w:val="auto"/>
                <w:sz w:val="24"/>
                <w:szCs w:val="24"/>
                <w:lang w:val="en-US" w:eastAsia="zh-CN"/>
              </w:rPr>
              <w:t>且周边空气流通性较好，有利于污染物的扩散，</w:t>
            </w:r>
            <w:r>
              <w:rPr>
                <w:rFonts w:hint="default"/>
                <w:color w:val="auto"/>
                <w:sz w:val="24"/>
                <w:szCs w:val="24"/>
              </w:rPr>
              <w:t>该污染源将随着罐体制作的完成而不再存在。</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4）装修废气防治措施：</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本项目涂装材料应符合国家质检总局颁发的《室内装修材料10项有害物质限量》中的规定，采用质量好，国家有关部门检验合格，有毒有害物质含量少的环保油漆和涂料产品；尽量使用水溶性乳胶漆等环保油漆及涂料，应尽量减少油漆的储存量和储存时间，根据装修进度分批购买；油漆使用完后，应该对油漆桶及时清运、处理，不在施工现场大量堆存，防止油漆桶内剩余油漆废气污染环境；应加强管理，减少跑、冒、滴、漏现场，减少材料浪费排放的废气；加强室内的通风换气。</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5）罐体涂装废气</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由于罐体在</w:t>
            </w:r>
            <w:r>
              <w:rPr>
                <w:rFonts w:hint="eastAsia"/>
                <w:color w:val="auto"/>
                <w:sz w:val="24"/>
                <w:szCs w:val="24"/>
                <w:lang w:eastAsia="zh-CN"/>
              </w:rPr>
              <w:t>涂</w:t>
            </w:r>
            <w:r>
              <w:rPr>
                <w:rFonts w:hint="default"/>
                <w:color w:val="auto"/>
                <w:sz w:val="24"/>
                <w:szCs w:val="24"/>
              </w:rPr>
              <w:t>漆作业时需向油漆中加入有机溶剂作为稀料，因此在涂漆过程中和涂漆完毕后，储罐在自然干燥过程中，全部有机溶剂将从罐体表面挥发散出，该类污染物分散且为流动性，表现为局部和间接性，涂漆废气主要污染物为二甲苯、甲苯。本环评要求建设单位采用环保型涂料，由于涂漆作业时间短，涂漆工程远离环境保护目标，且项目周边空气流通性较好，有利于污染物质的扩散，对环境影响较小。</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6）储罐底座防渗产生的废气</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项目储罐底座防渗需要用到细粒式沥青混凝土、沥青砂，均为直接外购商品沥青混凝土和沥青砂，均为直接外购商品沥青混凝土和沥青砂。在沥青摊铺时会释放少量的沥青烟气，该类污染物分散且</w:t>
            </w:r>
            <w:r>
              <w:rPr>
                <w:rFonts w:hint="eastAsia"/>
                <w:color w:val="auto"/>
                <w:sz w:val="24"/>
                <w:szCs w:val="24"/>
                <w:lang w:val="en-US" w:eastAsia="zh-CN"/>
              </w:rPr>
              <w:t>具有</w:t>
            </w:r>
            <w:r>
              <w:rPr>
                <w:rFonts w:hint="default"/>
                <w:color w:val="auto"/>
                <w:sz w:val="24"/>
                <w:szCs w:val="24"/>
              </w:rPr>
              <w:t>流动性，表现为局部和间接性，由于作业时间短，工程远离环境保护目标，且项目周边空气流通性较好，有利于污染物质的扩散。</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eastAsia="宋体"/>
                <w:color w:val="auto"/>
                <w:sz w:val="24"/>
                <w:szCs w:val="24"/>
                <w:lang w:val="en-US" w:eastAsia="zh-CN"/>
              </w:rPr>
            </w:pPr>
            <w:r>
              <w:rPr>
                <w:rFonts w:hint="eastAsia"/>
                <w:color w:val="auto"/>
                <w:sz w:val="24"/>
                <w:szCs w:val="24"/>
                <w:lang w:val="en-US" w:eastAsia="zh-CN"/>
              </w:rPr>
              <w:t>7</w:t>
            </w:r>
            <w:r>
              <w:rPr>
                <w:rFonts w:hint="eastAsia"/>
                <w:color w:val="auto"/>
                <w:sz w:val="24"/>
                <w:szCs w:val="24"/>
                <w:lang w:eastAsia="zh-CN"/>
              </w:rPr>
              <w:t>）</w:t>
            </w:r>
            <w:r>
              <w:rPr>
                <w:rFonts w:hint="eastAsia"/>
                <w:color w:val="auto"/>
                <w:sz w:val="24"/>
                <w:szCs w:val="24"/>
                <w:lang w:val="en-US" w:eastAsia="zh-CN"/>
              </w:rPr>
              <w:t>探伤辐射风险防范措施</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①现场屏蔽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采取有效的屏蔽方式，限制射线的辐射空间。在预制厂内设置一套活动探伤集装箱铅房。施工现场设置五个临时铅棚。尽可能利用各种建筑物</w:t>
            </w:r>
            <w:r>
              <w:rPr>
                <w:rFonts w:hint="eastAsia" w:ascii="Times New Roman" w:hAnsi="Times New Roman" w:eastAsia="宋体" w:cs="Times New Roman"/>
                <w:color w:val="auto"/>
                <w:sz w:val="24"/>
                <w:szCs w:val="24"/>
                <w:lang w:val="en-US" w:eastAsia="zh-CN"/>
              </w:rPr>
              <w:t>遮挡</w:t>
            </w:r>
            <w:r>
              <w:rPr>
                <w:rFonts w:hint="default" w:ascii="Times New Roman" w:hAnsi="Times New Roman" w:eastAsia="宋体" w:cs="Times New Roman"/>
                <w:color w:val="auto"/>
                <w:sz w:val="24"/>
                <w:szCs w:val="24"/>
                <w:lang w:val="en-US" w:eastAsia="zh-CN"/>
              </w:rPr>
              <w:t>。②操作人员的防护</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射线探伤操作人员作业时，必须穿防护服戴防护镜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作业班组配备射线剂量检测仪</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操作人员配备个人剂量</w:t>
            </w:r>
            <w:r>
              <w:rPr>
                <w:rFonts w:hint="eastAsia" w:ascii="Times New Roman" w:hAnsi="Times New Roman" w:eastAsia="宋体" w:cs="Times New Roman"/>
                <w:color w:val="auto"/>
                <w:sz w:val="24"/>
                <w:szCs w:val="24"/>
                <w:lang w:val="en-US" w:eastAsia="zh-CN"/>
              </w:rPr>
              <w:t>检测仪</w:t>
            </w:r>
            <w:r>
              <w:rPr>
                <w:rFonts w:hint="default" w:ascii="Times New Roman" w:hAnsi="Times New Roman" w:eastAsia="宋体" w:cs="Times New Roman"/>
                <w:color w:val="auto"/>
                <w:sz w:val="24"/>
                <w:szCs w:val="24"/>
                <w:lang w:val="en-US" w:eastAsia="zh-CN"/>
              </w:rPr>
              <w:t>。③射线装置的管理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射线探伤设备必须处于完好状态，</w:t>
            </w:r>
            <w:r>
              <w:rPr>
                <w:rFonts w:hint="eastAsia" w:ascii="Times New Roman" w:hAnsi="Times New Roman" w:eastAsia="宋体" w:cs="Times New Roman"/>
                <w:color w:val="auto"/>
                <w:sz w:val="24"/>
                <w:szCs w:val="24"/>
                <w:lang w:val="en-US" w:eastAsia="zh-CN"/>
              </w:rPr>
              <w:t>检验合格；</w:t>
            </w:r>
            <w:r>
              <w:rPr>
                <w:rFonts w:hint="default" w:ascii="Times New Roman" w:hAnsi="Times New Roman" w:eastAsia="宋体" w:cs="Times New Roman"/>
                <w:color w:val="auto"/>
                <w:sz w:val="24"/>
                <w:szCs w:val="24"/>
                <w:lang w:val="en-US" w:eastAsia="zh-CN"/>
              </w:rPr>
              <w:t>有专人管理。④施工现场的防护管理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射线探伤应尽量在探伤室内，</w:t>
            </w:r>
            <w:r>
              <w:rPr>
                <w:rFonts w:hint="eastAsia" w:ascii="Times New Roman" w:hAnsi="Times New Roman" w:eastAsia="宋体" w:cs="Times New Roman"/>
                <w:color w:val="auto"/>
                <w:sz w:val="24"/>
                <w:szCs w:val="24"/>
                <w:lang w:val="en-US" w:eastAsia="zh-CN"/>
              </w:rPr>
              <w:t>如</w:t>
            </w:r>
            <w:r>
              <w:rPr>
                <w:rFonts w:hint="default" w:ascii="Times New Roman" w:hAnsi="Times New Roman" w:eastAsia="宋体" w:cs="Times New Roman"/>
                <w:color w:val="auto"/>
                <w:sz w:val="24"/>
                <w:szCs w:val="24"/>
                <w:lang w:val="en-US" w:eastAsia="zh-CN"/>
              </w:rPr>
              <w:t>活动铅房或铅棚中进行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室外探伤应选择在无人作业的时间或区域进行。射线探伤时应设置警示标志（如警灯、警绳等)。并加强界区巡逻，防止无关人员误入危险区域。</w:t>
            </w:r>
          </w:p>
          <w:p>
            <w:pPr>
              <w:pStyle w:val="10"/>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50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施工期废水环境保护措施</w:t>
            </w:r>
          </w:p>
          <w:p>
            <w:pPr>
              <w:keepNext w:val="0"/>
              <w:keepLines w:val="0"/>
              <w:pageBreakBefore w:val="0"/>
              <w:widowControl/>
              <w:kinsoku/>
              <w:wordWrap/>
              <w:overflowPunct/>
              <w:topLinePunct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本项目不设置施工营地，施工人员均为附近居民，建设期的废水排放主要为施工过程产生的废水，储罐试压试漏废水；</w:t>
            </w:r>
          </w:p>
          <w:p>
            <w:pPr>
              <w:keepNext w:val="0"/>
              <w:keepLines w:val="0"/>
              <w:pageBreakBefore w:val="0"/>
              <w:widowControl w:val="0"/>
              <w:numPr>
                <w:ilvl w:val="0"/>
                <w:numId w:val="17"/>
              </w:numPr>
              <w:kinsoku/>
              <w:wordWrap/>
              <w:overflowPunct/>
              <w:topLinePunct w:val="0"/>
              <w:bidi w:val="0"/>
              <w:adjustRightInd/>
              <w:snapToGrid/>
              <w:spacing w:line="440" w:lineRule="exact"/>
              <w:ind w:left="0" w:firstLine="480" w:firstLineChars="200"/>
              <w:jc w:val="both"/>
              <w:textAlignment w:val="auto"/>
              <w:rPr>
                <w:rFonts w:hint="default"/>
                <w:color w:val="auto"/>
                <w:sz w:val="24"/>
                <w:szCs w:val="24"/>
              </w:rPr>
            </w:pPr>
            <w:r>
              <w:rPr>
                <w:rFonts w:hint="default"/>
                <w:color w:val="auto"/>
                <w:sz w:val="24"/>
                <w:szCs w:val="24"/>
              </w:rPr>
              <w:t>施工废水</w:t>
            </w:r>
          </w:p>
          <w:p>
            <w:pPr>
              <w:keepNext w:val="0"/>
              <w:keepLines w:val="0"/>
              <w:pageBreakBefore w:val="0"/>
              <w:widowControl/>
              <w:kinsoku/>
              <w:wordWrap/>
              <w:overflowPunct/>
              <w:topLinePunct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主要包括打桩阶段的泥浆废水、结构阶段混凝土养护废水及各种车辆冲洗水，含有大量的泥砂、油污。根据类比，建筑施工用水为4m</w:t>
            </w:r>
            <w:r>
              <w:rPr>
                <w:rFonts w:hint="default"/>
                <w:color w:val="auto"/>
                <w:sz w:val="24"/>
                <w:szCs w:val="24"/>
                <w:vertAlign w:val="superscript"/>
              </w:rPr>
              <w:t>3</w:t>
            </w:r>
            <w:r>
              <w:rPr>
                <w:rFonts w:hint="default"/>
                <w:color w:val="auto"/>
                <w:sz w:val="24"/>
                <w:szCs w:val="24"/>
              </w:rPr>
              <w:t>/m</w:t>
            </w:r>
            <w:r>
              <w:rPr>
                <w:rFonts w:hint="default"/>
                <w:color w:val="auto"/>
                <w:sz w:val="24"/>
                <w:szCs w:val="24"/>
                <w:vertAlign w:val="superscript"/>
              </w:rPr>
              <w:t>2</w:t>
            </w:r>
            <w:r>
              <w:rPr>
                <w:rFonts w:hint="default"/>
                <w:color w:val="auto"/>
                <w:sz w:val="24"/>
                <w:szCs w:val="24"/>
              </w:rPr>
              <w:t>，项目建筑面积为1135m</w:t>
            </w:r>
            <w:r>
              <w:rPr>
                <w:rFonts w:hint="default"/>
                <w:color w:val="auto"/>
                <w:sz w:val="24"/>
                <w:szCs w:val="24"/>
                <w:vertAlign w:val="superscript"/>
              </w:rPr>
              <w:t>2</w:t>
            </w:r>
            <w:r>
              <w:rPr>
                <w:rFonts w:hint="default"/>
                <w:color w:val="auto"/>
                <w:sz w:val="24"/>
                <w:szCs w:val="24"/>
              </w:rPr>
              <w:t>，则建筑施工用水量约为4540m</w:t>
            </w:r>
            <w:r>
              <w:rPr>
                <w:rFonts w:hint="default"/>
                <w:color w:val="auto"/>
                <w:sz w:val="24"/>
                <w:szCs w:val="24"/>
                <w:vertAlign w:val="superscript"/>
              </w:rPr>
              <w:t>3</w:t>
            </w:r>
            <w:r>
              <w:rPr>
                <w:rFonts w:hint="default"/>
                <w:color w:val="auto"/>
                <w:sz w:val="24"/>
                <w:szCs w:val="24"/>
              </w:rPr>
              <w:t>/a，废水量按施工用水量的20%，约908t/a，按300个工作日计，则施工废水产生量为3.03m</w:t>
            </w:r>
            <w:r>
              <w:rPr>
                <w:rFonts w:hint="default"/>
                <w:color w:val="auto"/>
                <w:sz w:val="24"/>
                <w:szCs w:val="24"/>
                <w:vertAlign w:val="superscript"/>
              </w:rPr>
              <w:t>3</w:t>
            </w:r>
            <w:r>
              <w:rPr>
                <w:rFonts w:hint="default"/>
                <w:color w:val="auto"/>
                <w:sz w:val="24"/>
                <w:szCs w:val="24"/>
              </w:rPr>
              <w:t>/d。根据类比监测调查，主要污染物SS1000mg/L、石油类5mg/L，肆意排放会造成泥浆四溢，有可能排放到区域河流中造成水体恶化、污泥淤积，必须妥善处置。</w:t>
            </w:r>
          </w:p>
          <w:p>
            <w:pPr>
              <w:keepNext w:val="0"/>
              <w:keepLines w:val="0"/>
              <w:pageBreakBefore w:val="0"/>
              <w:widowControl/>
              <w:kinsoku/>
              <w:wordWrap/>
              <w:overflowPunct/>
              <w:topLinePunct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治理措施：施工废水经隔油沉淀池收集隔油、沉淀处理后，回用于施工场地洒水抑尘、车辆冲洗，不外排。</w:t>
            </w:r>
          </w:p>
          <w:p>
            <w:pPr>
              <w:keepNext w:val="0"/>
              <w:keepLines w:val="0"/>
              <w:pageBreakBefore w:val="0"/>
              <w:widowControl w:val="0"/>
              <w:numPr>
                <w:ilvl w:val="0"/>
                <w:numId w:val="17"/>
              </w:numPr>
              <w:kinsoku/>
              <w:wordWrap/>
              <w:overflowPunct/>
              <w:topLinePunct w:val="0"/>
              <w:bidi w:val="0"/>
              <w:adjustRightInd/>
              <w:snapToGrid/>
              <w:spacing w:after="0" w:line="440" w:lineRule="exact"/>
              <w:ind w:left="0"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生活污水</w:t>
            </w:r>
          </w:p>
          <w:p>
            <w:pPr>
              <w:keepNext w:val="0"/>
              <w:keepLines w:val="0"/>
              <w:pageBreakBefore w:val="0"/>
              <w:widowControl/>
              <w:kinsoku/>
              <w:wordWrap/>
              <w:overflowPunct/>
              <w:topLinePunct w:val="0"/>
              <w:autoSpaceDE w:val="0"/>
              <w:autoSpaceDN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本项目不在工地设生活营地，工人租住在附近居民家中，施工场地设旱厕，工人施工期饮食都在当地居民家中，因此施工期不考虑生活污水。</w:t>
            </w:r>
          </w:p>
          <w:p>
            <w:pPr>
              <w:keepNext w:val="0"/>
              <w:keepLines w:val="0"/>
              <w:pageBreakBefore w:val="0"/>
              <w:widowControl w:val="0"/>
              <w:numPr>
                <w:ilvl w:val="0"/>
                <w:numId w:val="17"/>
              </w:numPr>
              <w:kinsoku/>
              <w:wordWrap/>
              <w:overflowPunct/>
              <w:topLinePunct w:val="0"/>
              <w:bidi w:val="0"/>
              <w:adjustRightInd/>
              <w:snapToGrid/>
              <w:spacing w:line="440" w:lineRule="exact"/>
              <w:ind w:left="0" w:firstLine="480" w:firstLineChars="200"/>
              <w:jc w:val="both"/>
              <w:textAlignment w:val="auto"/>
              <w:rPr>
                <w:rFonts w:hint="default"/>
                <w:color w:val="auto"/>
                <w:sz w:val="24"/>
                <w:szCs w:val="24"/>
              </w:rPr>
            </w:pPr>
            <w:r>
              <w:rPr>
                <w:rFonts w:hint="default"/>
                <w:color w:val="auto"/>
                <w:sz w:val="24"/>
                <w:szCs w:val="24"/>
              </w:rPr>
              <w:t>储罐试压试漏废水</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在施工后期设备调试阶段，油罐和油管试压、试漏将会产生较大量的废水。项目储罐最大容积为5000m</w:t>
            </w:r>
            <w:r>
              <w:rPr>
                <w:rFonts w:hint="default"/>
                <w:color w:val="auto"/>
                <w:sz w:val="24"/>
                <w:szCs w:val="24"/>
                <w:vertAlign w:val="superscript"/>
                <w:lang w:val="en-US" w:eastAsia="zh-CN"/>
              </w:rPr>
              <w:t>3</w:t>
            </w:r>
            <w:r>
              <w:rPr>
                <w:rFonts w:hint="default"/>
                <w:color w:val="auto"/>
                <w:sz w:val="24"/>
                <w:szCs w:val="24"/>
                <w:lang w:val="en-US" w:eastAsia="zh-CN"/>
              </w:rPr>
              <w:t>，试压试漏均采用市政供水进行满罐试压试漏，则项目试压试漏最大水量为5000m</w:t>
            </w:r>
            <w:r>
              <w:rPr>
                <w:rFonts w:hint="default"/>
                <w:color w:val="auto"/>
                <w:sz w:val="24"/>
                <w:szCs w:val="24"/>
                <w:vertAlign w:val="superscript"/>
                <w:lang w:val="en-US" w:eastAsia="zh-CN"/>
              </w:rPr>
              <w:t>3</w:t>
            </w:r>
            <w:r>
              <w:rPr>
                <w:rFonts w:hint="default"/>
                <w:color w:val="auto"/>
                <w:sz w:val="24"/>
                <w:szCs w:val="24"/>
                <w:lang w:val="en-US" w:eastAsia="zh-CN"/>
              </w:rPr>
              <w:t>，其他罐采用转罐的方式重复使用。</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该废水主要为含铁锈及少量污油，根据《中国石油四川石化100万m</w:t>
            </w:r>
            <w:r>
              <w:rPr>
                <w:rFonts w:hint="default"/>
                <w:color w:val="auto"/>
                <w:sz w:val="24"/>
                <w:szCs w:val="24"/>
                <w:vertAlign w:val="superscript"/>
                <w:lang w:val="en-US" w:eastAsia="zh-CN"/>
              </w:rPr>
              <w:t>3</w:t>
            </w:r>
            <w:r>
              <w:rPr>
                <w:rFonts w:hint="default"/>
                <w:color w:val="auto"/>
                <w:sz w:val="24"/>
                <w:szCs w:val="24"/>
                <w:lang w:val="en-US" w:eastAsia="zh-CN"/>
              </w:rPr>
              <w:t>原油储备工程环境影响报告书》（中国石油集团工程设计有限责任公司东北分公司编制）中对油库施工阶段试压试漏废水的检测，该废水水质见表</w:t>
            </w:r>
            <w:r>
              <w:rPr>
                <w:rFonts w:hint="eastAsia"/>
                <w:color w:val="auto"/>
                <w:sz w:val="24"/>
                <w:szCs w:val="24"/>
                <w:lang w:val="en-US" w:eastAsia="zh-CN"/>
              </w:rPr>
              <w:t>4-1</w:t>
            </w:r>
            <w:r>
              <w:rPr>
                <w:rFonts w:hint="default"/>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both"/>
              <w:rPr>
                <w:rFonts w:hint="default"/>
                <w:b/>
                <w:bCs/>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both"/>
              <w:rPr>
                <w:rFonts w:hint="default"/>
                <w:b/>
                <w:bCs/>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both"/>
              <w:rPr>
                <w:rFonts w:hint="default"/>
                <w:color w:val="auto"/>
                <w:sz w:val="24"/>
                <w:szCs w:val="24"/>
                <w:lang w:val="en-US" w:eastAsia="zh-CN"/>
              </w:rPr>
            </w:pPr>
            <w:r>
              <w:rPr>
                <w:rFonts w:hint="default"/>
                <w:b/>
                <w:bCs/>
                <w:color w:val="auto"/>
                <w:sz w:val="24"/>
                <w:szCs w:val="24"/>
                <w:lang w:val="en-US" w:eastAsia="zh-CN"/>
              </w:rPr>
              <w:t>表</w:t>
            </w:r>
            <w:r>
              <w:rPr>
                <w:rFonts w:hint="eastAsia"/>
                <w:b/>
                <w:bCs/>
                <w:color w:val="auto"/>
                <w:sz w:val="24"/>
                <w:szCs w:val="24"/>
                <w:lang w:val="en-US" w:eastAsia="zh-CN"/>
              </w:rPr>
              <w:t>4-1</w:t>
            </w:r>
            <w:r>
              <w:rPr>
                <w:rFonts w:hint="default"/>
                <w:b/>
                <w:bCs/>
                <w:color w:val="auto"/>
                <w:sz w:val="24"/>
                <w:szCs w:val="24"/>
                <w:lang w:val="en-US" w:eastAsia="zh-CN"/>
              </w:rPr>
              <w:t xml:space="preserve">    项目施工期试压试漏废水中污染物产生及排放情况</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9"/>
              <w:gridCol w:w="1879"/>
              <w:gridCol w:w="1877"/>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项目</w:t>
                  </w:r>
                </w:p>
              </w:tc>
              <w:tc>
                <w:tcPr>
                  <w:tcW w:w="1145"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COD</w:t>
                  </w:r>
                </w:p>
              </w:tc>
              <w:tc>
                <w:tcPr>
                  <w:tcW w:w="1144"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SS</w:t>
                  </w:r>
                </w:p>
              </w:tc>
              <w:tc>
                <w:tcPr>
                  <w:tcW w:w="1009"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水量（m</w:t>
                  </w:r>
                  <w:r>
                    <w:rPr>
                      <w:rFonts w:hint="default"/>
                      <w:color w:val="auto"/>
                      <w:vertAlign w:val="superscript"/>
                      <w:lang w:val="en-US" w:eastAsia="zh-CN"/>
                    </w:rPr>
                    <w:t>3</w:t>
                  </w:r>
                  <w:r>
                    <w:rPr>
                      <w:rFonts w:hint="default"/>
                      <w:color w:val="auto"/>
                      <w:lang w:val="en-US" w:eastAsia="zh-CN"/>
                    </w:rPr>
                    <w:t>）</w:t>
                  </w:r>
                </w:p>
              </w:tc>
              <w:tc>
                <w:tcPr>
                  <w:tcW w:w="3299" w:type="pct"/>
                  <w:gridSpan w:val="3"/>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废水水质（mg/L）</w:t>
                  </w:r>
                </w:p>
              </w:tc>
              <w:tc>
                <w:tcPr>
                  <w:tcW w:w="1145"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60</w:t>
                  </w:r>
                </w:p>
              </w:tc>
              <w:tc>
                <w:tcPr>
                  <w:tcW w:w="1144"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100</w:t>
                  </w:r>
                </w:p>
              </w:tc>
              <w:tc>
                <w:tcPr>
                  <w:tcW w:w="1009"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污染物总量（t）</w:t>
                  </w:r>
                </w:p>
              </w:tc>
              <w:tc>
                <w:tcPr>
                  <w:tcW w:w="1145"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0.30</w:t>
                  </w:r>
                </w:p>
              </w:tc>
              <w:tc>
                <w:tcPr>
                  <w:tcW w:w="1144"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0.5</w:t>
                  </w:r>
                </w:p>
              </w:tc>
              <w:tc>
                <w:tcPr>
                  <w:tcW w:w="1009"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排放标准（mg/L）</w:t>
                  </w:r>
                </w:p>
              </w:tc>
              <w:tc>
                <w:tcPr>
                  <w:tcW w:w="1145"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500</w:t>
                  </w:r>
                </w:p>
              </w:tc>
              <w:tc>
                <w:tcPr>
                  <w:tcW w:w="1144"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400</w:t>
                  </w:r>
                </w:p>
              </w:tc>
              <w:tc>
                <w:tcPr>
                  <w:tcW w:w="1009" w:type="pct"/>
                  <w:noWrap w:val="0"/>
                  <w:vAlign w:val="top"/>
                </w:tcPr>
                <w:p>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20</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auto"/>
                <w:kern w:val="0"/>
                <w:sz w:val="24"/>
                <w:szCs w:val="24"/>
                <w:highlight w:val="none"/>
                <w:lang w:bidi="ar"/>
              </w:rPr>
            </w:pPr>
            <w:r>
              <w:rPr>
                <w:rFonts w:hint="default"/>
                <w:color w:val="auto"/>
                <w:sz w:val="24"/>
                <w:szCs w:val="24"/>
                <w:lang w:val="en-US" w:eastAsia="zh-CN"/>
              </w:rPr>
              <w:t>治理措施：试压</w:t>
            </w:r>
            <w:r>
              <w:rPr>
                <w:rFonts w:hint="eastAsia"/>
                <w:color w:val="auto"/>
                <w:sz w:val="24"/>
                <w:szCs w:val="24"/>
                <w:lang w:val="en-US" w:eastAsia="zh-CN"/>
              </w:rPr>
              <w:t>试漏</w:t>
            </w:r>
            <w:r>
              <w:rPr>
                <w:rFonts w:hint="default"/>
                <w:color w:val="auto"/>
                <w:sz w:val="24"/>
                <w:szCs w:val="24"/>
                <w:lang w:val="en-US" w:eastAsia="zh-CN"/>
              </w:rPr>
              <w:t>水重复利用，</w:t>
            </w:r>
            <w:r>
              <w:rPr>
                <w:rFonts w:hint="default"/>
                <w:color w:val="auto"/>
                <w:sz w:val="24"/>
                <w:szCs w:val="24"/>
              </w:rPr>
              <w:t>经隔油沉淀池收集隔油、沉淀处理后，回用于施工场地洒水抑尘、车辆冲洗，不外排</w:t>
            </w:r>
            <w:r>
              <w:rPr>
                <w:rFonts w:hint="default"/>
                <w:color w:val="auto"/>
                <w:sz w:val="24"/>
                <w:szCs w:val="24"/>
                <w:lang w:val="en-US" w:eastAsia="zh-CN"/>
              </w:rPr>
              <w:t>。</w:t>
            </w:r>
          </w:p>
          <w:p>
            <w:pPr>
              <w:pStyle w:val="10"/>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50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施工期噪声环境保护措施</w:t>
            </w:r>
          </w:p>
          <w:p>
            <w:pPr>
              <w:keepNext w:val="0"/>
              <w:keepLines w:val="0"/>
              <w:pageBreakBefore w:val="0"/>
              <w:widowControl w:val="0"/>
              <w:kinsoku/>
              <w:wordWrap/>
              <w:overflowPunct/>
              <w:topLinePunct w:val="0"/>
              <w:autoSpaceDE/>
              <w:autoSpaceDN/>
              <w:bidi w:val="0"/>
              <w:adjustRightInd/>
              <w:snapToGrid/>
              <w:spacing w:line="440" w:lineRule="atLeast"/>
              <w:ind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施工期噪声</w:t>
            </w:r>
            <w:r>
              <w:rPr>
                <w:rFonts w:hint="default" w:ascii="Times New Roman" w:hAnsi="Times New Roman" w:eastAsia="宋体" w:cs="Times New Roman"/>
                <w:color w:val="auto"/>
                <w:sz w:val="24"/>
                <w:szCs w:val="24"/>
              </w:rPr>
              <w:t>主要为挖掘机、推土机、轮式机、起重机、冲击式钻机、搅拌机等施工机械及车辆运行造成的。非标设备（如油罐等）的现场加工制作、机械加工有卷板机、切割机、焊机等。</w:t>
            </w:r>
          </w:p>
          <w:p>
            <w:pPr>
              <w:keepNext w:val="0"/>
              <w:keepLines w:val="0"/>
              <w:pageBreakBefore w:val="0"/>
              <w:widowControl w:val="0"/>
              <w:kinsoku/>
              <w:wordWrap/>
              <w:overflowPunct/>
              <w:topLinePunct w:val="0"/>
              <w:autoSpaceDE/>
              <w:autoSpaceDN/>
              <w:bidi w:val="0"/>
              <w:adjustRightInd/>
              <w:snapToGrid/>
              <w:spacing w:line="440" w:lineRule="atLeast"/>
              <w:ind w:leftChars="0" w:firstLine="480" w:firstLineChars="200"/>
              <w:textAlignment w:val="auto"/>
              <w:rPr>
                <w:rFonts w:hint="default" w:ascii="Times New Roman" w:hAnsi="Times New Roman" w:cs="Times New Roman"/>
                <w:color w:val="auto"/>
                <w:sz w:val="24"/>
                <w:szCs w:val="24"/>
              </w:rPr>
            </w:pPr>
            <w:r>
              <w:rPr>
                <w:rFonts w:hint="default"/>
                <w:color w:val="auto"/>
                <w:sz w:val="24"/>
                <w:szCs w:val="24"/>
              </w:rPr>
              <w:t>建设期主要施工机械设备的噪声源强见下表，当多台机械设备同时作业时，产生噪声叠加，根据类比调查，叠加后的噪声增加3～8dB(A)，一般不会超过10dB(A)。项目施工强度表见下表：</w:t>
            </w:r>
          </w:p>
          <w:p>
            <w:pPr>
              <w:keepNext w:val="0"/>
              <w:keepLines w:val="0"/>
              <w:pageBreakBefore w:val="0"/>
              <w:widowControl w:val="0"/>
              <w:kinsoku/>
              <w:wordWrap/>
              <w:overflowPunct/>
              <w:topLinePunct w:val="0"/>
              <w:autoSpaceDE/>
              <w:autoSpaceDN/>
              <w:bidi w:val="0"/>
              <w:adjustRightInd/>
              <w:snapToGrid/>
              <w:spacing w:after="0" w:line="440" w:lineRule="exact"/>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表4-2    工程施工主要设备及噪声值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672"/>
              <w:gridCol w:w="3203"/>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序号</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施工设备</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测点距离施工设备距离（m）</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最大噪声级dB(A)]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1</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挖掘机</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2</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推土机</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3</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轮式装载车</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4</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起重机</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冲击式钻机</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6</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搅拌机</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7</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卷板机</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8</w:t>
                  </w:r>
                </w:p>
              </w:tc>
              <w:tc>
                <w:tcPr>
                  <w:tcW w:w="1019"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切割机</w:t>
                  </w:r>
                </w:p>
              </w:tc>
              <w:tc>
                <w:tcPr>
                  <w:tcW w:w="1952"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pPr>
                    <w:widowControl/>
                    <w:adjustRightInd w:val="0"/>
                    <w:snapToGrid w:val="0"/>
                    <w:spacing w:line="360" w:lineRule="exact"/>
                    <w:jc w:val="center"/>
                    <w:textAlignment w:val="baseline"/>
                    <w:rPr>
                      <w:rFonts w:hint="default"/>
                      <w:color w:val="auto"/>
                    </w:rPr>
                  </w:pPr>
                  <w:r>
                    <w:rPr>
                      <w:rFonts w:hint="default"/>
                      <w:color w:val="auto"/>
                    </w:rPr>
                    <w:t>90</w:t>
                  </w:r>
                </w:p>
              </w:tc>
            </w:tr>
          </w:tbl>
          <w:p>
            <w:pPr>
              <w:pStyle w:val="61"/>
              <w:keepNext w:val="0"/>
              <w:keepLines w:val="0"/>
              <w:pageBreakBefore w:val="0"/>
              <w:kinsoku/>
              <w:wordWrap/>
              <w:overflowPunct/>
              <w:topLinePunct w:val="0"/>
              <w:autoSpaceDE/>
              <w:autoSpaceDN/>
              <w:bidi w:val="0"/>
              <w:adjustRightInd/>
              <w:snapToGrid/>
              <w:spacing w:line="440" w:lineRule="exact"/>
              <w:ind w:firstLine="482"/>
              <w:textAlignment w:val="auto"/>
              <w:rPr>
                <w:rFonts w:hint="default"/>
                <w:color w:val="auto"/>
                <w:sz w:val="24"/>
                <w:szCs w:val="24"/>
              </w:rPr>
            </w:pPr>
            <w:r>
              <w:rPr>
                <w:rFonts w:hint="default"/>
                <w:color w:val="auto"/>
                <w:sz w:val="24"/>
                <w:szCs w:val="24"/>
              </w:rPr>
              <w:t>治理措施：①加强施工管理，合理安排施工作业时间，严格按照施工噪声管理的有关规定执行。施工现场施工单位必须执行《建筑施工场界环境噪声排放标准》（GB12523-2011）中的各项规定。将打桩等高噪声作业尽量安排在白天进行，杜绝夜间（22：00-7</w:t>
            </w:r>
            <w:r>
              <w:rPr>
                <w:rFonts w:hint="eastAsia"/>
                <w:color w:val="auto"/>
                <w:sz w:val="24"/>
                <w:szCs w:val="24"/>
                <w:lang w:eastAsia="zh-CN"/>
              </w:rPr>
              <w:t>：</w:t>
            </w:r>
            <w:r>
              <w:rPr>
                <w:rFonts w:hint="default"/>
                <w:color w:val="auto"/>
                <w:sz w:val="24"/>
                <w:szCs w:val="24"/>
              </w:rPr>
              <w:t>00）施工噪声扰民。</w:t>
            </w:r>
          </w:p>
          <w:p>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color w:val="auto"/>
                <w:sz w:val="24"/>
                <w:szCs w:val="24"/>
              </w:rPr>
            </w:pPr>
            <w:r>
              <w:rPr>
                <w:rFonts w:hint="default"/>
                <w:color w:val="auto"/>
                <w:sz w:val="24"/>
                <w:szCs w:val="24"/>
              </w:rPr>
              <w:t>②尽量采用低噪声的施工工具，如以液压工具代替气压工具，同时尽可能采用施工噪声低的施工方法如在项目施工过程中合理调配施工设备，将噪声较大的设备、项目主入口设置于远离环境敏感点的位置（如项目西南面和东面）。</w:t>
            </w:r>
          </w:p>
          <w:p>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color w:val="auto"/>
                <w:sz w:val="24"/>
                <w:szCs w:val="24"/>
              </w:rPr>
            </w:pPr>
            <w:r>
              <w:rPr>
                <w:rFonts w:hint="default"/>
                <w:color w:val="auto"/>
                <w:sz w:val="24"/>
                <w:szCs w:val="24"/>
              </w:rPr>
              <w:t>③合理进行施工总平面布置</w:t>
            </w:r>
            <w:r>
              <w:rPr>
                <w:rFonts w:hint="eastAsia"/>
                <w:color w:val="auto"/>
                <w:sz w:val="24"/>
                <w:szCs w:val="24"/>
                <w:lang w:eastAsia="zh-CN"/>
              </w:rPr>
              <w:t>，</w:t>
            </w:r>
            <w:r>
              <w:rPr>
                <w:rFonts w:hint="default"/>
                <w:color w:val="auto"/>
                <w:sz w:val="24"/>
                <w:szCs w:val="24"/>
              </w:rPr>
              <w:t>高噪设备进行隔声、减振，施工现场设置隔挡，在特殊点施工时安装隔声屏障。</w:t>
            </w:r>
          </w:p>
          <w:p>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color w:val="auto"/>
                <w:sz w:val="24"/>
                <w:szCs w:val="24"/>
              </w:rPr>
            </w:pPr>
            <w:r>
              <w:rPr>
                <w:rFonts w:hint="default"/>
                <w:color w:val="auto"/>
                <w:sz w:val="24"/>
                <w:szCs w:val="24"/>
              </w:rPr>
              <w:t>④混凝土需要连续浇灌作业前，应做好各项准备工作，将搅拌机运行时间压到</w:t>
            </w:r>
            <w:r>
              <w:rPr>
                <w:rFonts w:hint="eastAsia"/>
                <w:color w:val="auto"/>
                <w:sz w:val="24"/>
                <w:szCs w:val="24"/>
                <w:lang w:eastAsia="zh-CN"/>
              </w:rPr>
              <w:t>最</w:t>
            </w:r>
            <w:r>
              <w:rPr>
                <w:rFonts w:hint="default"/>
                <w:color w:val="auto"/>
                <w:sz w:val="24"/>
                <w:szCs w:val="24"/>
              </w:rPr>
              <w:t>低限度。</w:t>
            </w:r>
          </w:p>
          <w:p>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auto"/>
                <w:sz w:val="24"/>
                <w:szCs w:val="24"/>
                <w:lang w:val="en-US" w:eastAsia="zh-CN"/>
              </w:rPr>
            </w:pPr>
            <w:r>
              <w:rPr>
                <w:rFonts w:hint="default"/>
                <w:color w:val="auto"/>
                <w:sz w:val="24"/>
                <w:szCs w:val="24"/>
              </w:rPr>
              <w:t>⑤</w:t>
            </w:r>
            <w:r>
              <w:rPr>
                <w:rFonts w:hint="eastAsia"/>
                <w:color w:val="auto"/>
                <w:sz w:val="24"/>
                <w:szCs w:val="24"/>
                <w:lang w:val="en-US" w:eastAsia="zh-CN"/>
              </w:rPr>
              <w:t>定期对机械、设备进行维护、检修。</w:t>
            </w:r>
          </w:p>
          <w:p>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auto"/>
                <w:sz w:val="24"/>
                <w:szCs w:val="24"/>
                <w:lang w:val="en-US" w:eastAsia="zh-CN"/>
              </w:rPr>
            </w:pPr>
            <w:r>
              <w:rPr>
                <w:rFonts w:hint="default"/>
                <w:color w:val="auto"/>
                <w:sz w:val="24"/>
                <w:szCs w:val="24"/>
              </w:rPr>
              <w:t>⑥加强对运输车辆的管理，施工过程中各种运输车辆的运行，还将会引起公路沿线噪声级的增加。因此，应加强对运输车辆的管理，</w:t>
            </w:r>
            <w:r>
              <w:rPr>
                <w:rFonts w:hint="eastAsia"/>
                <w:color w:val="auto"/>
                <w:sz w:val="24"/>
                <w:szCs w:val="24"/>
                <w:lang w:eastAsia="zh-CN"/>
              </w:rPr>
              <w:t>制订</w:t>
            </w:r>
            <w:r>
              <w:rPr>
                <w:rFonts w:hint="default"/>
                <w:color w:val="auto"/>
                <w:sz w:val="24"/>
                <w:szCs w:val="24"/>
              </w:rPr>
              <w:t>合理运输路线，采取控制车速和禁鸣笛等措施，</w:t>
            </w:r>
            <w:r>
              <w:rPr>
                <w:rFonts w:hint="eastAsia"/>
                <w:color w:val="auto"/>
                <w:sz w:val="24"/>
                <w:szCs w:val="24"/>
                <w:lang w:val="en-US" w:eastAsia="zh-CN"/>
              </w:rPr>
              <w:t>减少运输噪声污染。</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color w:val="auto"/>
                <w:sz w:val="24"/>
                <w:szCs w:val="24"/>
              </w:rPr>
              <w:t>各施工阶段的设备产生的噪声具有阶段性、临时性和不固定性，不同的施工阶段有不同的噪声源。通过采取上述措施，施工期噪声对周边环境影响较小，基本不会产生扰民现象，并会随着施工期结束而消失。</w:t>
            </w:r>
          </w:p>
          <w:p>
            <w:pPr>
              <w:pStyle w:val="10"/>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50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施工期固废环境保护措施</w:t>
            </w:r>
          </w:p>
          <w:p>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①建筑垃圾</w:t>
            </w:r>
          </w:p>
          <w:p>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主要为建筑施工产生的建筑垃圾、少量施工人员丢弃的生活垃圾；本项目土地现状，施工期地基开挖时产生一定量的弃土石方，修建办公楼和厂房等建筑物时产生一定量的建筑垃圾，按建筑面积1135.3m</w:t>
            </w:r>
            <w:r>
              <w:rPr>
                <w:rFonts w:hint="default"/>
                <w:color w:val="auto"/>
                <w:sz w:val="24"/>
                <w:szCs w:val="24"/>
                <w:vertAlign w:val="superscript"/>
              </w:rPr>
              <w:t>2</w:t>
            </w:r>
            <w:r>
              <w:rPr>
                <w:rFonts w:hint="default"/>
                <w:color w:val="auto"/>
                <w:sz w:val="24"/>
                <w:szCs w:val="24"/>
              </w:rPr>
              <w:t>计算，建筑垃圾以10kg/m</w:t>
            </w:r>
            <w:r>
              <w:rPr>
                <w:rFonts w:hint="default"/>
                <w:color w:val="auto"/>
                <w:sz w:val="24"/>
                <w:szCs w:val="24"/>
                <w:vertAlign w:val="superscript"/>
              </w:rPr>
              <w:t>2</w:t>
            </w:r>
            <w:r>
              <w:rPr>
                <w:rFonts w:hint="default"/>
                <w:color w:val="auto"/>
                <w:sz w:val="24"/>
                <w:szCs w:val="24"/>
              </w:rPr>
              <w:t>计，产生的建筑和装修垃圾共约11.35t，该部分垃圾运往政府指定的建筑垃圾堆放点。</w:t>
            </w:r>
          </w:p>
          <w:p>
            <w:pPr>
              <w:keepNext w:val="0"/>
              <w:keepLines w:val="0"/>
              <w:pageBreakBefore w:val="0"/>
              <w:widowControl/>
              <w:kinsoku/>
              <w:wordWrap/>
              <w:overflowPunct/>
              <w:topLinePunct w:val="0"/>
              <w:bidi w:val="0"/>
              <w:adjustRightInd/>
              <w:snapToGrid/>
              <w:spacing w:line="440" w:lineRule="exact"/>
              <w:ind w:left="0" w:leftChars="0" w:firstLine="480" w:firstLineChars="200"/>
              <w:jc w:val="both"/>
              <w:textAlignment w:val="baseline"/>
              <w:rPr>
                <w:rFonts w:hint="default"/>
                <w:color w:val="auto"/>
                <w:sz w:val="24"/>
                <w:szCs w:val="24"/>
                <w:lang w:val="en-US" w:eastAsia="zh-CN"/>
              </w:rPr>
            </w:pPr>
            <w:r>
              <w:rPr>
                <w:rFonts w:hint="default"/>
                <w:color w:val="auto"/>
                <w:sz w:val="24"/>
                <w:szCs w:val="24"/>
                <w:lang w:val="en-US" w:eastAsia="zh-CN"/>
              </w:rPr>
              <w:t>治理措施：运往政府指定的建筑垃圾堆放点。</w:t>
            </w:r>
          </w:p>
          <w:p>
            <w:pPr>
              <w:keepNext w:val="0"/>
              <w:keepLines w:val="0"/>
              <w:pageBreakBefore w:val="0"/>
              <w:widowControl/>
              <w:kinsoku/>
              <w:wordWrap/>
              <w:overflowPunct/>
              <w:topLinePunct w:val="0"/>
              <w:autoSpaceDE w:val="0"/>
              <w:autoSpaceDN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②拆迁固体废物</w:t>
            </w:r>
          </w:p>
          <w:p>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lang w:eastAsia="zh-CN"/>
              </w:rPr>
              <w:t>本项目涉及移民拆迁，</w:t>
            </w:r>
            <w:r>
              <w:rPr>
                <w:rFonts w:hint="default"/>
                <w:color w:val="auto"/>
                <w:sz w:val="24"/>
                <w:szCs w:val="24"/>
              </w:rPr>
              <w:t>拆迁固体废物</w:t>
            </w:r>
            <w:r>
              <w:rPr>
                <w:rFonts w:hint="default"/>
                <w:color w:val="auto"/>
                <w:sz w:val="24"/>
                <w:szCs w:val="24"/>
                <w:lang w:eastAsia="zh-CN"/>
              </w:rPr>
              <w:t>产生量按</w:t>
            </w:r>
            <w:r>
              <w:rPr>
                <w:rFonts w:hint="default"/>
                <w:color w:val="auto"/>
                <w:sz w:val="24"/>
                <w:szCs w:val="24"/>
              </w:rPr>
              <w:t>砖木结构每平方米0.8吨，砖混结构每平方米0.9吨，拆迁房屋总面积约</w:t>
            </w:r>
            <w:r>
              <w:rPr>
                <w:rFonts w:hint="default"/>
                <w:color w:val="auto"/>
                <w:sz w:val="24"/>
                <w:szCs w:val="24"/>
                <w:lang w:val="en-US" w:eastAsia="zh-CN"/>
              </w:rPr>
              <w:t>6</w:t>
            </w:r>
            <w:r>
              <w:rPr>
                <w:rFonts w:hint="default"/>
                <w:color w:val="auto"/>
                <w:sz w:val="24"/>
                <w:szCs w:val="24"/>
              </w:rPr>
              <w:t>00平方米，其中多为砖</w:t>
            </w:r>
            <w:r>
              <w:rPr>
                <w:rFonts w:hint="default"/>
                <w:color w:val="auto"/>
                <w:sz w:val="24"/>
                <w:szCs w:val="24"/>
                <w:lang w:eastAsia="zh-CN"/>
              </w:rPr>
              <w:t>木</w:t>
            </w:r>
            <w:r>
              <w:rPr>
                <w:rFonts w:hint="default"/>
                <w:color w:val="auto"/>
                <w:sz w:val="24"/>
                <w:szCs w:val="24"/>
              </w:rPr>
              <w:t>结构，按5%计，则项目总拆迁废弃建筑垃圾为</w:t>
            </w:r>
            <w:r>
              <w:rPr>
                <w:rFonts w:hint="default"/>
                <w:color w:val="auto"/>
                <w:sz w:val="24"/>
                <w:szCs w:val="24"/>
                <w:lang w:val="en-US" w:eastAsia="zh-CN"/>
              </w:rPr>
              <w:t>24</w:t>
            </w:r>
            <w:r>
              <w:rPr>
                <w:rFonts w:hint="default"/>
                <w:color w:val="auto"/>
                <w:sz w:val="24"/>
                <w:szCs w:val="24"/>
              </w:rPr>
              <w:t>t，该废弃拆迁垃圾中有用废木料全部回收外卖利用，其余将运往政府制</w:t>
            </w:r>
            <w:r>
              <w:rPr>
                <w:rFonts w:hint="eastAsia"/>
                <w:color w:val="auto"/>
                <w:sz w:val="24"/>
                <w:szCs w:val="24"/>
                <w:lang w:eastAsia="zh-CN"/>
              </w:rPr>
              <w:t>订</w:t>
            </w:r>
            <w:r>
              <w:rPr>
                <w:rFonts w:hint="default"/>
                <w:color w:val="auto"/>
                <w:sz w:val="24"/>
                <w:szCs w:val="24"/>
              </w:rPr>
              <w:t>的废弃垃圾堆存点。</w:t>
            </w:r>
          </w:p>
          <w:p>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治理措施：废弃拆迁垃圾中有用废木料全部回收外卖利用，其余将运往政府制</w:t>
            </w:r>
            <w:r>
              <w:rPr>
                <w:rFonts w:hint="eastAsia"/>
                <w:color w:val="auto"/>
                <w:sz w:val="24"/>
                <w:szCs w:val="24"/>
                <w:lang w:eastAsia="zh-CN"/>
              </w:rPr>
              <w:t>订</w:t>
            </w:r>
            <w:r>
              <w:rPr>
                <w:rFonts w:hint="default"/>
                <w:color w:val="auto"/>
                <w:sz w:val="24"/>
                <w:szCs w:val="24"/>
              </w:rPr>
              <w:t>的废弃垃圾堆存点。</w:t>
            </w:r>
          </w:p>
          <w:p>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3 \* GB3 </w:instrText>
            </w:r>
            <w:r>
              <w:rPr>
                <w:rFonts w:hint="default"/>
                <w:color w:val="auto"/>
                <w:sz w:val="24"/>
                <w:szCs w:val="24"/>
              </w:rPr>
              <w:fldChar w:fldCharType="separate"/>
            </w:r>
            <w:r>
              <w:rPr>
                <w:rFonts w:hint="default"/>
                <w:color w:val="auto"/>
                <w:sz w:val="24"/>
                <w:szCs w:val="24"/>
              </w:rPr>
              <w:t>③</w:t>
            </w:r>
            <w:r>
              <w:rPr>
                <w:rFonts w:hint="default"/>
                <w:color w:val="auto"/>
                <w:sz w:val="24"/>
                <w:szCs w:val="24"/>
              </w:rPr>
              <w:fldChar w:fldCharType="end"/>
            </w:r>
            <w:r>
              <w:rPr>
                <w:rFonts w:hint="default"/>
                <w:color w:val="auto"/>
                <w:sz w:val="24"/>
                <w:szCs w:val="24"/>
              </w:rPr>
              <w:t>施工土石方</w:t>
            </w:r>
          </w:p>
          <w:p>
            <w:pPr>
              <w:keepNext w:val="0"/>
              <w:keepLines w:val="0"/>
              <w:pageBreakBefore w:val="0"/>
              <w:kinsoku/>
              <w:wordWrap/>
              <w:overflowPunct/>
              <w:topLinePunct w:val="0"/>
              <w:bidi w:val="0"/>
              <w:adjustRightInd/>
              <w:snapToGrid/>
              <w:spacing w:line="440" w:lineRule="exact"/>
              <w:ind w:firstLine="480" w:firstLineChars="200"/>
              <w:rPr>
                <w:rFonts w:hint="default"/>
                <w:color w:val="auto"/>
                <w:sz w:val="24"/>
                <w:szCs w:val="24"/>
                <w:lang w:val="en-US" w:eastAsia="zh-CN"/>
              </w:rPr>
            </w:pPr>
            <w:r>
              <w:rPr>
                <w:rFonts w:hint="default"/>
                <w:color w:val="auto"/>
                <w:sz w:val="24"/>
                <w:szCs w:val="24"/>
                <w:lang w:val="en-US" w:eastAsia="zh-CN"/>
              </w:rPr>
              <w:t>位置高程350-470m之间，桥面高程与厂区场坪标高一致为365.00m。</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项目所在地为山地，位置高程350-470m之间，避开了山体主峰位置，山体坡度较缓地段。项目建设期间，各分项工程需大量挖方及填方，将厂区场坪标高达到365.00m。该项目规划用地61261.45m</w:t>
            </w:r>
            <w:r>
              <w:rPr>
                <w:rFonts w:hint="default"/>
                <w:color w:val="auto"/>
                <w:sz w:val="24"/>
                <w:szCs w:val="24"/>
                <w:vertAlign w:val="superscript"/>
                <w:lang w:val="en-US" w:eastAsia="zh-CN"/>
              </w:rPr>
              <w:t>2</w:t>
            </w:r>
            <w:r>
              <w:rPr>
                <w:rFonts w:hint="default"/>
                <w:color w:val="auto"/>
                <w:sz w:val="24"/>
                <w:szCs w:val="24"/>
                <w:lang w:val="en-US" w:eastAsia="zh-CN"/>
              </w:rPr>
              <w:t>，以33m</w:t>
            </w:r>
            <w:r>
              <w:rPr>
                <w:rFonts w:hint="default"/>
                <w:color w:val="auto"/>
                <w:sz w:val="24"/>
                <w:szCs w:val="24"/>
                <w:vertAlign w:val="superscript"/>
                <w:lang w:val="en-US" w:eastAsia="zh-CN"/>
              </w:rPr>
              <w:t>3</w:t>
            </w:r>
            <w:r>
              <w:rPr>
                <w:rFonts w:hint="default"/>
                <w:color w:val="auto"/>
                <w:sz w:val="24"/>
                <w:szCs w:val="24"/>
                <w:lang w:val="en-US" w:eastAsia="zh-CN"/>
              </w:rPr>
              <w:t>/m</w:t>
            </w:r>
            <w:r>
              <w:rPr>
                <w:rFonts w:hint="default"/>
                <w:color w:val="auto"/>
                <w:sz w:val="24"/>
                <w:szCs w:val="24"/>
                <w:vertAlign w:val="superscript"/>
                <w:lang w:val="en-US" w:eastAsia="zh-CN"/>
              </w:rPr>
              <w:t>2</w:t>
            </w:r>
            <w:r>
              <w:rPr>
                <w:rFonts w:hint="default"/>
                <w:color w:val="auto"/>
                <w:sz w:val="24"/>
                <w:szCs w:val="24"/>
                <w:lang w:val="en-US" w:eastAsia="zh-CN"/>
              </w:rPr>
              <w:t>的土石方产生量计，故估算该项目挖方为2021627.85m</w:t>
            </w:r>
            <w:r>
              <w:rPr>
                <w:rFonts w:hint="default"/>
                <w:color w:val="auto"/>
                <w:sz w:val="24"/>
                <w:szCs w:val="24"/>
                <w:vertAlign w:val="superscript"/>
                <w:lang w:val="en-US" w:eastAsia="zh-CN"/>
              </w:rPr>
              <w:t>3</w:t>
            </w:r>
            <w:r>
              <w:rPr>
                <w:rFonts w:hint="default"/>
                <w:color w:val="auto"/>
                <w:sz w:val="24"/>
                <w:szCs w:val="24"/>
                <w:lang w:val="en-US" w:eastAsia="zh-CN"/>
              </w:rPr>
              <w:t>，挖方产生的土石方可用于填补低地势地块，根据须填方地块，填方总量约286245.37m</w:t>
            </w:r>
            <w:r>
              <w:rPr>
                <w:rFonts w:hint="default"/>
                <w:color w:val="auto"/>
                <w:sz w:val="24"/>
                <w:szCs w:val="24"/>
                <w:vertAlign w:val="superscript"/>
                <w:lang w:val="en-US" w:eastAsia="zh-CN"/>
              </w:rPr>
              <w:t>3</w:t>
            </w:r>
            <w:r>
              <w:rPr>
                <w:rFonts w:hint="default"/>
                <w:color w:val="auto"/>
                <w:sz w:val="24"/>
                <w:szCs w:val="24"/>
                <w:lang w:val="en-US" w:eastAsia="zh-CN"/>
              </w:rPr>
              <w:t>。多余的1735382.48m</w:t>
            </w:r>
            <w:r>
              <w:rPr>
                <w:rFonts w:hint="default"/>
                <w:color w:val="auto"/>
                <w:sz w:val="24"/>
                <w:szCs w:val="24"/>
                <w:vertAlign w:val="superscript"/>
                <w:lang w:val="en-US" w:eastAsia="zh-CN"/>
              </w:rPr>
              <w:t>3</w:t>
            </w:r>
            <w:r>
              <w:rPr>
                <w:rFonts w:hint="default"/>
                <w:color w:val="auto"/>
                <w:sz w:val="24"/>
                <w:szCs w:val="24"/>
                <w:lang w:val="en-US" w:eastAsia="zh-CN"/>
              </w:rPr>
              <w:t>土方送至政府部门指定填埋场进行填埋。</w:t>
            </w:r>
          </w:p>
          <w:p>
            <w:pPr>
              <w:widowControl w:val="0"/>
              <w:spacing w:after="120" w:line="240" w:lineRule="auto"/>
              <w:ind w:firstLine="0" w:firstLineChars="0"/>
              <w:jc w:val="both"/>
              <w:textAlignment w:val="auto"/>
              <w:rPr>
                <w:rFonts w:hint="default"/>
                <w:color w:val="auto"/>
                <w:lang w:val="en-US" w:eastAsia="zh-CN"/>
              </w:rPr>
            </w:pPr>
            <w:r>
              <w:rPr>
                <w:rFonts w:hint="default"/>
                <w:color w:val="auto"/>
                <w:lang w:val="en-US" w:eastAsia="zh-CN"/>
              </w:rPr>
              <mc:AlternateContent>
                <mc:Choice Requires="wpg">
                  <w:drawing>
                    <wp:anchor distT="0" distB="0" distL="114300" distR="114300" simplePos="0" relativeHeight="251663360" behindDoc="0" locked="0" layoutInCell="1" allowOverlap="1">
                      <wp:simplePos x="0" y="0"/>
                      <wp:positionH relativeFrom="column">
                        <wp:posOffset>1115060</wp:posOffset>
                      </wp:positionH>
                      <wp:positionV relativeFrom="paragraph">
                        <wp:posOffset>20320</wp:posOffset>
                      </wp:positionV>
                      <wp:extent cx="2938780" cy="1288415"/>
                      <wp:effectExtent l="5080" t="0" r="8890" b="6985"/>
                      <wp:wrapNone/>
                      <wp:docPr id="19" name="组合 14"/>
                      <wp:cNvGraphicFramePr/>
                      <a:graphic xmlns:a="http://schemas.openxmlformats.org/drawingml/2006/main">
                        <a:graphicData uri="http://schemas.microsoft.com/office/word/2010/wordprocessingGroup">
                          <wpg:wgp>
                            <wpg:cNvGrpSpPr/>
                            <wpg:grpSpPr>
                              <a:xfrm>
                                <a:off x="0" y="0"/>
                                <a:ext cx="2938780" cy="1288415"/>
                                <a:chOff x="7049" y="653211"/>
                                <a:chExt cx="4628" cy="2029"/>
                              </a:xfrm>
                            </wpg:grpSpPr>
                            <wps:wsp>
                              <wps:cNvPr id="11" name="文本框 2"/>
                              <wps:cNvSpPr txBox="1"/>
                              <wps:spPr>
                                <a:xfrm>
                                  <a:off x="7049" y="654257"/>
                                  <a:ext cx="139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土石方挖方</w:t>
                                    </w:r>
                                  </w:p>
                                </w:txbxContent>
                              </wps:txbx>
                              <wps:bodyPr wrap="square" upright="1">
                                <a:spAutoFit/>
                              </wps:bodyPr>
                            </wps:wsp>
                            <wps:wsp>
                              <wps:cNvPr id="12" name="自选图形 16"/>
                              <wps:cNvCnPr/>
                              <wps:spPr>
                                <a:xfrm flipV="1">
                                  <a:off x="8470" y="653891"/>
                                  <a:ext cx="671" cy="525"/>
                                </a:xfrm>
                                <a:prstGeom prst="bentConnector3">
                                  <a:avLst>
                                    <a:gd name="adj1" fmla="val 49926"/>
                                  </a:avLst>
                                </a:prstGeom>
                                <a:ln w="9525" cap="flat" cmpd="sng">
                                  <a:solidFill>
                                    <a:srgbClr val="000000"/>
                                  </a:solidFill>
                                  <a:prstDash val="solid"/>
                                  <a:miter/>
                                  <a:headEnd type="none" w="med" len="med"/>
                                  <a:tailEnd type="triangle" w="med" len="med"/>
                                </a:ln>
                              </wps:spPr>
                              <wps:bodyPr/>
                            </wps:wsp>
                            <wps:wsp>
                              <wps:cNvPr id="13" name="自选图形 17"/>
                              <wps:cNvCnPr/>
                              <wps:spPr>
                                <a:xfrm>
                                  <a:off x="8455" y="654411"/>
                                  <a:ext cx="671" cy="480"/>
                                </a:xfrm>
                                <a:prstGeom prst="bentConnector3">
                                  <a:avLst>
                                    <a:gd name="adj1" fmla="val 52162"/>
                                  </a:avLst>
                                </a:prstGeom>
                                <a:ln w="9525" cap="flat" cmpd="sng">
                                  <a:solidFill>
                                    <a:srgbClr val="000000"/>
                                  </a:solidFill>
                                  <a:prstDash val="solid"/>
                                  <a:miter/>
                                  <a:headEnd type="none" w="med" len="med"/>
                                  <a:tailEnd type="triangle" w="med" len="med"/>
                                </a:ln>
                              </wps:spPr>
                              <wps:bodyPr/>
                            </wps:wsp>
                            <wps:wsp>
                              <wps:cNvPr id="14" name="文本框 18"/>
                              <wps:cNvSpPr txBox="1"/>
                              <wps:spPr>
                                <a:xfrm>
                                  <a:off x="9119" y="653527"/>
                                  <a:ext cx="139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土石方填方</w:t>
                                    </w:r>
                                  </w:p>
                                </w:txbxContent>
                              </wps:txbx>
                              <wps:bodyPr wrap="square" upright="1">
                                <a:spAutoFit/>
                              </wps:bodyPr>
                            </wps:wsp>
                            <wps:wsp>
                              <wps:cNvPr id="15" name="文本框 19"/>
                              <wps:cNvSpPr txBox="1"/>
                              <wps:spPr>
                                <a:xfrm>
                                  <a:off x="9083" y="654536"/>
                                  <a:ext cx="2595" cy="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政府部门指定填埋场进行填埋</w:t>
                                    </w:r>
                                  </w:p>
                                </w:txbxContent>
                              </wps:txbx>
                              <wps:bodyPr wrap="square" upright="1">
                                <a:spAutoFit/>
                              </wps:bodyPr>
                            </wps:wsp>
                            <wps:wsp>
                              <wps:cNvPr id="16" name="文本框 20"/>
                              <wps:cNvSpPr txBox="1"/>
                              <wps:spPr>
                                <a:xfrm>
                                  <a:off x="7095" y="653776"/>
                                  <a:ext cx="1399" cy="482"/>
                                </a:xfrm>
                                <a:prstGeom prst="rect">
                                  <a:avLst/>
                                </a:prstGeom>
                                <a:noFill/>
                                <a:ln>
                                  <a:noFill/>
                                </a:ln>
                              </wps:spPr>
                              <wps:txbx>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201627.85</w:t>
                                    </w:r>
                                  </w:p>
                                </w:txbxContent>
                              </wps:txbx>
                              <wps:bodyPr wrap="square" upright="1"/>
                            </wps:wsp>
                            <wps:wsp>
                              <wps:cNvPr id="17" name="文本框 21"/>
                              <wps:cNvSpPr txBox="1"/>
                              <wps:spPr>
                                <a:xfrm>
                                  <a:off x="9220" y="653211"/>
                                  <a:ext cx="1399" cy="482"/>
                                </a:xfrm>
                                <a:prstGeom prst="rect">
                                  <a:avLst/>
                                </a:prstGeom>
                                <a:noFill/>
                                <a:ln>
                                  <a:noFill/>
                                </a:ln>
                              </wps:spPr>
                              <wps:txbx>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286245.37</w:t>
                                    </w:r>
                                  </w:p>
                                </w:txbxContent>
                              </wps:txbx>
                              <wps:bodyPr wrap="square" upright="1"/>
                            </wps:wsp>
                            <wps:wsp>
                              <wps:cNvPr id="18" name="文本框 22"/>
                              <wps:cNvSpPr txBox="1"/>
                              <wps:spPr>
                                <a:xfrm>
                                  <a:off x="9649" y="654171"/>
                                  <a:ext cx="1399" cy="482"/>
                                </a:xfrm>
                                <a:prstGeom prst="rect">
                                  <a:avLst/>
                                </a:prstGeom>
                                <a:noFill/>
                                <a:ln>
                                  <a:noFill/>
                                </a:ln>
                              </wps:spPr>
                              <wps:txbx>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1735382.48</w:t>
                                    </w:r>
                                  </w:p>
                                </w:txbxContent>
                              </wps:txbx>
                              <wps:bodyPr wrap="square" upright="1"/>
                            </wps:wsp>
                          </wpg:wgp>
                        </a:graphicData>
                      </a:graphic>
                    </wp:anchor>
                  </w:drawing>
                </mc:Choice>
                <mc:Fallback>
                  <w:pict>
                    <v:group id="组合 14" o:spid="_x0000_s1026" o:spt="203" style="position:absolute;left:0pt;margin-left:87.8pt;margin-top:1.6pt;height:101.45pt;width:231.4pt;z-index:251663360;mso-width-relative:page;mso-height-relative:page;" coordorigin="7049,653211" coordsize="4628,2029" o:gfxdata="UEsDBAoAAAAAAIdO4kAAAAAAAAAAAAAAAAAEAAAAZHJzL1BLAwQUAAAACACHTuJAlBMdr9kAAAAJ&#10;AQAADwAAAGRycy9kb3ducmV2LnhtbE2PwWrDMBBE74X+g9hCb40ku3GDYzmU0PYUCk0KJTfF2tgm&#10;1spYip38fdVTcxxmmHlTrC62YyMOvnWkQM4EMKTKmZZqBd+796cFMB80Gd05QgVX9LAq7+8KnRs3&#10;0ReO21CzWEI+1wqaEPqcc181aLWfuR4pekc3WB2iHGpuBj3FctvxRIiMW91SXGh0j+sGq9P2bBV8&#10;THp6TeXbuDkd19f9bv75s5Go1OODFEtgAS/hPwx/+BEdysh0cGcynnVRv8yzGFWQJsCin6WLZ2AH&#10;BYnIJPCy4LcPyl9QSwMEFAAAAAgAh07iQOnciPEhBAAAthMAAA4AAABkcnMvZTJvRG9jLnhtbO1Y&#10;y3LkNBTdU8U/qLwnbbvt9qPSmYJkkg0FUzXAXm3LD0qWhKSOOzsW1AzsWM1m2MCS4g8o+JsE+Auu&#10;5Ed3Oh0mycBQqeosOrYkX9177tF96PDJqqHonEhVczZ3vAPXQYRlPK9ZOXc+/+z0g9hBSmOWY8oZ&#10;mTsXRDlPjt5/77AVKfF5xWlOJAIhTKWtmDuV1iKdTFRWkQarAy4Ig8mCywZreJXlJJe4BekNnfiu&#10;O5u0XOZC8owoBaMn3aTTS5R3EciLos7ICc+WDWG6kyoJxRpMUlUtlHNktS0KkulPi0IRjejcAUu1&#10;/YVN4HlhfidHhzgtJRZVnfUq4LuosGVTg2sGm46iTrDGaCnrG6KaOpNc8UIfZLyZdIZYRMAKz93C&#10;5kzypbC2lGlbihF0cNQW6g8Wm31y/kyiOgcmJA5iuAGP//HrN5fff4u8wKDTijKFRWdSPBfPZD9Q&#10;dm/G4FUhG/MfTEEri+vFiCtZaZTBoJ9M4ygGyDOY8/w4DrywQz6rwD3mu8gNYH+YnoVT3/OG2ae9&#10;hGDmAy3N577rJ2Z2Mmw9MRqOCrUCWKnWUKm3g+p5hQWxHlAGhQEqb4Dq6tXLqx9+ufrxBfKNUmZ3&#10;WGaQQnr1EQfDrClmXMHgDsA2DA/8MOoMH4DzpgmgYswOpnaD0WqcCqn0GeENMg9zRwLVLQPx+cdK&#10;dwANS8y2itM6P60ptS+yXBxTic4xHItT+9djem0ZZaidO0noh6AEhrNewBmDx0YAXxQr7X7XvlCb&#10;gl37t0uwUewEq6pTwEroDG9qTSQoj9OK4Pwpy5G+EEBJBqHIMco0JHcQJRC5zJNdqXFN77ISsKMM&#10;iLN2hnnSq8Wq99yC5xfguBaiAZj31RJL2HMpZF1WALDXWSs+XGp+WluEzffdR71YYF5Hgv+egv5A&#10;wT9f/vzX199dvv798refkDczmBi9gIbHrD+w18mHClqLLwaD+nMbBxGcz+78xUl//gYaziIgvGGh&#10;YQLIv52FC4jHx5wxICOX0zUfjUfLvI8vOP8S5BUNhUgLDERBkvhWb5Br2Wt32CTvYySiljVmJb2F&#10;trvJ2JHJIGxc+A7ZNN3NJhuO/plNxrMjh0IIFJZDQTDE8BscCiAR/PscCn1vNkTIPYfsuX/XHAoG&#10;Dq2TohdvhKP7ZMXEM+VIF45Cf58V91lxqzS+pTCD+NPVsBsctOViH8TuxUE3hrDYhbNwahMUTodw&#10;5ocJ7GVyYuS+ISfuK7M31XC7k+FjrcxmNzno25T3AA5GrqFZFwejaIuDG91BPOS+oR0bqqc7dgcM&#10;SlpKIS13NTJOx4G39s3/UM1EOzww9mH37M8SH5zXe2BsTIcosPfALXEYmvXtOOw/tENOZuPVQOBB&#10;J2JZ+og9YC8s4DrHdjn91ZO5L9p8tx3A+rrt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CUEx2v&#10;2QAAAAkBAAAPAAAAAAAAAAEAIAAAACIAAABkcnMvZG93bnJldi54bWxQSwECFAAUAAAACACHTuJA&#10;6dyI8SEEAAC2EwAADgAAAAAAAAABACAAAAAoAQAAZHJzL2Uyb0RvYy54bWxQSwUGAAAAAAYABgBZ&#10;AQAAuwcAAAAA&#10;">
                      <o:lock v:ext="edit" aspectratio="f"/>
                      <v:shape id="文本框 2" o:spid="_x0000_s1026" o:spt="202" type="#_x0000_t202" style="position:absolute;left:7049;top:654257;height:432;width:1399;" fillcolor="#FFFFFF" filled="t" stroked="t" coordsize="21600,21600" o:gfxdata="UEsDBAoAAAAAAIdO4kAAAAAAAAAAAAAAAAAEAAAAZHJzL1BLAwQUAAAACACHTuJAUIIezLoAAADb&#10;AAAADwAAAGRycy9kb3ducmV2LnhtbEVPS2sCMRC+F/wPYYTeanaFlrIaPSiCN1+F0tuYjJvFzWTd&#10;xPXx6xtB8DYf33PG06urRUdtqDwryAcZCGLtTcWlgp/d4uMbRIjIBmvPpOBGAaaT3tsYC+MvvKFu&#10;G0uRQjgUqMDG2BRSBm3JYRj4hjhxB986jAm2pTQtXlK4q+Uwy76kw4pTg8WGZpb0cXt2CsJ8fWr0&#10;Yb0/WnO7r+bdp/5d/Cn13s+zEYhI1/gSP91Lk+bn8PglHSA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gh7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土石方挖方</w:t>
                              </w:r>
                            </w:p>
                          </w:txbxContent>
                        </v:textbox>
                      </v:shape>
                      <v:shape id="自选图形 16" o:spid="_x0000_s1026" o:spt="34" type="#_x0000_t34" style="position:absolute;left:8470;top:653891;flip:y;height:525;width:671;" filled="f" stroked="t" coordsize="21600,21600" o:gfxdata="UEsDBAoAAAAAAIdO4kAAAAAAAAAAAAAAAAAEAAAAZHJzL1BLAwQUAAAACACHTuJAA2wuf7kAAADb&#10;AAAADwAAAGRycy9kb3ducmV2LnhtbEVPTWvCQBC9C/6HZYTe6q4pqKRucigN9FoVwduQHZPV7GzI&#10;bk3677tCwds83ufsysl14k5DsJ41rJYKBHHtjeVGw/FQvW5BhIhssPNMGn4pQFnMZzvMjR/5m+77&#10;2IgUwiFHDW2MfS5lqFtyGJa+J07cxQ8OY4JDI82AYwp3ncyUWkuHllNDiz19tFTf9j9Og6qu9XZz&#10;rs6fb7fu2kR7ClZlWr8sVuodRKQpPsX/7i+T5mfw+CUdII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sLn+5AAAA2wAA&#10;AA8AAAAAAAAAAQAgAAAAIgAAAGRycy9kb3ducmV2LnhtbFBLAQIUABQAAAAIAIdO4kAzLwWeOwAA&#10;ADkAAAAQAAAAAAAAAAEAIAAAAAgBAABkcnMvc2hhcGV4bWwueG1sUEsFBgAAAAAGAAYAWwEAALID&#10;AAAAAA==&#10;" adj="10784">
                        <v:fill on="f" focussize="0,0"/>
                        <v:stroke color="#000000" joinstyle="miter" endarrow="block"/>
                        <v:imagedata o:title=""/>
                        <o:lock v:ext="edit" aspectratio="f"/>
                      </v:shape>
                      <v:shape id="自选图形 17" o:spid="_x0000_s1026" o:spt="34" type="#_x0000_t34" style="position:absolute;left:8455;top:654411;height:480;width:671;" filled="f" stroked="t" coordsize="21600,21600" o:gfxdata="UEsDBAoAAAAAAIdO4kAAAAAAAAAAAAAAAAAEAAAAZHJzL1BLAwQUAAAACACHTuJA81YJh7oAAADb&#10;AAAADwAAAGRycy9kb3ducmV2LnhtbEVPS4vCMBC+C/6HMII3TX2slK5RRFE8uKB29z40s22xmdQm&#10;av33ZmHB23x8z5kvW1OJOzWutKxgNIxAEGdWl5wr+E63gxiE88gaK8uk4EkOlotuZ46Jtg8+0f3s&#10;cxFC2CWooPC+TqR0WUEG3dDWxIH7tY1BH2CTS93gI4SbSo6jaCYNlhwaCqxpXVB2Od+MArn6SDft&#10;zyz1uJtuVoev+NoeY6X6vVH0CcJT69/if/deh/kT+PslHC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VgmHugAAANsA&#10;AAAPAAAAAAAAAAEAIAAAACIAAABkcnMvZG93bnJldi54bWxQSwECFAAUAAAACACHTuJAMy8FnjsA&#10;AAA5AAAAEAAAAAAAAAABACAAAAAJAQAAZHJzL3NoYXBleG1sLnhtbFBLBQYAAAAABgAGAFsBAACz&#10;AwAAAAA=&#10;" adj="11267">
                        <v:fill on="f" focussize="0,0"/>
                        <v:stroke color="#000000" joinstyle="miter" endarrow="block"/>
                        <v:imagedata o:title=""/>
                        <o:lock v:ext="edit" aspectratio="f"/>
                      </v:shape>
                      <v:shape id="文本框 18" o:spid="_x0000_s1026" o:spt="202" type="#_x0000_t202" style="position:absolute;left:9119;top:653527;height:432;width:1399;" fillcolor="#FFFFFF" filled="t" stroked="t" coordsize="21600,21600" o:gfxdata="UEsDBAoAAAAAAIdO4kAAAAAAAAAAAAAAAAAEAAAAZHJzL1BLAwQUAAAACACHTuJAQPW9VLwAAADb&#10;AAAADwAAAGRycy9kb3ducmV2LnhtbEVPTWsCMRC9F/ofwhR662YttpTVrAdF6E2rQvE2JuNm2c1k&#10;u0lX7a83gtDbPN7nTGdn14qB+lB7VjDKchDE2puaKwW77fLlA0SIyAZbz6TgQgFm5ePDFAvjT/xF&#10;wyZWIoVwKFCBjbErpAzaksOQ+Y44cUffO4wJ9pU0PZ5SuGvla56/S4c1pwaLHc0t6Wbz6xSExfqn&#10;08f1obHm8rdaDG/6e7lX6vlplE9ARDrHf/Hd/WnS/DH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1vV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土石方填方</w:t>
                              </w:r>
                            </w:p>
                          </w:txbxContent>
                        </v:textbox>
                      </v:shape>
                      <v:shape id="文本框 19" o:spid="_x0000_s1026" o:spt="202" type="#_x0000_t202" style="position:absolute;left:9083;top:654536;height:705;width:2595;" fillcolor="#FFFFFF" filled="t" stroked="t" coordsize="21600,21600" o:gfxdata="UEsDBAoAAAAAAIdO4kAAAAAAAAAAAAAAAAAEAAAAZHJzL1BLAwQUAAAACACHTuJAL7kYz7oAAADb&#10;AAAADwAAAGRycy9kb3ducmV2LnhtbEVPS4vCMBC+L/gfwgh7W1MXlKUaPSiCt/WxIN7GZGyKzaQ2&#10;2fr49UYQvM3H95zx9Ooq0VITSs8K+r0MBLH2puRCwd928fUDIkRkg5VnUnCjANNJ52OMufEXXlO7&#10;iYVIIRxyVGBjrHMpg7bkMPR8TZy4o28cxgSbQpoGLyncVfI7y4bSYcmpwWJNM0v6tPl3CsJ8da71&#10;cXU4WXO7/87bgd4t9kp9dvvZCESka3yLX+6lSfMH8PwlHSA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uRjP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政府部门指定填埋场进行填埋</w:t>
                              </w:r>
                            </w:p>
                          </w:txbxContent>
                        </v:textbox>
                      </v:shape>
                      <v:shape id="文本框 20" o:spid="_x0000_s1026" o:spt="202" type="#_x0000_t202" style="position:absolute;left:7095;top:653776;height:482;width:1399;"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201627.85</w:t>
                              </w:r>
                            </w:p>
                          </w:txbxContent>
                        </v:textbox>
                      </v:shape>
                      <v:shape id="文本框 21" o:spid="_x0000_s1026" o:spt="202" type="#_x0000_t202" style="position:absolute;left:9220;top:653211;height:482;width:1399;"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286245.37</w:t>
                              </w:r>
                            </w:p>
                          </w:txbxContent>
                        </v:textbox>
                      </v:shape>
                      <v:shape id="文本框 22" o:spid="_x0000_s1026" o:spt="202" type="#_x0000_t202" style="position:absolute;left:9649;top:654171;height:482;width:1399;"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1735382.48</w:t>
                              </w:r>
                            </w:p>
                          </w:txbxContent>
                        </v:textbox>
                      </v:shape>
                    </v:group>
                  </w:pict>
                </mc:Fallback>
              </mc:AlternateContent>
            </w:r>
          </w:p>
          <w:p>
            <w:pPr>
              <w:widowControl w:val="0"/>
              <w:spacing w:after="120" w:line="240" w:lineRule="auto"/>
              <w:ind w:firstLine="0" w:firstLineChars="0"/>
              <w:jc w:val="both"/>
              <w:textAlignment w:val="auto"/>
              <w:rPr>
                <w:rFonts w:hint="default"/>
                <w:color w:val="auto"/>
                <w:lang w:val="en-US" w:eastAsia="zh-CN"/>
              </w:rPr>
            </w:pPr>
          </w:p>
          <w:p>
            <w:pPr>
              <w:widowControl w:val="0"/>
              <w:spacing w:after="120" w:line="240" w:lineRule="auto"/>
              <w:ind w:firstLine="0" w:firstLineChars="0"/>
              <w:jc w:val="both"/>
              <w:textAlignment w:val="auto"/>
              <w:rPr>
                <w:rFonts w:hint="default"/>
                <w:color w:val="auto"/>
                <w:lang w:val="en-US" w:eastAsia="zh-CN"/>
              </w:rPr>
            </w:pPr>
          </w:p>
          <w:p>
            <w:pPr>
              <w:widowControl w:val="0"/>
              <w:spacing w:after="120" w:line="240" w:lineRule="auto"/>
              <w:ind w:firstLine="0" w:firstLineChars="0"/>
              <w:jc w:val="both"/>
              <w:textAlignment w:val="auto"/>
              <w:rPr>
                <w:rFonts w:hint="default"/>
                <w:color w:val="auto"/>
                <w:lang w:val="en-US" w:eastAsia="zh-CN"/>
              </w:rPr>
            </w:pPr>
          </w:p>
          <w:p>
            <w:pPr>
              <w:widowControl w:val="0"/>
              <w:spacing w:after="120" w:line="240" w:lineRule="auto"/>
              <w:ind w:firstLine="0" w:firstLineChars="0"/>
              <w:jc w:val="both"/>
              <w:textAlignment w:val="auto"/>
              <w:rPr>
                <w:rFonts w:hint="default"/>
                <w:color w:val="auto"/>
                <w:lang w:val="en-US" w:eastAsia="zh-CN"/>
              </w:rPr>
            </w:pPr>
          </w:p>
          <w:p>
            <w:pPr>
              <w:widowControl w:val="0"/>
              <w:spacing w:after="120" w:line="240" w:lineRule="auto"/>
              <w:ind w:firstLine="0" w:firstLineChars="0"/>
              <w:jc w:val="both"/>
              <w:textAlignment w:val="auto"/>
              <w:rPr>
                <w:rFonts w:hint="default"/>
                <w:color w:val="auto"/>
                <w:lang w:val="en-US" w:eastAsia="zh-CN"/>
              </w:rPr>
            </w:pPr>
          </w:p>
          <w:p>
            <w:pPr>
              <w:widowControl w:val="0"/>
              <w:autoSpaceDE w:val="0"/>
              <w:autoSpaceDN w:val="0"/>
              <w:adjustRightInd/>
              <w:spacing w:line="440" w:lineRule="exact"/>
              <w:ind w:firstLine="482" w:firstLineChars="200"/>
              <w:jc w:val="center"/>
              <w:rPr>
                <w:rFonts w:hint="default"/>
                <w:b/>
                <w:bCs/>
                <w:color w:val="auto"/>
                <w:sz w:val="24"/>
                <w:szCs w:val="24"/>
                <w:lang w:val="en-US" w:eastAsia="zh-CN"/>
              </w:rPr>
            </w:pPr>
            <w:r>
              <w:rPr>
                <w:rFonts w:hint="default"/>
                <w:b/>
                <w:bCs/>
                <w:color w:val="auto"/>
                <w:sz w:val="24"/>
                <w:szCs w:val="24"/>
                <w:lang w:val="en-US" w:eastAsia="zh-CN"/>
              </w:rPr>
              <w:t>图</w:t>
            </w:r>
            <w:r>
              <w:rPr>
                <w:rFonts w:hint="eastAsia"/>
                <w:b/>
                <w:bCs/>
                <w:color w:val="auto"/>
                <w:sz w:val="24"/>
                <w:szCs w:val="24"/>
                <w:lang w:val="en-US" w:eastAsia="zh-CN"/>
              </w:rPr>
              <w:t>4-1</w:t>
            </w:r>
            <w:r>
              <w:rPr>
                <w:rFonts w:hint="default"/>
                <w:b/>
                <w:bCs/>
                <w:color w:val="auto"/>
                <w:sz w:val="24"/>
                <w:szCs w:val="24"/>
                <w:lang w:val="en-US" w:eastAsia="zh-CN"/>
              </w:rPr>
              <w:t xml:space="preserve">    施工期土石方平衡图，单位：m</w:t>
            </w:r>
            <w:r>
              <w:rPr>
                <w:rFonts w:hint="default"/>
                <w:b/>
                <w:bCs/>
                <w:color w:val="auto"/>
                <w:sz w:val="24"/>
                <w:szCs w:val="24"/>
                <w:vertAlign w:val="superscript"/>
                <w:lang w:val="en-US" w:eastAsia="zh-CN"/>
              </w:rPr>
              <w:t>3</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治理措施：土方送至政府部门指定填埋场进行填埋。</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4 \* GB3 </w:instrText>
            </w:r>
            <w:r>
              <w:rPr>
                <w:rFonts w:hint="default"/>
                <w:color w:val="auto"/>
                <w:sz w:val="24"/>
                <w:szCs w:val="24"/>
              </w:rPr>
              <w:fldChar w:fldCharType="separate"/>
            </w:r>
            <w:r>
              <w:rPr>
                <w:rFonts w:hint="default"/>
                <w:color w:val="auto"/>
                <w:sz w:val="24"/>
                <w:szCs w:val="24"/>
              </w:rPr>
              <w:t>④</w:t>
            </w:r>
            <w:r>
              <w:rPr>
                <w:rFonts w:hint="default"/>
                <w:color w:val="auto"/>
                <w:sz w:val="24"/>
                <w:szCs w:val="24"/>
              </w:rPr>
              <w:fldChar w:fldCharType="end"/>
            </w:r>
            <w:r>
              <w:rPr>
                <w:rFonts w:hint="default"/>
                <w:color w:val="auto"/>
                <w:sz w:val="24"/>
                <w:szCs w:val="24"/>
              </w:rPr>
              <w:t>废包装材料</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施工期一般包装材料产生量约1t，集中收集回收外卖处理；罐体涂装会产生废涂料、油漆桶，产生量约0.8t，交由有资质的单位统一处置。</w:t>
            </w:r>
          </w:p>
          <w:p>
            <w:pPr>
              <w:keepNext w:val="0"/>
              <w:keepLines w:val="0"/>
              <w:pageBreakBefore w:val="0"/>
              <w:kinsoku/>
              <w:wordWrap/>
              <w:overflowPunct/>
              <w:topLinePunct w:val="0"/>
              <w:autoSpaceDE/>
              <w:autoSpaceDN/>
              <w:bidi w:val="0"/>
              <w:adjustRightInd/>
              <w:snapToGrid/>
              <w:spacing w:after="0" w:line="440" w:lineRule="exact"/>
              <w:ind w:firstLine="480" w:firstLineChars="200"/>
              <w:jc w:val="both"/>
              <w:textAlignment w:val="baseline"/>
              <w:rPr>
                <w:rFonts w:hint="default"/>
                <w:color w:val="auto"/>
                <w:sz w:val="24"/>
                <w:szCs w:val="24"/>
                <w:lang w:val="en-US" w:eastAsia="zh-CN"/>
              </w:rPr>
            </w:pPr>
            <w:r>
              <w:rPr>
                <w:rFonts w:hint="default"/>
                <w:color w:val="auto"/>
                <w:sz w:val="24"/>
                <w:szCs w:val="24"/>
                <w:lang w:val="en-US" w:eastAsia="zh-CN"/>
              </w:rPr>
              <w:t>治理措施：包装材料集中收集回收外卖处理；罐体涂装会产生废涂料、油漆桶交由有资质的单位统一处置。</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5 \* GB3 </w:instrText>
            </w:r>
            <w:r>
              <w:rPr>
                <w:rFonts w:hint="default"/>
                <w:color w:val="auto"/>
                <w:sz w:val="24"/>
                <w:szCs w:val="24"/>
              </w:rPr>
              <w:fldChar w:fldCharType="separate"/>
            </w:r>
            <w:r>
              <w:rPr>
                <w:rFonts w:hint="default"/>
                <w:color w:val="auto"/>
                <w:sz w:val="24"/>
                <w:szCs w:val="24"/>
              </w:rPr>
              <w:t>⑤</w:t>
            </w:r>
            <w:r>
              <w:rPr>
                <w:rFonts w:hint="default"/>
                <w:color w:val="auto"/>
                <w:sz w:val="24"/>
                <w:szCs w:val="24"/>
              </w:rPr>
              <w:fldChar w:fldCharType="end"/>
            </w:r>
            <w:r>
              <w:rPr>
                <w:rFonts w:hint="default"/>
                <w:color w:val="auto"/>
                <w:sz w:val="24"/>
                <w:szCs w:val="24"/>
              </w:rPr>
              <w:t>生活垃圾</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施工期施工人员平均每天约为30人，项目建设施工期按300天计，施工人员将产生一定量的生活垃圾，项目不在工地设生活营地，工地生活垃圾按0.1kg/人·d计，产生量约为3kg/d。施工期生活垃圾产生量约0.9t。</w:t>
            </w:r>
          </w:p>
          <w:p>
            <w:pPr>
              <w:keepNext w:val="0"/>
              <w:keepLines w:val="0"/>
              <w:pageBreakBefore w:val="0"/>
              <w:kinsoku/>
              <w:wordWrap/>
              <w:overflowPunct/>
              <w:topLinePunct w:val="0"/>
              <w:autoSpaceDE/>
              <w:autoSpaceDN/>
              <w:bidi w:val="0"/>
              <w:adjustRightInd/>
              <w:snapToGrid/>
              <w:spacing w:after="0" w:line="440" w:lineRule="exact"/>
              <w:ind w:firstLine="480" w:firstLineChars="200"/>
              <w:jc w:val="both"/>
              <w:textAlignment w:val="baseline"/>
              <w:rPr>
                <w:rFonts w:hint="default"/>
                <w:color w:val="auto"/>
                <w:sz w:val="24"/>
                <w:szCs w:val="24"/>
                <w:lang w:val="en-US" w:eastAsia="zh-CN"/>
              </w:rPr>
            </w:pPr>
            <w:r>
              <w:rPr>
                <w:rFonts w:hint="default"/>
                <w:color w:val="auto"/>
                <w:sz w:val="24"/>
                <w:szCs w:val="24"/>
                <w:lang w:val="en-US" w:eastAsia="zh-CN"/>
              </w:rPr>
              <w:t>治理措施：日产日清，由环卫部门收集、处理。</w:t>
            </w:r>
          </w:p>
          <w:p>
            <w:pPr>
              <w:pStyle w:val="10"/>
              <w:keepNext w:val="0"/>
              <w:keepLines w:val="0"/>
              <w:pageBreakBefore w:val="0"/>
              <w:widowControl w:val="0"/>
              <w:numPr>
                <w:ilvl w:val="0"/>
                <w:numId w:val="16"/>
              </w:numPr>
              <w:kinsoku/>
              <w:wordWrap/>
              <w:overflowPunct/>
              <w:topLinePunct w:val="0"/>
              <w:autoSpaceDE/>
              <w:autoSpaceDN/>
              <w:bidi w:val="0"/>
              <w:spacing w:line="440" w:lineRule="exact"/>
              <w:ind w:left="-60" w:leftChars="0" w:firstLine="480" w:firstLineChars="0"/>
              <w:textAlignment w:val="auto"/>
              <w:rPr>
                <w:rFonts w:hint="eastAsia"/>
                <w:b/>
                <w:bCs/>
                <w:color w:val="auto"/>
                <w:sz w:val="24"/>
                <w:szCs w:val="24"/>
                <w:lang w:val="en-US" w:eastAsia="zh-CN"/>
              </w:rPr>
            </w:pPr>
            <w:r>
              <w:rPr>
                <w:rFonts w:hint="eastAsia"/>
                <w:b/>
                <w:bCs/>
                <w:color w:val="auto"/>
                <w:sz w:val="24"/>
                <w:szCs w:val="24"/>
                <w:lang w:val="en-US" w:eastAsia="zh-CN"/>
              </w:rPr>
              <w:t>施工期生态环境保护措施</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施工期对生态环境的破坏主要在于基础设施建设、植被还未恢复时由于施工和土方的堆放引起的局部少量水土流失，以及绿地植被覆盖率暂时性的降低等。随着时间的推移，项目绿化建设的完成，区域内植被将逐渐恢复和成长，区域内的生态环境质量将逐步得到改善和提高。</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项目实施工程中造成场地内土质结构松散，易被雨水冲刷造成水土流失，另外土方临时堆场若未及时清运以及对堆场进行覆盖将由于雨水冲刷造成水土流失。施工时采取修建挡土墙、排水沟、对土方临时堆场覆盖塑料布等措施，并对施工期间产生的弃土及时清运，可有效防止水土流失。</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为了有效的控制施工期生态环境影响，评价要求施工单位必须采取以下防治措施：</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施工要求：</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（1）尽可能避开雨天开挖施工；</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（2）在施工作业过程中，不得随意开挖，尽量减少对植被的破坏，高大树木带土移栽，不得乱砍滥伐，保护水土资源；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（3）强化生态环境保护意识，严格控制施工作业区，不得随意扩大范围，必须减少对附近植被和道路的破坏；</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（4）施工单位必须办《建筑垃圾处置许可证》，严禁无证开挖；</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（5）对于排弃的开挖方，减少临时堆放和不必要的转运过程，直接用于就近回填，尽可能与市政建设和景观要求结合，就近造景，采取植物措施绿化。</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临时防护：</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（1）在基础清理开挖时，为防止开挖土方进入施工区外，在开挖线外缘一侧用编织袋装清理表层土临时拦挡；</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（2）对于土方临时堆放场做好围栏围护及表面用塑料薄膜覆盖；</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（3）临时堆放场地周围设置导流明渠，将雨水引导到沉淀池后再排入城市雨水管网，避免雨水的冲涮；</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（4）对于开挖的土方及时清运，控制废弃土石和回填土临时堆放场占地面积和堆放量；</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6、其他环境影响分析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（1）达州市金博士水业有限公司</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b w:val="0"/>
                <w:bCs w:val="0"/>
                <w:caps w:val="0"/>
                <w:color w:val="auto"/>
                <w:kern w:val="2"/>
                <w:sz w:val="24"/>
                <w:szCs w:val="24"/>
                <w:highlight w:val="none"/>
                <w:lang w:val="en-US" w:eastAsia="zh-CN" w:bidi="ar-SA"/>
              </w:rPr>
              <w:t>达州市金博士水业有限公司位于库区西侧120m处，主要从事天然桶（瓶）装水的生产和销售，水源来自周边矿山矿井涌水，目前该公司处于停产状态。本项目施工期废气、废水、噪声、固废等均采取相应的治理措施，不会对该公司产生影响。</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（2）双新公路</w:t>
            </w: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default"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原双新公路，拟将双新公路进行改线，改线后的双线公路道路宽15米，双新公路改线完成后，改线线路图见图1-9。双新公路改线后可满足达州市殡仪馆及公墓项目的需求，且项目西侧新建道路连接改线后双新公路，可满足本项目运输需求。</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（3）泄洪沟</w:t>
            </w: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项目所在区域占用了石门河，为减少地质灾害的发生，规划在项目用地西侧现状河沟处设置泄洪沟，本次评价建议针对该项目做行洪论证报告，后续事宜以论证报告为准。泄洪沟位置见图1-11。</w:t>
            </w: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both"/>
              <w:textAlignment w:val="auto"/>
              <w:rPr>
                <w:rFonts w:hint="default"/>
                <w:color w:val="auto"/>
                <w:lang w:val="en-US" w:eastAsia="zh-CN"/>
              </w:rPr>
            </w:pPr>
          </w:p>
        </w:tc>
      </w:tr>
    </w:tbl>
    <w:p>
      <w:pPr>
        <w:adjustRightInd w:val="0"/>
        <w:snapToGrid w:val="0"/>
        <w:jc w:val="center"/>
        <w:rPr>
          <w:rFonts w:hint="eastAsia" w:ascii="宋体" w:hAnsi="宋体" w:cs="宋体"/>
          <w:b/>
          <w:bCs w:val="0"/>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5" w:hRule="atLeast"/>
          <w:jc w:val="center"/>
        </w:trPr>
        <w:tc>
          <w:tcPr>
            <w:tcW w:w="619" w:type="dxa"/>
            <w:noWrap w:val="0"/>
            <w:tcMar>
              <w:left w:w="28" w:type="dxa"/>
              <w:right w:w="28" w:type="dxa"/>
            </w:tcMar>
            <w:vAlign w:val="center"/>
          </w:tcPr>
          <w:p>
            <w:pPr>
              <w:adjustRightInd w:val="0"/>
              <w:snapToGrid w:val="0"/>
              <w:jc w:val="center"/>
              <w:rPr>
                <w:rFonts w:ascii="宋体" w:hAnsi="宋体" w:cs="宋体"/>
                <w:bCs/>
                <w:color w:val="auto"/>
                <w:szCs w:val="21"/>
              </w:rPr>
            </w:pPr>
            <w:r>
              <w:rPr>
                <w:rFonts w:hint="eastAsia" w:ascii="宋体" w:hAnsi="宋体" w:cs="宋体"/>
                <w:b/>
                <w:bCs w:val="0"/>
                <w:color w:val="auto"/>
                <w:szCs w:val="21"/>
              </w:rPr>
              <w:t>运营期环境影响和保护措施</w:t>
            </w:r>
          </w:p>
        </w:tc>
        <w:tc>
          <w:tcPr>
            <w:tcW w:w="82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default" w:ascii="Times New Roman" w:hAnsi="Times New Roman" w:cs="Times New Roman"/>
                <w:b/>
                <w:bCs w:val="0"/>
                <w:color w:val="auto"/>
                <w:spacing w:val="-10"/>
                <w:sz w:val="24"/>
                <w:szCs w:val="24"/>
                <w:lang w:val="en-US" w:eastAsia="zh-CN"/>
              </w:rPr>
              <w:t>1、废气</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本项目废气主要为卸油、储存、发油等作业产生的油气（非甲烷总烃），食堂产生的油烟，化验室产生的化验废气，污水处理站产生的废气，柴油发电机产生的废气，汽车运输产生的车辆尾气。</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b/>
                <w:bCs/>
                <w:color w:val="auto"/>
                <w:sz w:val="24"/>
                <w:szCs w:val="24"/>
                <w:lang w:val="en-US" w:eastAsia="zh-CN"/>
              </w:rPr>
            </w:pPr>
            <w:r>
              <w:rPr>
                <w:rFonts w:hint="eastAsia" w:ascii="Times New Roman" w:hAnsi="Times New Roman" w:eastAsia="宋体" w:cs="Times New Roman"/>
                <w:color w:val="auto"/>
                <w:sz w:val="24"/>
                <w:szCs w:val="24"/>
                <w:lang w:val="en-US" w:eastAsia="zh-CN"/>
              </w:rPr>
              <w:t>项目设置油气回收装置，仅对汽油装车废气（含应急汽油公路收油废气）、汽油扫仓废气进行油气回收，所有储罐（内浮顶油罐）及柴油发油都不进行回收。</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rFonts w:hint="eastAsia"/>
                <w:b/>
                <w:bCs/>
                <w:color w:val="auto"/>
                <w:sz w:val="24"/>
                <w:szCs w:val="24"/>
                <w:lang w:val="en-US" w:eastAsia="zh-CN"/>
              </w:rPr>
              <w:t>卸油废气</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①卸油过程废气</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本项目卸车采用“鹤管+软管”密闭卸车，罐车顶部气相口关闭，卸车过程无废气产生。</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②汽油扫仓废气</w:t>
            </w:r>
          </w:p>
          <w:p>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w:t>
            </w:r>
            <w:r>
              <w:rPr>
                <w:rFonts w:hint="default" w:ascii="Times New Roman" w:hAnsi="Times New Roman" w:eastAsia="宋体" w:cs="Times New Roman"/>
                <w:color w:val="auto"/>
                <w:sz w:val="24"/>
                <w:szCs w:val="24"/>
                <w:lang w:val="en-US" w:eastAsia="zh-CN"/>
              </w:rPr>
              <w:t>据《排污许可证申请与核发技术规范 储油库、加油站》（HJ1118-2020）排放量计算要求，</w:t>
            </w:r>
            <w:r>
              <w:rPr>
                <w:rFonts w:hint="eastAsia" w:ascii="Times New Roman" w:hAnsi="Times New Roman" w:eastAsia="宋体" w:cs="Times New Roman"/>
                <w:color w:val="auto"/>
                <w:sz w:val="24"/>
                <w:szCs w:val="24"/>
                <w:lang w:val="en-US" w:eastAsia="zh-CN"/>
              </w:rPr>
              <w:t>汽油扫仓</w:t>
            </w:r>
            <w:r>
              <w:rPr>
                <w:rFonts w:hint="default" w:ascii="Times New Roman" w:hAnsi="Times New Roman" w:eastAsia="宋体" w:cs="Times New Roman"/>
                <w:color w:val="auto"/>
                <w:sz w:val="24"/>
                <w:szCs w:val="24"/>
                <w:lang w:val="en-US" w:eastAsia="zh-CN"/>
              </w:rPr>
              <w:t>过程VOCs排放量采用《石化行业VOCs</w:t>
            </w:r>
            <w:r>
              <w:rPr>
                <w:rFonts w:hint="eastAsia" w:ascii="Times New Roman" w:hAnsi="Times New Roman" w:eastAsia="宋体" w:cs="Times New Roman"/>
                <w:color w:val="auto"/>
                <w:sz w:val="24"/>
                <w:szCs w:val="24"/>
                <w:lang w:val="en-US" w:eastAsia="zh-CN"/>
              </w:rPr>
              <w:t>污染</w:t>
            </w:r>
            <w:r>
              <w:rPr>
                <w:rFonts w:hint="default" w:ascii="Times New Roman" w:hAnsi="Times New Roman" w:eastAsia="宋体" w:cs="Times New Roman"/>
                <w:color w:val="auto"/>
                <w:sz w:val="24"/>
                <w:szCs w:val="24"/>
                <w:lang w:val="en-US" w:eastAsia="zh-CN"/>
              </w:rPr>
              <w:t>源排查工作指南》（环办</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104号）中公式法计算，计算公式如下：</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rFonts w:hint="default"/>
                <w:b/>
                <w:bCs/>
                <w:color w:val="auto"/>
                <w:sz w:val="24"/>
                <w:szCs w:val="24"/>
                <w:lang w:val="en-US" w:eastAsia="zh-CN"/>
              </w:rPr>
            </w:pPr>
            <w:r>
              <w:rPr>
                <w:color w:val="auto"/>
              </w:rPr>
              <w:drawing>
                <wp:inline distT="0" distB="0" distL="114300" distR="114300">
                  <wp:extent cx="1639570" cy="843280"/>
                  <wp:effectExtent l="0" t="0" r="17780" b="1397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29"/>
                          <a:stretch>
                            <a:fillRect/>
                          </a:stretch>
                        </pic:blipFill>
                        <pic:spPr>
                          <a:xfrm>
                            <a:off x="0" y="0"/>
                            <a:ext cx="1639570" cy="843280"/>
                          </a:xfrm>
                          <a:prstGeom prst="rect">
                            <a:avLst/>
                          </a:prstGeom>
                          <a:noFill/>
                          <a:ln>
                            <a:noFill/>
                          </a:ln>
                        </pic:spPr>
                      </pic:pic>
                    </a:graphicData>
                  </a:graphic>
                </wp:inline>
              </w:drawing>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L</w:t>
            </w:r>
            <w:r>
              <w:rPr>
                <w:rFonts w:hint="eastAsia" w:ascii="Times New Roman" w:hAnsi="Times New Roman" w:eastAsia="宋体" w:cs="Times New Roman"/>
                <w:color w:val="auto"/>
                <w:w w:val="100"/>
                <w:kern w:val="2"/>
                <w:sz w:val="24"/>
                <w:szCs w:val="24"/>
                <w:vertAlign w:val="subscript"/>
                <w:lang w:val="en-US" w:eastAsia="zh-CN" w:bidi="ar-SA"/>
              </w:rPr>
              <w:t>L</w:t>
            </w:r>
            <w:r>
              <w:rPr>
                <w:rFonts w:hint="default" w:ascii="Times New Roman" w:hAnsi="Times New Roman" w:eastAsia="宋体" w:cs="Times New Roman"/>
                <w:color w:val="auto"/>
                <w:w w:val="100"/>
                <w:kern w:val="2"/>
                <w:sz w:val="24"/>
                <w:szCs w:val="24"/>
                <w:lang w:val="en-US" w:eastAsia="zh-CN" w:bidi="ar-SA"/>
              </w:rPr>
              <w:t>—装载损耗排放因子，kg/m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V—</w:t>
            </w:r>
            <w:r>
              <w:rPr>
                <w:rFonts w:hint="eastAsia" w:ascii="Times New Roman" w:hAnsi="Times New Roman" w:eastAsia="宋体" w:cs="Times New Roman"/>
                <w:color w:val="auto"/>
                <w:w w:val="100"/>
                <w:kern w:val="2"/>
                <w:sz w:val="24"/>
                <w:szCs w:val="24"/>
                <w:lang w:val="en-US" w:eastAsia="zh-CN" w:bidi="ar-SA"/>
              </w:rPr>
              <w:t>物料周转量</w:t>
            </w:r>
            <w:r>
              <w:rPr>
                <w:rFonts w:hint="default" w:ascii="Times New Roman" w:hAnsi="Times New Roman" w:eastAsia="宋体" w:cs="Times New Roman"/>
                <w:color w:val="auto"/>
                <w:w w:val="100"/>
                <w:kern w:val="2"/>
                <w:sz w:val="24"/>
                <w:szCs w:val="24"/>
                <w:lang w:val="en-US" w:eastAsia="zh-CN" w:bidi="ar-SA"/>
              </w:rPr>
              <w:t>，m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vertAlign w:val="baseline"/>
                <w:lang w:val="en-US" w:eastAsia="zh-CN" w:bidi="ar-SA"/>
              </w:rPr>
              <w:t>/a</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r>
              <w:rPr>
                <w:rFonts w:hint="default" w:ascii="Times New Roman" w:hAnsi="Times New Roman" w:eastAsia="宋体" w:cs="Times New Roman"/>
                <w:color w:val="auto"/>
                <w:w w:val="100"/>
                <w:kern w:val="2"/>
                <w:sz w:val="24"/>
                <w:szCs w:val="24"/>
                <w:lang w:val="en-US" w:eastAsia="zh-CN" w:bidi="ar-SA"/>
              </w:rPr>
              <w:t>——总控制效率，%</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收集</w:t>
            </w:r>
            <w:r>
              <w:rPr>
                <w:rFonts w:hint="default" w:ascii="Times New Roman" w:hAnsi="Times New Roman" w:eastAsia="宋体" w:cs="Times New Roman"/>
                <w:color w:val="auto"/>
                <w:w w:val="100"/>
                <w:kern w:val="2"/>
                <w:sz w:val="24"/>
                <w:szCs w:val="24"/>
                <w:lang w:val="en-US" w:eastAsia="zh-CN" w:bidi="ar-SA"/>
              </w:rPr>
              <w:t>——收集效率，%</w:t>
            </w:r>
            <w:r>
              <w:rPr>
                <w:rFonts w:hint="eastAsia" w:ascii="Times New Roman" w:hAnsi="Times New Roman" w:eastAsia="宋体" w:cs="Times New Roman"/>
                <w:color w:val="auto"/>
                <w:w w:val="100"/>
                <w:kern w:val="2"/>
                <w:sz w:val="24"/>
                <w:szCs w:val="24"/>
                <w:lang w:val="en-US" w:eastAsia="zh-CN" w:bidi="ar-SA"/>
              </w:rPr>
              <w:t>；当真空装载，保持真空度小于-0.37KPa；或罐车与油气收集系统法兰连接、硬管螺栓连接时，则收集效率</w:t>
            </w: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收集</w:t>
            </w:r>
            <w:r>
              <w:rPr>
                <w:rFonts w:hint="eastAsia" w:ascii="Times New Roman" w:hAnsi="Times New Roman" w:eastAsia="宋体" w:cs="Times New Roman"/>
                <w:color w:val="auto"/>
                <w:w w:val="100"/>
                <w:kern w:val="2"/>
                <w:sz w:val="24"/>
                <w:szCs w:val="24"/>
                <w:lang w:val="en-US" w:eastAsia="zh-CN" w:bidi="ar-SA"/>
              </w:rPr>
              <w:t>取100%。</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去除</w:t>
            </w:r>
            <w:r>
              <w:rPr>
                <w:rFonts w:hint="eastAsia" w:ascii="Times New Roman" w:hAnsi="Times New Roman" w:eastAsia="宋体" w:cs="Times New Roman"/>
                <w:color w:val="auto"/>
                <w:w w:val="100"/>
                <w:kern w:val="2"/>
                <w:sz w:val="24"/>
                <w:szCs w:val="24"/>
                <w:lang w:val="en-US" w:eastAsia="zh-CN" w:bidi="ar-SA"/>
              </w:rPr>
              <w:t>——</w:t>
            </w:r>
            <w:r>
              <w:rPr>
                <w:rFonts w:hint="default" w:ascii="Times New Roman" w:hAnsi="Times New Roman" w:eastAsia="宋体" w:cs="Times New Roman"/>
                <w:color w:val="auto"/>
                <w:w w:val="100"/>
                <w:kern w:val="2"/>
                <w:sz w:val="24"/>
                <w:szCs w:val="24"/>
                <w:lang w:val="en-US" w:eastAsia="zh-CN" w:bidi="ar-SA"/>
              </w:rPr>
              <w:t>去除效率，%</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投用</w:t>
            </w:r>
            <w:r>
              <w:rPr>
                <w:rFonts w:hint="default" w:ascii="Times New Roman" w:hAnsi="Times New Roman" w:eastAsia="宋体" w:cs="Times New Roman"/>
                <w:color w:val="auto"/>
                <w:w w:val="100"/>
                <w:kern w:val="2"/>
                <w:sz w:val="24"/>
                <w:szCs w:val="24"/>
                <w:lang w:val="en-US" w:eastAsia="zh-CN" w:bidi="ar-SA"/>
              </w:rPr>
              <w:t>——</w:t>
            </w:r>
            <w:r>
              <w:rPr>
                <w:rFonts w:hint="eastAsia" w:ascii="Times New Roman" w:hAnsi="Times New Roman" w:eastAsia="宋体" w:cs="Times New Roman"/>
                <w:color w:val="auto"/>
                <w:w w:val="100"/>
                <w:kern w:val="2"/>
                <w:sz w:val="24"/>
                <w:szCs w:val="24"/>
                <w:lang w:val="en-US" w:eastAsia="zh-CN" w:bidi="ar-SA"/>
              </w:rPr>
              <w:t>投用</w:t>
            </w:r>
            <w:r>
              <w:rPr>
                <w:rFonts w:hint="default" w:ascii="Times New Roman" w:hAnsi="Times New Roman" w:eastAsia="宋体" w:cs="Times New Roman"/>
                <w:color w:val="auto"/>
                <w:w w:val="100"/>
                <w:kern w:val="2"/>
                <w:sz w:val="24"/>
                <w:szCs w:val="24"/>
                <w:lang w:val="en-US" w:eastAsia="zh-CN" w:bidi="ar-SA"/>
              </w:rPr>
              <w:t>效率，%</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w w:val="100"/>
                <w:kern w:val="2"/>
                <w:sz w:val="24"/>
                <w:szCs w:val="24"/>
                <w:lang w:val="en-US" w:eastAsia="zh-CN" w:bidi="ar-SA"/>
              </w:rPr>
            </w:pPr>
            <w:r>
              <w:rPr>
                <w:color w:val="auto"/>
              </w:rPr>
              <w:drawing>
                <wp:inline distT="0" distB="0" distL="114300" distR="114300">
                  <wp:extent cx="753745" cy="293370"/>
                  <wp:effectExtent l="0" t="0" r="8255" b="1143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30"/>
                          <a:stretch>
                            <a:fillRect/>
                          </a:stretch>
                        </pic:blipFill>
                        <pic:spPr>
                          <a:xfrm>
                            <a:off x="0" y="0"/>
                            <a:ext cx="753745" cy="293370"/>
                          </a:xfrm>
                          <a:prstGeom prst="rect">
                            <a:avLst/>
                          </a:prstGeom>
                          <a:noFill/>
                          <a:ln>
                            <a:noFill/>
                          </a:ln>
                        </pic:spPr>
                      </pic:pic>
                    </a:graphicData>
                  </a:graphic>
                </wp:inline>
              </w:drawing>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S—饱和因子，代表排出的挥发物料接近饱和的程度</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C</w:t>
            </w:r>
            <w:r>
              <w:rPr>
                <w:rFonts w:hint="eastAsia" w:ascii="Times New Roman" w:hAnsi="Times New Roman" w:eastAsia="宋体" w:cs="Times New Roman"/>
                <w:color w:val="auto"/>
                <w:w w:val="100"/>
                <w:kern w:val="2"/>
                <w:sz w:val="24"/>
                <w:szCs w:val="24"/>
                <w:vertAlign w:val="subscript"/>
                <w:lang w:val="en-US" w:eastAsia="zh-CN" w:bidi="ar-SA"/>
              </w:rPr>
              <w:t>0</w:t>
            </w:r>
            <w:r>
              <w:rPr>
                <w:rFonts w:hint="default" w:ascii="Times New Roman" w:hAnsi="Times New Roman" w:eastAsia="宋体" w:cs="Times New Roman"/>
                <w:color w:val="auto"/>
                <w:w w:val="100"/>
                <w:kern w:val="2"/>
                <w:sz w:val="24"/>
                <w:szCs w:val="24"/>
                <w:lang w:val="en-US" w:eastAsia="zh-CN" w:bidi="ar-SA"/>
              </w:rPr>
              <w:t>—装载罐车气、液相处于平衡状态，将挥发物料看</w:t>
            </w:r>
            <w:r>
              <w:rPr>
                <w:rFonts w:hint="eastAsia" w:ascii="Times New Roman" w:hAnsi="Times New Roman" w:eastAsia="宋体" w:cs="Times New Roman"/>
                <w:color w:val="auto"/>
                <w:w w:val="100"/>
                <w:kern w:val="2"/>
                <w:sz w:val="24"/>
                <w:szCs w:val="24"/>
                <w:lang w:val="en-US" w:eastAsia="zh-CN" w:bidi="ar-SA"/>
              </w:rPr>
              <w:t>作</w:t>
            </w:r>
            <w:r>
              <w:rPr>
                <w:rFonts w:hint="default" w:ascii="Times New Roman" w:hAnsi="Times New Roman" w:eastAsia="宋体" w:cs="Times New Roman"/>
                <w:color w:val="auto"/>
                <w:w w:val="100"/>
                <w:kern w:val="2"/>
                <w:sz w:val="24"/>
                <w:szCs w:val="24"/>
                <w:lang w:val="en-US" w:eastAsia="zh-CN" w:bidi="ar-SA"/>
              </w:rPr>
              <w:t>理想气体下的物料密度，kg/m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default"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bCs/>
                <w:color w:val="auto"/>
                <w:w w:val="100"/>
                <w:kern w:val="2"/>
                <w:sz w:val="24"/>
                <w:szCs w:val="24"/>
                <w:lang w:val="en-US" w:eastAsia="zh-CN" w:bidi="ar-SA"/>
              </w:rPr>
            </w:pPr>
            <w:r>
              <w:rPr>
                <w:color w:val="auto"/>
              </w:rPr>
              <w:drawing>
                <wp:inline distT="0" distB="0" distL="114300" distR="114300">
                  <wp:extent cx="1626870" cy="339090"/>
                  <wp:effectExtent l="0" t="0" r="11430" b="381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31"/>
                          <a:stretch>
                            <a:fillRect/>
                          </a:stretch>
                        </pic:blipFill>
                        <pic:spPr>
                          <a:xfrm>
                            <a:off x="0" y="0"/>
                            <a:ext cx="1626870" cy="339090"/>
                          </a:xfrm>
                          <a:prstGeom prst="rect">
                            <a:avLst/>
                          </a:prstGeom>
                          <a:noFill/>
                          <a:ln>
                            <a:noFill/>
                          </a:ln>
                        </pic:spPr>
                      </pic:pic>
                    </a:graphicData>
                  </a:graphic>
                </wp:inline>
              </w:drawing>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式中：</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——实际装载温度，℃；实际温度为25℃</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P</w:t>
            </w:r>
            <w:r>
              <w:rPr>
                <w:rFonts w:hint="default" w:ascii="Times New Roman" w:hAnsi="Times New Roman" w:eastAsia="宋体" w:cs="Times New Roman"/>
                <w:color w:val="auto"/>
                <w:w w:val="100"/>
                <w:kern w:val="2"/>
                <w:sz w:val="24"/>
                <w:szCs w:val="24"/>
                <w:vertAlign w:val="subscript"/>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——温度</w:t>
            </w: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装载物料的真实蒸气压，</w:t>
            </w:r>
            <w:r>
              <w:rPr>
                <w:rFonts w:hint="default" w:ascii="Times New Roman" w:hAnsi="Times New Roman" w:eastAsia="宋体" w:cs="Times New Roman"/>
                <w:color w:val="auto"/>
                <w:w w:val="100"/>
                <w:kern w:val="2"/>
                <w:sz w:val="24"/>
                <w:szCs w:val="24"/>
                <w:vertAlign w:val="baseline"/>
                <w:lang w:val="en-US" w:eastAsia="zh-CN" w:bidi="ar-SA"/>
              </w:rPr>
              <w:t>Pa</w:t>
            </w:r>
            <w:r>
              <w:rPr>
                <w:rFonts w:hint="eastAsia" w:ascii="Times New Roman" w:hAnsi="Times New Roman" w:eastAsia="宋体" w:cs="Times New Roman"/>
                <w:color w:val="auto"/>
                <w:w w:val="100"/>
                <w:kern w:val="2"/>
                <w:sz w:val="24"/>
                <w:szCs w:val="24"/>
                <w:vertAlign w:val="baseline"/>
                <w:lang w:val="en-US" w:eastAsia="zh-CN" w:bidi="ar-SA"/>
              </w:rPr>
              <w:t>；汽油蒸汽压为38kPa，柴油为0.3kPa；</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M</w:t>
            </w:r>
            <w:r>
              <w:rPr>
                <w:rFonts w:hint="eastAsia" w:ascii="Times New Roman" w:hAnsi="Times New Roman" w:eastAsia="宋体" w:cs="Times New Roman"/>
                <w:color w:val="auto"/>
                <w:w w:val="100"/>
                <w:kern w:val="2"/>
                <w:sz w:val="24"/>
                <w:szCs w:val="24"/>
                <w:vertAlign w:val="baseline"/>
                <w:lang w:val="en-US" w:eastAsia="zh-CN" w:bidi="ar-SA"/>
              </w:rPr>
              <w:t>——油气的分子量，</w:t>
            </w:r>
            <w:r>
              <w:rPr>
                <w:rFonts w:hint="default" w:ascii="Times New Roman" w:hAnsi="Times New Roman" w:eastAsia="宋体" w:cs="Times New Roman"/>
                <w:color w:val="auto"/>
                <w:w w:val="100"/>
                <w:kern w:val="2"/>
                <w:sz w:val="24"/>
                <w:szCs w:val="24"/>
                <w:vertAlign w:val="baseline"/>
                <w:lang w:val="en-US" w:eastAsia="zh-CN" w:bidi="ar-SA"/>
              </w:rPr>
              <w:t>g/mol</w:t>
            </w:r>
            <w:r>
              <w:rPr>
                <w:rFonts w:hint="eastAsia" w:ascii="Times New Roman" w:hAnsi="Times New Roman" w:eastAsia="宋体" w:cs="Times New Roman"/>
                <w:color w:val="auto"/>
                <w:w w:val="100"/>
                <w:kern w:val="2"/>
                <w:sz w:val="24"/>
                <w:szCs w:val="24"/>
                <w:vertAlign w:val="baseline"/>
                <w:lang w:val="en-US" w:eastAsia="zh-CN" w:bidi="ar-SA"/>
              </w:rPr>
              <w:t>；汽油为68g/mol，柴油为130g/mol。</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表4-3  汽油扫仓废气排放计算参数及结果表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258947.37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2.693</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治理措施：</w:t>
            </w:r>
            <w:r>
              <w:rPr>
                <w:rFonts w:hint="default" w:ascii="Times New Roman" w:hAnsi="Times New Roman" w:eastAsia="宋体" w:cs="Times New Roman"/>
                <w:color w:val="auto"/>
                <w:w w:val="100"/>
                <w:kern w:val="2"/>
                <w:sz w:val="24"/>
                <w:szCs w:val="24"/>
                <w:vertAlign w:val="baseline"/>
                <w:lang w:val="en-US" w:eastAsia="zh-CN" w:bidi="ar-SA"/>
              </w:rPr>
              <w:t>本项目</w:t>
            </w:r>
            <w:r>
              <w:rPr>
                <w:rFonts w:hint="eastAsia" w:ascii="Times New Roman" w:hAnsi="Times New Roman" w:eastAsia="宋体" w:cs="Times New Roman"/>
                <w:color w:val="auto"/>
                <w:w w:val="100"/>
                <w:kern w:val="2"/>
                <w:sz w:val="24"/>
                <w:szCs w:val="24"/>
                <w:vertAlign w:val="baseline"/>
                <w:lang w:val="en-US" w:eastAsia="zh-CN" w:bidi="ar-SA"/>
              </w:rPr>
              <w:t>汽油扫仓</w:t>
            </w:r>
            <w:r>
              <w:rPr>
                <w:rFonts w:hint="default" w:ascii="Times New Roman" w:hAnsi="Times New Roman" w:eastAsia="宋体" w:cs="Times New Roman"/>
                <w:color w:val="auto"/>
                <w:w w:val="100"/>
                <w:kern w:val="2"/>
                <w:sz w:val="24"/>
                <w:szCs w:val="24"/>
                <w:vertAlign w:val="baseline"/>
                <w:lang w:val="en-US" w:eastAsia="zh-CN" w:bidi="ar-SA"/>
              </w:rPr>
              <w:t>产生的VOCs采用油气回收装置处理，</w:t>
            </w:r>
            <w:r>
              <w:rPr>
                <w:rFonts w:hint="eastAsia" w:ascii="Times New Roman" w:hAnsi="Times New Roman" w:eastAsia="宋体" w:cs="Times New Roman"/>
                <w:color w:val="auto"/>
                <w:w w:val="100"/>
                <w:kern w:val="2"/>
                <w:sz w:val="24"/>
                <w:szCs w:val="24"/>
                <w:vertAlign w:val="baseline"/>
                <w:lang w:val="en-US" w:eastAsia="zh-CN" w:bidi="ar-SA"/>
              </w:rPr>
              <w:t>扫仓罐</w:t>
            </w:r>
            <w:r>
              <w:rPr>
                <w:rFonts w:hint="default" w:ascii="Times New Roman" w:hAnsi="Times New Roman" w:eastAsia="宋体" w:cs="Times New Roman"/>
                <w:color w:val="auto"/>
                <w:w w:val="100"/>
                <w:kern w:val="2"/>
                <w:sz w:val="24"/>
                <w:szCs w:val="24"/>
                <w:vertAlign w:val="baseline"/>
                <w:lang w:val="en-US" w:eastAsia="zh-CN" w:bidi="ar-SA"/>
              </w:rPr>
              <w:t>与油气回收装置采用法兰连接、硬管螺栓连接，油气收集效率</w:t>
            </w:r>
            <w:r>
              <w:rPr>
                <w:rFonts w:hint="eastAsia" w:ascii="Times New Roman" w:hAnsi="Times New Roman" w:eastAsia="宋体" w:cs="Times New Roman"/>
                <w:color w:val="auto"/>
                <w:w w:val="100"/>
                <w:kern w:val="2"/>
                <w:sz w:val="24"/>
                <w:szCs w:val="24"/>
                <w:vertAlign w:val="baseline"/>
                <w:lang w:val="en-US" w:eastAsia="zh-CN" w:bidi="ar-SA"/>
              </w:rPr>
              <w:t>取</w:t>
            </w:r>
            <w:r>
              <w:rPr>
                <w:rFonts w:hint="default" w:ascii="Times New Roman" w:hAnsi="Times New Roman" w:eastAsia="宋体" w:cs="Times New Roman"/>
                <w:color w:val="auto"/>
                <w:w w:val="100"/>
                <w:kern w:val="2"/>
                <w:sz w:val="24"/>
                <w:szCs w:val="24"/>
                <w:vertAlign w:val="baseline"/>
                <w:lang w:val="en-US" w:eastAsia="zh-CN" w:bidi="ar-SA"/>
              </w:rPr>
              <w:t>100%，收集后的油气进入油气回收装置处理</w:t>
            </w:r>
            <w:r>
              <w:rPr>
                <w:rFonts w:hint="eastAsia" w:ascii="Times New Roman" w:hAnsi="Times New Roman" w:eastAsia="宋体" w:cs="Times New Roman"/>
                <w:color w:val="auto"/>
                <w:w w:val="100"/>
                <w:kern w:val="2"/>
                <w:sz w:val="24"/>
                <w:szCs w:val="24"/>
                <w:vertAlign w:val="baseline"/>
                <w:lang w:val="en-US" w:eastAsia="zh-CN" w:bidi="ar-SA"/>
              </w:rPr>
              <w:t>（三级冷凝+活性炭吸附）</w:t>
            </w:r>
            <w:r>
              <w:rPr>
                <w:rFonts w:hint="default" w:ascii="Times New Roman" w:hAnsi="Times New Roman" w:eastAsia="宋体" w:cs="Times New Roman"/>
                <w:color w:val="auto"/>
                <w:w w:val="100"/>
                <w:kern w:val="2"/>
                <w:sz w:val="24"/>
                <w:szCs w:val="24"/>
                <w:vertAlign w:val="baseline"/>
                <w:lang w:val="en-US" w:eastAsia="zh-CN" w:bidi="ar-SA"/>
              </w:rPr>
              <w:t>，处理后的油气通过</w:t>
            </w:r>
            <w:r>
              <w:rPr>
                <w:rFonts w:hint="eastAsia" w:ascii="Times New Roman" w:hAnsi="Times New Roman" w:eastAsia="宋体" w:cs="Times New Roman"/>
                <w:color w:val="auto"/>
                <w:w w:val="100"/>
                <w:kern w:val="2"/>
                <w:sz w:val="24"/>
                <w:szCs w:val="24"/>
                <w:vertAlign w:val="baseline"/>
                <w:lang w:val="en-US" w:eastAsia="zh-CN" w:bidi="ar-SA"/>
              </w:rPr>
              <w:t>20</w:t>
            </w:r>
            <w:r>
              <w:rPr>
                <w:rFonts w:hint="default" w:ascii="Times New Roman" w:hAnsi="Times New Roman" w:eastAsia="宋体" w:cs="Times New Roman"/>
                <w:color w:val="auto"/>
                <w:w w:val="100"/>
                <w:kern w:val="2"/>
                <w:sz w:val="24"/>
                <w:szCs w:val="24"/>
                <w:vertAlign w:val="baseline"/>
                <w:lang w:val="en-US" w:eastAsia="zh-CN" w:bidi="ar-SA"/>
              </w:rPr>
              <w:t>m高DA001排气筒排放，油气回收效率取9</w:t>
            </w:r>
            <w:r>
              <w:rPr>
                <w:rFonts w:hint="eastAsia" w:ascii="Times New Roman" w:hAnsi="Times New Roman" w:eastAsia="宋体" w:cs="Times New Roman"/>
                <w:color w:val="auto"/>
                <w:w w:val="100"/>
                <w:kern w:val="2"/>
                <w:sz w:val="24"/>
                <w:szCs w:val="24"/>
                <w:vertAlign w:val="baseline"/>
                <w:lang w:val="en-US" w:eastAsia="zh-CN" w:bidi="ar-SA"/>
              </w:rPr>
              <w:t>8</w:t>
            </w:r>
            <w:r>
              <w:rPr>
                <w:rFonts w:hint="default" w:ascii="Times New Roman" w:hAnsi="Times New Roman" w:eastAsia="宋体" w:cs="Times New Roman"/>
                <w:color w:val="auto"/>
                <w:w w:val="100"/>
                <w:kern w:val="2"/>
                <w:sz w:val="24"/>
                <w:szCs w:val="24"/>
                <w:vertAlign w:val="baseline"/>
                <w:lang w:val="en-US" w:eastAsia="zh-CN" w:bidi="ar-SA"/>
              </w:rPr>
              <w:t>%，则排放的</w:t>
            </w:r>
            <w:r>
              <w:rPr>
                <w:rFonts w:hint="eastAsia" w:ascii="Times New Roman" w:hAnsi="Times New Roman" w:eastAsia="宋体" w:cs="Times New Roman"/>
                <w:color w:val="auto"/>
                <w:w w:val="100"/>
                <w:kern w:val="2"/>
                <w:sz w:val="24"/>
                <w:szCs w:val="24"/>
                <w:vertAlign w:val="baseline"/>
                <w:lang w:val="en-US" w:eastAsia="zh-CN" w:bidi="ar-SA"/>
              </w:rPr>
              <w:t>VO</w:t>
            </w:r>
            <w:r>
              <w:rPr>
                <w:rFonts w:hint="default" w:ascii="Times New Roman" w:hAnsi="Times New Roman" w:eastAsia="宋体" w:cs="Times New Roman"/>
                <w:color w:val="auto"/>
                <w:w w:val="100"/>
                <w:kern w:val="2"/>
                <w:sz w:val="24"/>
                <w:szCs w:val="24"/>
                <w:vertAlign w:val="baseline"/>
                <w:lang w:val="en-US" w:eastAsia="zh-CN" w:bidi="ar-SA"/>
              </w:rPr>
              <w:t>Cs为</w:t>
            </w:r>
            <w:r>
              <w:rPr>
                <w:rFonts w:hint="eastAsia" w:ascii="Times New Roman" w:hAnsi="Times New Roman" w:eastAsia="宋体" w:cs="Times New Roman"/>
                <w:color w:val="auto"/>
                <w:w w:val="100"/>
                <w:kern w:val="2"/>
                <w:sz w:val="24"/>
                <w:szCs w:val="24"/>
                <w:vertAlign w:val="baseline"/>
                <w:lang w:val="en-US" w:eastAsia="zh-CN" w:bidi="ar-SA"/>
              </w:rPr>
              <w:t>2.693</w:t>
            </w:r>
            <w:r>
              <w:rPr>
                <w:rFonts w:hint="default" w:ascii="Times New Roman" w:hAnsi="Times New Roman" w:eastAsia="宋体" w:cs="Times New Roman"/>
                <w:color w:val="auto"/>
                <w:w w:val="100"/>
                <w:kern w:val="2"/>
                <w:sz w:val="24"/>
                <w:szCs w:val="24"/>
                <w:vertAlign w:val="baseline"/>
                <w:lang w:val="en-US" w:eastAsia="zh-CN" w:bidi="ar-SA"/>
              </w:rPr>
              <w:t>t/a。</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③柴油扫仓废气</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表4-4  柴油扫仓废气排放计算参数及结果表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231529.41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1.878</w:t>
                  </w:r>
                </w:p>
              </w:tc>
            </w:tr>
          </w:tbl>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w w:val="100"/>
                <w:kern w:val="2"/>
                <w:sz w:val="24"/>
                <w:szCs w:val="24"/>
                <w:vertAlign w:val="baseline"/>
                <w:lang w:val="en-US" w:eastAsia="zh-CN" w:bidi="ar-SA"/>
              </w:rPr>
              <w:t>本项目</w:t>
            </w:r>
            <w:r>
              <w:rPr>
                <w:rFonts w:hint="eastAsia" w:ascii="Times New Roman" w:hAnsi="Times New Roman" w:eastAsia="宋体" w:cs="Times New Roman"/>
                <w:color w:val="auto"/>
                <w:w w:val="100"/>
                <w:kern w:val="2"/>
                <w:sz w:val="24"/>
                <w:szCs w:val="24"/>
                <w:vertAlign w:val="baseline"/>
                <w:lang w:val="en-US" w:eastAsia="zh-CN" w:bidi="ar-SA"/>
              </w:rPr>
              <w:t>柴油扫仓过程</w:t>
            </w:r>
            <w:r>
              <w:rPr>
                <w:rFonts w:hint="default" w:ascii="Times New Roman" w:hAnsi="Times New Roman" w:eastAsia="宋体" w:cs="Times New Roman"/>
                <w:color w:val="auto"/>
                <w:w w:val="100"/>
                <w:kern w:val="2"/>
                <w:sz w:val="24"/>
                <w:szCs w:val="24"/>
                <w:vertAlign w:val="baseline"/>
                <w:lang w:val="en-US" w:eastAsia="zh-CN" w:bidi="ar-SA"/>
              </w:rPr>
              <w:t>产生的VOCs</w:t>
            </w:r>
            <w:r>
              <w:rPr>
                <w:rFonts w:hint="eastAsia" w:ascii="Times New Roman" w:hAnsi="Times New Roman" w:eastAsia="宋体" w:cs="Times New Roman"/>
                <w:color w:val="auto"/>
                <w:w w:val="100"/>
                <w:kern w:val="2"/>
                <w:sz w:val="24"/>
                <w:szCs w:val="24"/>
                <w:vertAlign w:val="baseline"/>
                <w:lang w:val="en-US" w:eastAsia="zh-CN" w:bidi="ar-SA"/>
              </w:rPr>
              <w:t>“密闭软管”收集后无组织排放，</w:t>
            </w:r>
            <w:r>
              <w:rPr>
                <w:rFonts w:hint="default" w:ascii="Times New Roman" w:hAnsi="Times New Roman" w:eastAsia="宋体" w:cs="Times New Roman"/>
                <w:color w:val="auto"/>
                <w:w w:val="100"/>
                <w:kern w:val="2"/>
                <w:sz w:val="24"/>
                <w:szCs w:val="24"/>
                <w:vertAlign w:val="baseline"/>
                <w:lang w:val="en-US" w:eastAsia="zh-CN" w:bidi="ar-SA"/>
              </w:rPr>
              <w:t>排放的VOCs为</w:t>
            </w:r>
            <w:r>
              <w:rPr>
                <w:rFonts w:hint="eastAsia" w:ascii="Times New Roman" w:hAnsi="Times New Roman" w:eastAsia="宋体" w:cs="Times New Roman"/>
                <w:color w:val="auto"/>
                <w:w w:val="100"/>
                <w:kern w:val="2"/>
                <w:sz w:val="24"/>
                <w:szCs w:val="24"/>
                <w:vertAlign w:val="baseline"/>
                <w:lang w:val="en-US" w:eastAsia="zh-CN" w:bidi="ar-SA"/>
              </w:rPr>
              <w:t>1.878</w:t>
            </w:r>
            <w:r>
              <w:rPr>
                <w:rFonts w:hint="default" w:ascii="Times New Roman" w:hAnsi="Times New Roman" w:eastAsia="宋体" w:cs="Times New Roman"/>
                <w:color w:val="auto"/>
                <w:w w:val="100"/>
                <w:kern w:val="2"/>
                <w:sz w:val="24"/>
                <w:szCs w:val="24"/>
                <w:vertAlign w:val="baseline"/>
                <w:lang w:val="en-US" w:eastAsia="zh-CN" w:bidi="ar-SA"/>
              </w:rPr>
              <w:t>t/a。</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2</w:t>
            </w:r>
            <w:r>
              <w:rPr>
                <w:rFonts w:hint="eastAsia"/>
                <w:b/>
                <w:bCs/>
                <w:color w:val="auto"/>
                <w:sz w:val="24"/>
                <w:szCs w:val="24"/>
                <w:lang w:eastAsia="zh-CN"/>
              </w:rPr>
              <w:t>）</w:t>
            </w:r>
            <w:r>
              <w:rPr>
                <w:rFonts w:hint="eastAsia"/>
                <w:b/>
                <w:bCs/>
                <w:color w:val="auto"/>
                <w:sz w:val="24"/>
                <w:szCs w:val="24"/>
                <w:lang w:val="en-US" w:eastAsia="zh-CN"/>
              </w:rPr>
              <w:t>储罐储存废气</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①</w:t>
            </w:r>
            <w:r>
              <w:rPr>
                <w:rFonts w:hint="eastAsia"/>
                <w:b/>
                <w:bCs/>
                <w:color w:val="auto"/>
                <w:sz w:val="24"/>
                <w:szCs w:val="24"/>
                <w:lang w:val="en-US" w:eastAsia="zh-CN"/>
              </w:rPr>
              <w:t>大呼吸</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呼吸”是储罐进行收发作业所造成，进料时，由于罐内液体体积增加，罐内气体压力增加，当压力增至机械呼吸阀压力极限时，呼吸阀自动开启排气；当从储罐输出料时，罐内液体体积减少，罐内气体压力降低，当压力降至呼吸阀负压极限时，吸进空气。这种由于输转物料致使储罐排除蒸气和吸入空气所导致的损失叫“大呼吸”损失。储罐“大呼吸”废气产生量参照《石油库节能设计导则》(SH/T3002-2000）附录A内“内浮顶罐”的相关公式进行计算。</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rFonts w:hint="eastAsia"/>
                <w:b/>
                <w:bCs/>
                <w:color w:val="auto"/>
                <w:sz w:val="24"/>
                <w:szCs w:val="24"/>
                <w:lang w:eastAsia="zh-CN"/>
              </w:rPr>
            </w:pPr>
            <w:r>
              <w:rPr>
                <w:color w:val="auto"/>
              </w:rPr>
              <w:drawing>
                <wp:inline distT="0" distB="0" distL="114300" distR="114300">
                  <wp:extent cx="1088390" cy="365125"/>
                  <wp:effectExtent l="0" t="0" r="16510" b="1587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2"/>
                          <a:stretch>
                            <a:fillRect/>
                          </a:stretch>
                        </pic:blipFill>
                        <pic:spPr>
                          <a:xfrm>
                            <a:off x="0" y="0"/>
                            <a:ext cx="1088390" cy="365125"/>
                          </a:xfrm>
                          <a:prstGeom prst="rect">
                            <a:avLst/>
                          </a:prstGeom>
                          <a:noFill/>
                          <a:ln>
                            <a:noFill/>
                          </a:ln>
                        </pic:spPr>
                      </pic:pic>
                    </a:graphicData>
                  </a:graphic>
                </wp:inline>
              </w:drawing>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式中：L</w:t>
            </w:r>
            <w:r>
              <w:rPr>
                <w:rFonts w:hint="eastAsia"/>
                <w:color w:val="auto"/>
                <w:sz w:val="24"/>
                <w:szCs w:val="24"/>
                <w:lang w:val="en-US" w:eastAsia="zh-CN"/>
              </w:rPr>
              <w:t>w</w:t>
            </w:r>
            <w:r>
              <w:rPr>
                <w:rFonts w:hint="default"/>
                <w:color w:val="auto"/>
                <w:sz w:val="24"/>
                <w:szCs w:val="24"/>
                <w:lang w:val="en-US" w:eastAsia="zh-CN"/>
              </w:rPr>
              <w:t>——浮顶罐年大呼吸损耗量(kg/a)；</w:t>
            </w:r>
          </w:p>
          <w:p>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Q</w:t>
            </w:r>
            <w:r>
              <w:rPr>
                <w:rFonts w:hint="default"/>
                <w:color w:val="auto"/>
                <w:sz w:val="24"/>
                <w:szCs w:val="24"/>
                <w:vertAlign w:val="subscript"/>
                <w:lang w:val="en-US" w:eastAsia="zh-CN"/>
              </w:rPr>
              <w:t>1</w:t>
            </w:r>
            <w:r>
              <w:rPr>
                <w:rFonts w:hint="default"/>
                <w:color w:val="auto"/>
                <w:sz w:val="24"/>
                <w:szCs w:val="24"/>
                <w:lang w:val="en-US" w:eastAsia="zh-CN"/>
              </w:rPr>
              <w:t>——油罐年周转量(10</w:t>
            </w:r>
            <w:r>
              <w:rPr>
                <w:rFonts w:hint="default"/>
                <w:color w:val="auto"/>
                <w:sz w:val="24"/>
                <w:szCs w:val="24"/>
                <w:vertAlign w:val="superscript"/>
                <w:lang w:val="en-US" w:eastAsia="zh-CN"/>
              </w:rPr>
              <w:t>3</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/a)；</w:t>
            </w:r>
          </w:p>
          <w:p>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D——油罐直径（m）；</w:t>
            </w:r>
          </w:p>
          <w:p>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ρ</w:t>
            </w:r>
            <w:r>
              <w:rPr>
                <w:rFonts w:hint="default"/>
                <w:color w:val="auto"/>
                <w:sz w:val="24"/>
                <w:szCs w:val="24"/>
                <w:vertAlign w:val="subscript"/>
                <w:lang w:val="en-US" w:eastAsia="zh-CN"/>
              </w:rPr>
              <w:t>Y</w:t>
            </w:r>
            <w:r>
              <w:rPr>
                <w:rFonts w:hint="default"/>
                <w:color w:val="auto"/>
                <w:sz w:val="24"/>
                <w:szCs w:val="24"/>
                <w:lang w:val="en-US" w:eastAsia="zh-CN"/>
              </w:rPr>
              <w:t>——物料的密度</w:t>
            </w:r>
            <w:r>
              <w:rPr>
                <w:rFonts w:hint="eastAsia"/>
                <w:color w:val="auto"/>
                <w:sz w:val="24"/>
                <w:szCs w:val="24"/>
                <w:lang w:val="en-US" w:eastAsia="zh-CN"/>
              </w:rPr>
              <w:t>（</w:t>
            </w:r>
            <w:r>
              <w:rPr>
                <w:rFonts w:hint="default"/>
                <w:color w:val="auto"/>
                <w:sz w:val="24"/>
                <w:szCs w:val="24"/>
                <w:lang w:val="en-US" w:eastAsia="zh-CN"/>
              </w:rPr>
              <w:t>kg/m</w:t>
            </w:r>
            <w:r>
              <w:rPr>
                <w:rFonts w:hint="default"/>
                <w:color w:val="auto"/>
                <w:sz w:val="24"/>
                <w:szCs w:val="24"/>
                <w:vertAlign w:val="superscript"/>
                <w:lang w:val="en-US" w:eastAsia="zh-CN"/>
              </w:rPr>
              <w:t>3</w:t>
            </w:r>
            <w:r>
              <w:rPr>
                <w:rFonts w:hint="eastAsia"/>
                <w:color w:val="auto"/>
                <w:sz w:val="24"/>
                <w:szCs w:val="24"/>
                <w:lang w:val="en-US" w:eastAsia="zh-CN"/>
              </w:rPr>
              <w:t>）</w:t>
            </w:r>
            <w:r>
              <w:rPr>
                <w:rFonts w:hint="default"/>
                <w:color w:val="auto"/>
                <w:sz w:val="24"/>
                <w:szCs w:val="24"/>
                <w:lang w:val="en-US" w:eastAsia="zh-CN"/>
              </w:rPr>
              <w:t>；</w:t>
            </w:r>
          </w:p>
          <w:p>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C——油罐壁的粘附系数(m</w:t>
            </w:r>
            <w:r>
              <w:rPr>
                <w:rFonts w:hint="default"/>
                <w:color w:val="auto"/>
                <w:sz w:val="24"/>
                <w:szCs w:val="24"/>
                <w:vertAlign w:val="superscript"/>
                <w:lang w:val="en-US" w:eastAsia="zh-CN"/>
              </w:rPr>
              <w:t>3</w:t>
            </w:r>
            <w:r>
              <w:rPr>
                <w:rFonts w:hint="default"/>
                <w:color w:val="auto"/>
                <w:sz w:val="24"/>
                <w:szCs w:val="24"/>
                <w:lang w:val="en-US" w:eastAsia="zh-CN"/>
              </w:rPr>
              <w:t>/1000m</w:t>
            </w:r>
            <w:r>
              <w:rPr>
                <w:rFonts w:hint="default"/>
                <w:color w:val="auto"/>
                <w:sz w:val="24"/>
                <w:szCs w:val="24"/>
                <w:vertAlign w:val="superscript"/>
                <w:lang w:val="en-US" w:eastAsia="zh-CN"/>
              </w:rPr>
              <w:t>2</w:t>
            </w:r>
            <w:r>
              <w:rPr>
                <w:rFonts w:hint="default"/>
                <w:color w:val="auto"/>
                <w:sz w:val="24"/>
                <w:szCs w:val="24"/>
                <w:lang w:val="en-US" w:eastAsia="zh-CN"/>
              </w:rPr>
              <w:t>)，根据美国石油学会的试验测定值，取值C=</w:t>
            </w:r>
            <w:r>
              <w:rPr>
                <w:rFonts w:hint="eastAsia"/>
                <w:color w:val="auto"/>
                <w:sz w:val="24"/>
                <w:szCs w:val="24"/>
                <w:lang w:val="en-US" w:eastAsia="zh-CN"/>
              </w:rPr>
              <w:t>0.01284</w:t>
            </w:r>
            <w:r>
              <w:rPr>
                <w:rFonts w:hint="default"/>
                <w:color w:val="auto"/>
                <w:sz w:val="24"/>
                <w:szCs w:val="24"/>
                <w:lang w:val="en-US" w:eastAsia="zh-CN"/>
              </w:rPr>
              <w:t>。</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val="en-US" w:eastAsia="zh-CN"/>
              </w:rPr>
              <w:t>表4-5  内浮顶罐大呼吸耗量表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14"/>
              <w:gridCol w:w="1280"/>
              <w:gridCol w:w="1120"/>
              <w:gridCol w:w="1418"/>
              <w:gridCol w:w="1192"/>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油品</w:t>
                  </w:r>
                </w:p>
              </w:tc>
              <w:tc>
                <w:tcPr>
                  <w:tcW w:w="81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Q年周转量（10</w:t>
                  </w:r>
                  <w:r>
                    <w:rPr>
                      <w:rFonts w:hint="eastAsia" w:ascii="Times New Roman" w:hAnsi="Times New Roman" w:cs="Times New Roman"/>
                      <w:b w:val="0"/>
                      <w:bCs w:val="0"/>
                      <w:color w:val="auto"/>
                      <w:sz w:val="21"/>
                      <w:szCs w:val="21"/>
                      <w:vertAlign w:val="superscript"/>
                      <w:lang w:val="en-US" w:eastAsia="zh-CN"/>
                    </w:rPr>
                    <w:t>4</w:t>
                  </w:r>
                  <w:r>
                    <w:rPr>
                      <w:rFonts w:hint="eastAsia" w:ascii="Times New Roman" w:hAnsi="Times New Roman" w:cs="Times New Roman"/>
                      <w:b w:val="0"/>
                      <w:bCs w:val="0"/>
                      <w:color w:val="auto"/>
                      <w:sz w:val="21"/>
                      <w:szCs w:val="21"/>
                      <w:vertAlign w:val="baseline"/>
                      <w:lang w:val="en-US" w:eastAsia="zh-CN"/>
                    </w:rPr>
                    <w:t>t</w:t>
                  </w:r>
                  <w:r>
                    <w:rPr>
                      <w:rFonts w:hint="default" w:ascii="Times New Roman" w:hAnsi="Times New Roman" w:cs="Times New Roman"/>
                      <w:b w:val="0"/>
                      <w:bCs w:val="0"/>
                      <w:color w:val="auto"/>
                      <w:sz w:val="21"/>
                      <w:szCs w:val="21"/>
                      <w:vertAlign w:val="baseline"/>
                      <w:lang w:val="en-US" w:eastAsia="zh-CN"/>
                    </w:rPr>
                    <w:t>/a）</w:t>
                  </w:r>
                </w:p>
              </w:tc>
              <w:tc>
                <w:tcPr>
                  <w:tcW w:w="79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vertAlign w:val="baseline"/>
                      <w:lang w:val="en-US" w:eastAsia="zh-CN"/>
                    </w:rPr>
                    <w:t>Q年周转量（10</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/a）</w:t>
                  </w:r>
                </w:p>
              </w:tc>
              <w:tc>
                <w:tcPr>
                  <w:tcW w:w="6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ρ</w:t>
                  </w:r>
                  <w:r>
                    <w:rPr>
                      <w:rFonts w:hint="default" w:ascii="Times New Roman" w:hAnsi="Times New Roman" w:eastAsia="宋体" w:cs="Times New Roman"/>
                      <w:color w:val="auto"/>
                      <w:sz w:val="21"/>
                      <w:szCs w:val="21"/>
                      <w:vertAlign w:val="subscript"/>
                      <w:lang w:val="en-US" w:eastAsia="zh-CN"/>
                    </w:rPr>
                    <w:t>Y</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kg/m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default"/>
                      <w:color w:val="auto"/>
                      <w:lang w:val="en-US" w:eastAsia="zh-CN"/>
                    </w:rPr>
                    <w:t>D</w:t>
                  </w:r>
                  <w:r>
                    <w:rPr>
                      <w:rFonts w:hint="eastAsia"/>
                      <w:color w:val="auto"/>
                      <w:lang w:val="en-US" w:eastAsia="zh-CN"/>
                    </w:rPr>
                    <w:t>（m）</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Lw(kg/a)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92#汽油</w:t>
                  </w:r>
                </w:p>
              </w:tc>
              <w:tc>
                <w:tcPr>
                  <w:tcW w:w="816"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11.51</w:t>
                  </w:r>
                </w:p>
              </w:tc>
              <w:tc>
                <w:tcPr>
                  <w:tcW w:w="1302" w:type="dxa"/>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151.45 </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19.5*2</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303.16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val="0"/>
                    <w:spacing w:line="300" w:lineRule="exact"/>
                    <w:jc w:val="center"/>
                    <w:textAlignment w:val="baseline"/>
                    <w:rPr>
                      <w:rFonts w:hint="eastAsia" w:cs="Times New Roman"/>
                      <w:color w:val="auto"/>
                      <w:kern w:val="0"/>
                      <w:szCs w:val="21"/>
                      <w:lang w:val="en-US" w:eastAsia="zh-CN"/>
                    </w:rPr>
                  </w:pPr>
                </w:p>
              </w:tc>
              <w:tc>
                <w:tcPr>
                  <w:tcW w:w="816"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3.45</w:t>
                  </w:r>
                </w:p>
              </w:tc>
              <w:tc>
                <w:tcPr>
                  <w:tcW w:w="1302" w:type="dxa"/>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45.39 </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17*1</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104.23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95#汽油</w:t>
                  </w:r>
                </w:p>
              </w:tc>
              <w:tc>
                <w:tcPr>
                  <w:tcW w:w="816"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3.25</w:t>
                  </w:r>
                </w:p>
              </w:tc>
              <w:tc>
                <w:tcPr>
                  <w:tcW w:w="1302" w:type="dxa"/>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42.76 </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98.19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val="0"/>
                    <w:spacing w:line="300" w:lineRule="exact"/>
                    <w:jc w:val="center"/>
                    <w:textAlignment w:val="baseline"/>
                    <w:rPr>
                      <w:rFonts w:hint="eastAsia" w:cs="Times New Roman"/>
                      <w:color w:val="auto"/>
                      <w:kern w:val="0"/>
                      <w:szCs w:val="21"/>
                      <w:lang w:val="en-US" w:eastAsia="zh-CN"/>
                    </w:rPr>
                  </w:pPr>
                </w:p>
              </w:tc>
              <w:tc>
                <w:tcPr>
                  <w:tcW w:w="816"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1.08</w:t>
                  </w:r>
                </w:p>
              </w:tc>
              <w:tc>
                <w:tcPr>
                  <w:tcW w:w="1302" w:type="dxa"/>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14.21 </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0.1284</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11.5</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482.34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98#汽油</w:t>
                  </w:r>
                </w:p>
              </w:tc>
              <w:tc>
                <w:tcPr>
                  <w:tcW w:w="816"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eastAsia="zh-CN"/>
                    </w:rPr>
                  </w:pPr>
                  <w:r>
                    <w:rPr>
                      <w:rFonts w:hint="eastAsia" w:cs="Times New Roman"/>
                      <w:color w:val="auto"/>
                      <w:kern w:val="0"/>
                      <w:szCs w:val="21"/>
                      <w:lang w:val="en-US" w:eastAsia="zh-CN"/>
                    </w:rPr>
                    <w:t>0.39</w:t>
                  </w:r>
                </w:p>
              </w:tc>
              <w:tc>
                <w:tcPr>
                  <w:tcW w:w="1302" w:type="dxa"/>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5.13 </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11.5</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17.42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0#柴油</w:t>
                  </w:r>
                </w:p>
              </w:tc>
              <w:tc>
                <w:tcPr>
                  <w:tcW w:w="816"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15.14</w:t>
                  </w:r>
                </w:p>
              </w:tc>
              <w:tc>
                <w:tcPr>
                  <w:tcW w:w="1302" w:type="dxa"/>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178.12 </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850</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19.5*2</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398.76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val="0"/>
                    <w:spacing w:line="300" w:lineRule="exact"/>
                    <w:jc w:val="center"/>
                    <w:textAlignment w:val="baseline"/>
                    <w:rPr>
                      <w:rFonts w:hint="eastAsia" w:cs="Times New Roman"/>
                      <w:color w:val="auto"/>
                      <w:kern w:val="0"/>
                      <w:szCs w:val="21"/>
                      <w:lang w:val="en-US" w:eastAsia="zh-CN"/>
                    </w:rPr>
                  </w:pPr>
                </w:p>
              </w:tc>
              <w:tc>
                <w:tcPr>
                  <w:tcW w:w="816"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default" w:cs="Times New Roman"/>
                      <w:color w:val="auto"/>
                      <w:kern w:val="0"/>
                      <w:szCs w:val="21"/>
                      <w:lang w:val="en-US" w:eastAsia="zh-CN"/>
                    </w:rPr>
                    <w:t>4.54</w:t>
                  </w:r>
                </w:p>
              </w:tc>
              <w:tc>
                <w:tcPr>
                  <w:tcW w:w="1302" w:type="dxa"/>
                  <w:vAlign w:val="center"/>
                </w:tcPr>
                <w:p>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53.41 </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850</w:t>
                  </w:r>
                </w:p>
              </w:tc>
              <w:tc>
                <w:tcPr>
                  <w:tcW w:w="88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137.16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8" w:type="pct"/>
                  <w:gridSpan w:val="6"/>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合计</w:t>
                  </w:r>
                </w:p>
              </w:tc>
              <w:tc>
                <w:tcPr>
                  <w:tcW w:w="63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1541.26</w:t>
                  </w:r>
                </w:p>
              </w:tc>
            </w:tr>
          </w:tbl>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由上表可知，项目所有内浮顶罐大呼吸排放量为1.541t/a，其中汽油挥发1.005t/a，柴油挥发0.536t/a。</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②</w:t>
            </w:r>
            <w:r>
              <w:rPr>
                <w:rFonts w:hint="eastAsia"/>
                <w:b/>
                <w:bCs/>
                <w:color w:val="auto"/>
                <w:sz w:val="24"/>
                <w:szCs w:val="24"/>
                <w:lang w:val="en-US" w:eastAsia="zh-CN"/>
              </w:rPr>
              <w:t>小呼吸</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小呼吸”损失是指静止储存的。物料，白天受太阳辐射使物料温度升高，引起上部空间气体膨胀和液面蒸发加剧，罐内压力随之升高，当压力达到呼吸阀允许值时，物料蒸汽就逸出罐外造成损耗；夜晚气温下降使罐内气体收缩，物料蒸汽凝结，罐内压力随之下降，当压力降到呼吸阀允许真空值时，空气进入罐内，使气体空间的物料蒸汽浓度降低，又为温度升高后物料蒸发创造条件，这样反复循环，就形成了储罐的小呼吸损失。储罐“小呼吸”废气产生量参照《石油库节能设计导则》(SH/T3002-2000）附录A内“内浮顶罐”的相关公式进行计算。</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color w:val="auto"/>
              </w:rPr>
            </w:pPr>
            <w:r>
              <w:rPr>
                <w:color w:val="auto"/>
              </w:rPr>
              <w:drawing>
                <wp:inline distT="0" distB="0" distL="114300" distR="114300">
                  <wp:extent cx="2357120" cy="332105"/>
                  <wp:effectExtent l="0" t="0" r="5080" b="1079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3"/>
                          <a:stretch>
                            <a:fillRect/>
                          </a:stretch>
                        </pic:blipFill>
                        <pic:spPr>
                          <a:xfrm>
                            <a:off x="0" y="0"/>
                            <a:ext cx="2357120" cy="332105"/>
                          </a:xfrm>
                          <a:prstGeom prst="rect">
                            <a:avLst/>
                          </a:prstGeom>
                          <a:noFill/>
                          <a:ln>
                            <a:noFill/>
                          </a:ln>
                        </pic:spPr>
                      </pic:pic>
                    </a:graphicData>
                  </a:graphic>
                </wp:inline>
              </w:drawing>
            </w:r>
          </w:p>
          <w:p>
            <w:pPr>
              <w:pStyle w:val="23"/>
              <w:rPr>
                <w:color w:val="auto"/>
              </w:rPr>
            </w:pPr>
            <w:r>
              <w:rPr>
                <w:color w:val="auto"/>
              </w:rPr>
              <w:drawing>
                <wp:inline distT="0" distB="0" distL="114300" distR="114300">
                  <wp:extent cx="1024890" cy="320675"/>
                  <wp:effectExtent l="0" t="0" r="3810" b="317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34"/>
                          <a:stretch>
                            <a:fillRect/>
                          </a:stretch>
                        </pic:blipFill>
                        <pic:spPr>
                          <a:xfrm>
                            <a:off x="0" y="0"/>
                            <a:ext cx="1024890" cy="320675"/>
                          </a:xfrm>
                          <a:prstGeom prst="rect">
                            <a:avLst/>
                          </a:prstGeom>
                          <a:noFill/>
                          <a:ln>
                            <a:noFill/>
                          </a:ln>
                        </pic:spPr>
                      </pic:pic>
                    </a:graphicData>
                  </a:graphic>
                </wp:inline>
              </w:drawing>
            </w:r>
          </w:p>
          <w:p>
            <w:pPr>
              <w:pStyle w:val="23"/>
              <w:rPr>
                <w:color w:val="auto"/>
              </w:rPr>
            </w:pPr>
            <w:r>
              <w:rPr>
                <w:color w:val="auto"/>
              </w:rPr>
              <w:drawing>
                <wp:inline distT="0" distB="0" distL="114300" distR="114300">
                  <wp:extent cx="1407160" cy="440690"/>
                  <wp:effectExtent l="0" t="0" r="2540" b="1651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5"/>
                          <a:stretch>
                            <a:fillRect/>
                          </a:stretch>
                        </pic:blipFill>
                        <pic:spPr>
                          <a:xfrm>
                            <a:off x="0" y="0"/>
                            <a:ext cx="1407160" cy="440690"/>
                          </a:xfrm>
                          <a:prstGeom prst="rect">
                            <a:avLst/>
                          </a:prstGeom>
                          <a:noFill/>
                          <a:ln>
                            <a:noFill/>
                          </a:ln>
                        </pic:spPr>
                      </pic:pic>
                    </a:graphicData>
                  </a:graphic>
                </wp:inline>
              </w:drawing>
            </w:r>
          </w:p>
          <w:p>
            <w:pPr>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式中：</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Ls——内浮顶油罐年小呼吸损耗量（kg/a）；</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K8——单位换算系数，取0.45；</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Ke——边圈密封系数，</w:t>
            </w:r>
            <w:r>
              <w:rPr>
                <w:rFonts w:hint="eastAsia" w:ascii="Times New Roman" w:hAnsi="Times New Roman" w:eastAsia="宋体" w:cs="Times New Roman"/>
                <w:color w:val="auto"/>
                <w:sz w:val="24"/>
                <w:szCs w:val="24"/>
                <w:lang w:val="en-US" w:eastAsia="zh-CN"/>
              </w:rPr>
              <w:t>按</w:t>
            </w:r>
            <w:r>
              <w:rPr>
                <w:rFonts w:hint="default" w:ascii="Times New Roman" w:hAnsi="Times New Roman" w:eastAsia="宋体" w:cs="Times New Roman"/>
                <w:color w:val="auto"/>
                <w:sz w:val="24"/>
                <w:szCs w:val="24"/>
                <w:lang w:val="en-US" w:eastAsia="zh-CN"/>
              </w:rPr>
              <w:t>液面安装的弹性充填式密封加二次密封</w:t>
            </w:r>
            <w:r>
              <w:rPr>
                <w:rFonts w:hint="eastAsia" w:ascii="Times New Roman" w:hAnsi="Times New Roman" w:eastAsia="宋体" w:cs="Times New Roman"/>
                <w:color w:val="auto"/>
                <w:sz w:val="24"/>
                <w:szCs w:val="24"/>
                <w:lang w:val="en-US" w:eastAsia="zh-CN"/>
              </w:rPr>
              <w:t>取5.2</w:t>
            </w:r>
            <w:r>
              <w:rPr>
                <w:rFonts w:hint="default"/>
                <w:color w:val="auto"/>
                <w:sz w:val="24"/>
                <w:szCs w:val="24"/>
                <w:lang w:val="en-US" w:eastAsia="zh-CN"/>
              </w:rPr>
              <w:t>；</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D——油罐直径；</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Fm——浮盘附件总损耗系数，根据附录A，按最不利情况取最大值，Fm=176.9；</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F</w:t>
            </w:r>
            <w:r>
              <w:rPr>
                <w:rFonts w:hint="default"/>
                <w:color w:val="auto"/>
                <w:sz w:val="24"/>
                <w:szCs w:val="24"/>
                <w:vertAlign w:val="subscript"/>
                <w:lang w:val="en-US" w:eastAsia="zh-CN"/>
              </w:rPr>
              <w:t>d</w:t>
            </w:r>
            <w:r>
              <w:rPr>
                <w:rFonts w:hint="default"/>
                <w:color w:val="auto"/>
                <w:sz w:val="24"/>
                <w:szCs w:val="24"/>
                <w:lang w:val="en-US" w:eastAsia="zh-CN"/>
              </w:rPr>
              <w:t>——顶板接缝长度系数，系指地板接缝长度与顶板面积的比值；</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w:t>
            </w:r>
            <w:r>
              <w:rPr>
                <w:rFonts w:hint="default"/>
                <w:color w:val="auto"/>
                <w:sz w:val="24"/>
                <w:szCs w:val="24"/>
                <w:vertAlign w:val="subscript"/>
                <w:lang w:val="en-US" w:eastAsia="zh-CN"/>
              </w:rPr>
              <w:t>d</w:t>
            </w:r>
            <w:r>
              <w:rPr>
                <w:rFonts w:hint="default"/>
                <w:color w:val="auto"/>
                <w:sz w:val="24"/>
                <w:szCs w:val="24"/>
                <w:lang w:val="en-US" w:eastAsia="zh-CN"/>
              </w:rPr>
              <w:t>——顶板接缝损耗系数，焊接顶板Kd＝0，非焊接顶板，Kd＝3.66</w:t>
            </w:r>
            <w:r>
              <w:rPr>
                <w:rFonts w:hint="eastAsia"/>
                <w:color w:val="auto"/>
                <w:sz w:val="24"/>
                <w:szCs w:val="24"/>
                <w:lang w:val="en-US" w:eastAsia="zh-CN"/>
              </w:rPr>
              <w:t>，本项目内浮顶储罐为焊接顶板，Kd=0；</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M</w:t>
            </w:r>
            <w:r>
              <w:rPr>
                <w:rFonts w:hint="default"/>
                <w:color w:val="auto"/>
                <w:sz w:val="24"/>
                <w:szCs w:val="24"/>
                <w:vertAlign w:val="subscript"/>
                <w:lang w:val="en-US" w:eastAsia="zh-CN"/>
              </w:rPr>
              <w:t>v</w:t>
            </w:r>
            <w:r>
              <w:rPr>
                <w:rFonts w:hint="default"/>
                <w:color w:val="auto"/>
                <w:sz w:val="24"/>
                <w:szCs w:val="24"/>
                <w:lang w:val="en-US" w:eastAsia="zh-CN"/>
              </w:rPr>
              <w:t>——油气摩尔质量（kg/kmol），汽油为</w:t>
            </w:r>
            <w:r>
              <w:rPr>
                <w:rFonts w:hint="eastAsia"/>
                <w:color w:val="auto"/>
                <w:sz w:val="24"/>
                <w:szCs w:val="24"/>
                <w:lang w:val="en-US" w:eastAsia="zh-CN"/>
              </w:rPr>
              <w:t>68</w:t>
            </w:r>
            <w:r>
              <w:rPr>
                <w:rFonts w:hint="default"/>
                <w:color w:val="auto"/>
                <w:sz w:val="24"/>
                <w:szCs w:val="24"/>
                <w:lang w:val="en-US" w:eastAsia="zh-CN"/>
              </w:rPr>
              <w:t>kg/kmol、柴油为</w:t>
            </w:r>
            <w:r>
              <w:rPr>
                <w:rFonts w:hint="eastAsia"/>
                <w:color w:val="auto"/>
                <w:sz w:val="24"/>
                <w:szCs w:val="24"/>
                <w:lang w:val="en-US" w:eastAsia="zh-CN"/>
              </w:rPr>
              <w:t>130</w:t>
            </w:r>
            <w:r>
              <w:rPr>
                <w:rFonts w:hint="default"/>
                <w:color w:val="auto"/>
                <w:sz w:val="24"/>
                <w:szCs w:val="24"/>
                <w:lang w:val="en-US" w:eastAsia="zh-CN"/>
              </w:rPr>
              <w:t>kg/kmol；</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Pa——油罐所在地的平均大气压，取101.3Kpa；</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Kc—油品系数，汽油=1，柴油取值同汽油；</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Nmj——某种附件个数；</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Kmj——某种附件损耗系数；</w:t>
            </w:r>
          </w:p>
          <w:p>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Py——储罐内物料平均温度下的蒸汽压（Kpa）汽油取38Kpa，柴油取0.3Kpa；</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eastAsia"/>
                <w:b/>
                <w:bCs/>
                <w:color w:val="auto"/>
                <w:sz w:val="24"/>
                <w:szCs w:val="24"/>
                <w:lang w:val="en-US" w:eastAsia="zh-CN"/>
              </w:rPr>
            </w:pP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eastAsia"/>
                <w:b/>
                <w:bCs/>
                <w:color w:val="auto"/>
                <w:sz w:val="24"/>
                <w:szCs w:val="24"/>
                <w:lang w:val="en-US" w:eastAsia="zh-CN"/>
              </w:rPr>
            </w:pP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val="en-US" w:eastAsia="zh-CN"/>
              </w:rPr>
              <w:t>表4-6  内浮顶罐大呼吸耗量表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62"/>
              <w:gridCol w:w="681"/>
              <w:gridCol w:w="806"/>
              <w:gridCol w:w="872"/>
              <w:gridCol w:w="960"/>
              <w:gridCol w:w="882"/>
              <w:gridCol w:w="417"/>
              <w:gridCol w:w="986"/>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油罐类型</w:t>
                  </w:r>
                </w:p>
              </w:tc>
              <w:tc>
                <w:tcPr>
                  <w:tcW w:w="47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罐容（m</w:t>
                  </w:r>
                  <w:r>
                    <w:rPr>
                      <w:rFonts w:hint="eastAsia" w:ascii="Times New Roman" w:hAnsi="Times New Roman"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直径（m）</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浮盘损耗系数Fm</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平均蒸汽压Py（KPa）</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所在地大气压Pa</w:t>
                  </w:r>
                  <w:r>
                    <w:rPr>
                      <w:rFonts w:hint="eastAsia" w:ascii="Times New Roman" w:hAnsi="Times New Roman" w:eastAsia="宋体" w:cs="Times New Roman"/>
                      <w:color w:val="auto"/>
                      <w:sz w:val="21"/>
                      <w:szCs w:val="21"/>
                      <w:lang w:val="en-US" w:eastAsia="zh-CN"/>
                    </w:rPr>
                    <w:t>（KPa）</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蒸汽压函数P*</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数量</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单个储罐小呼吸损耗量（kg/a）</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所有储罐小呼吸损耗量（kg/a）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92#汽油</w:t>
                  </w:r>
                </w:p>
              </w:tc>
              <w:tc>
                <w:tcPr>
                  <w:tcW w:w="472"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5000</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19.5</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996.37 </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1992.74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val="0"/>
                    <w:spacing w:line="300" w:lineRule="exact"/>
                    <w:jc w:val="center"/>
                    <w:textAlignment w:val="baseline"/>
                    <w:rPr>
                      <w:rFonts w:hint="eastAsia" w:cs="Times New Roman"/>
                      <w:color w:val="auto"/>
                      <w:kern w:val="0"/>
                      <w:szCs w:val="21"/>
                      <w:lang w:val="en-US" w:eastAsia="zh-CN"/>
                    </w:rPr>
                  </w:pPr>
                </w:p>
              </w:tc>
              <w:tc>
                <w:tcPr>
                  <w:tcW w:w="472"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3000</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949.83 </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949.83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95#汽油</w:t>
                  </w:r>
                </w:p>
              </w:tc>
              <w:tc>
                <w:tcPr>
                  <w:tcW w:w="472"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3000</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949.83 </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949.83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val="0"/>
                    <w:spacing w:line="300" w:lineRule="exact"/>
                    <w:jc w:val="center"/>
                    <w:textAlignment w:val="baseline"/>
                    <w:rPr>
                      <w:rFonts w:hint="eastAsia" w:cs="Times New Roman"/>
                      <w:color w:val="auto"/>
                      <w:kern w:val="0"/>
                      <w:szCs w:val="21"/>
                      <w:lang w:val="en-US" w:eastAsia="zh-CN"/>
                    </w:rPr>
                  </w:pPr>
                </w:p>
              </w:tc>
              <w:tc>
                <w:tcPr>
                  <w:tcW w:w="472"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1000</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11.5</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847.43 </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847.43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98#汽油</w:t>
                  </w:r>
                </w:p>
              </w:tc>
              <w:tc>
                <w:tcPr>
                  <w:tcW w:w="472"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1000</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11.5</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847.43 </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847.43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0#柴油</w:t>
                  </w:r>
                </w:p>
              </w:tc>
              <w:tc>
                <w:tcPr>
                  <w:tcW w:w="472"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5000</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19.5</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0.3</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0.00074</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12.05 </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24.10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widowControl w:val="0"/>
                    <w:spacing w:line="300" w:lineRule="exact"/>
                    <w:jc w:val="center"/>
                    <w:textAlignment w:val="baseline"/>
                    <w:rPr>
                      <w:rFonts w:hint="eastAsia" w:cs="Times New Roman"/>
                      <w:color w:val="auto"/>
                      <w:kern w:val="0"/>
                      <w:szCs w:val="21"/>
                      <w:lang w:val="en-US" w:eastAsia="zh-CN"/>
                    </w:rPr>
                  </w:pPr>
                </w:p>
              </w:tc>
              <w:tc>
                <w:tcPr>
                  <w:tcW w:w="472"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3000</w:t>
                  </w:r>
                </w:p>
              </w:tc>
              <w:tc>
                <w:tcPr>
                  <w:tcW w:w="422"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w:t>
                  </w:r>
                </w:p>
              </w:tc>
              <w:tc>
                <w:tcPr>
                  <w:tcW w:w="49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0.3</w:t>
                  </w:r>
                </w:p>
              </w:tc>
              <w:tc>
                <w:tcPr>
                  <w:tcW w:w="59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101.3</w:t>
                  </w:r>
                </w:p>
              </w:tc>
              <w:tc>
                <w:tcPr>
                  <w:tcW w:w="54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0.00074</w:t>
                  </w:r>
                </w:p>
              </w:tc>
              <w:tc>
                <w:tcPr>
                  <w:tcW w:w="25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11.48 </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1" w:type="pct"/>
                  <w:gridSpan w:val="9"/>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合计</w:t>
                  </w:r>
                </w:p>
              </w:tc>
              <w:tc>
                <w:tcPr>
                  <w:tcW w:w="608"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5622.84</w:t>
                  </w:r>
                </w:p>
              </w:tc>
            </w:tr>
          </w:tbl>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color w:val="auto"/>
                <w:w w:val="100"/>
                <w:kern w:val="2"/>
                <w:sz w:val="24"/>
                <w:szCs w:val="24"/>
                <w:lang w:val="en-US" w:eastAsia="zh-CN" w:bidi="ar-SA"/>
              </w:rPr>
              <w:t>由上表计算可知，项目所有内浮顶罐小呼吸排放量为5.623t/a，其中汽油排放量为5.587t/a，柴油0.036t/a。</w:t>
            </w:r>
          </w:p>
          <w:p>
            <w:pPr>
              <w:keepNext w:val="0"/>
              <w:keepLines w:val="0"/>
              <w:pageBreakBefore w:val="0"/>
              <w:widowControl/>
              <w:kinsoku/>
              <w:wordWrap/>
              <w:overflowPunct/>
              <w:topLinePunct w:val="0"/>
              <w:autoSpaceDE/>
              <w:autoSpaceDN/>
              <w:bidi w:val="0"/>
              <w:adjustRightInd w:val="0"/>
              <w:snapToGrid w:val="0"/>
              <w:spacing w:line="410" w:lineRule="exact"/>
              <w:ind w:left="0" w:leftChars="0" w:firstLine="482" w:firstLineChars="200"/>
              <w:jc w:val="both"/>
              <w:textAlignment w:val="baseline"/>
              <w:rPr>
                <w:rFonts w:hint="default" w:ascii="Times New Roman" w:hAnsi="Times New Roman" w:eastAsia="宋体" w:cs="Times New Roman"/>
                <w:color w:val="auto"/>
                <w:w w:val="100"/>
                <w:kern w:val="2"/>
                <w:sz w:val="24"/>
                <w:szCs w:val="24"/>
                <w:lang w:val="en-US" w:eastAsia="zh-CN" w:bidi="ar-SA"/>
              </w:rPr>
            </w:pPr>
            <w:r>
              <w:rPr>
                <w:rFonts w:hint="eastAsia"/>
                <w:b/>
                <w:bCs/>
                <w:color w:val="auto"/>
                <w:sz w:val="24"/>
                <w:szCs w:val="24"/>
                <w:lang w:val="en-US" w:eastAsia="zh-CN"/>
              </w:rPr>
              <w:t>治理措施：</w:t>
            </w:r>
            <w:r>
              <w:rPr>
                <w:rFonts w:hint="eastAsia" w:ascii="Times New Roman" w:hAnsi="Times New Roman" w:eastAsia="宋体" w:cs="Times New Roman"/>
                <w:color w:val="auto"/>
                <w:w w:val="100"/>
                <w:kern w:val="2"/>
                <w:sz w:val="24"/>
                <w:szCs w:val="24"/>
                <w:lang w:val="en-US" w:eastAsia="zh-CN" w:bidi="ar-SA"/>
              </w:rPr>
              <w:t>本项目储罐储存废气采用“浮顶罐+高效二次密封”处理后，无组织排放；高效密封为</w:t>
            </w:r>
            <w:r>
              <w:rPr>
                <w:rFonts w:hint="default"/>
                <w:color w:val="auto"/>
                <w:sz w:val="24"/>
                <w:szCs w:val="24"/>
                <w:lang w:val="en-US" w:eastAsia="zh-CN"/>
              </w:rPr>
              <w:t>采用油气空间安装的弹性充填式密封加二次密封，人孔、液位计浮子井有螺栓盖</w:t>
            </w:r>
            <w:r>
              <w:rPr>
                <w:rFonts w:hint="eastAsia" w:ascii="Times New Roman" w:hAnsi="Times New Roman" w:eastAsia="宋体" w:cs="Times New Roman"/>
                <w:color w:val="auto"/>
                <w:w w:val="100"/>
                <w:kern w:val="2"/>
                <w:sz w:val="24"/>
                <w:szCs w:val="24"/>
                <w:lang w:val="en-US" w:eastAsia="zh-CN" w:bidi="ar-SA"/>
              </w:rPr>
              <w:t>；同时夏季高温采用自动喷淋装置对油罐进行降温，</w:t>
            </w:r>
            <w:r>
              <w:rPr>
                <w:rFonts w:hint="default"/>
                <w:color w:val="auto"/>
                <w:sz w:val="24"/>
                <w:szCs w:val="24"/>
                <w:lang w:val="en-US" w:eastAsia="zh-CN"/>
              </w:rPr>
              <w:t>降低油罐气体空间温度，使昼夜油面温度变化幅度减小，减少油罐小呼吸损耗</w:t>
            </w:r>
            <w:r>
              <w:rPr>
                <w:rFonts w:hint="eastAsia" w:ascii="Times New Roman" w:hAnsi="Times New Roman" w:eastAsia="宋体" w:cs="Times New Roman"/>
                <w:color w:val="auto"/>
                <w:w w:val="100"/>
                <w:kern w:val="2"/>
                <w:sz w:val="24"/>
                <w:szCs w:val="24"/>
                <w:lang w:val="en-US" w:eastAsia="zh-CN" w:bidi="ar-SA"/>
              </w:rPr>
              <w:t>，减少废气无组织排放。</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3</w:t>
            </w:r>
            <w:r>
              <w:rPr>
                <w:rFonts w:hint="eastAsia"/>
                <w:b/>
                <w:bCs/>
                <w:color w:val="auto"/>
                <w:sz w:val="24"/>
                <w:szCs w:val="24"/>
                <w:lang w:eastAsia="zh-CN"/>
              </w:rPr>
              <w:t>）</w:t>
            </w:r>
            <w:r>
              <w:rPr>
                <w:rFonts w:hint="eastAsia"/>
                <w:b/>
                <w:bCs/>
                <w:color w:val="auto"/>
                <w:sz w:val="24"/>
                <w:szCs w:val="24"/>
                <w:lang w:val="en-US" w:eastAsia="zh-CN"/>
              </w:rPr>
              <w:t>装载废气</w:t>
            </w:r>
          </w:p>
          <w:p>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本项目油品采用汽车槽车运输出库，油品进入槽车内，槽车内的烃类气体被油品置换排入大气，污染物以非甲烷总烃计。</w:t>
            </w:r>
          </w:p>
          <w:p>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当油库需要临时应急保障进油时，能够实现0#车用柴油、92#、95#车用汽油公路接卸进库的功能。0#车用柴油、92#、95#车用汽油自公路槽车经公路卸车软管、公路卸车泵、卸进罐管线（与公路发油共用）卸车至储罐。由于进罐管线与装车管线为同一条管线，故临时应急保障进油废气，引入油气回收装置进行处理。</w:t>
            </w:r>
          </w:p>
          <w:p>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本项目采用底部装载方式，在装车台为汽车槽车付油过程中，通过真空泵产生一定真空度，经过密闭鹤管、油气回收管、真空泵等油气回收设备，将发油过程中挥发的油气回收到油气回收装置。</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b/>
                <w:bCs/>
                <w:color w:val="auto"/>
                <w:sz w:val="24"/>
                <w:szCs w:val="24"/>
                <w:lang w:val="en-US" w:eastAsia="zh-CN"/>
              </w:rPr>
            </w:pPr>
            <w:r>
              <w:rPr>
                <w:rFonts w:hint="default"/>
                <w:b/>
                <w:bCs/>
                <w:color w:val="auto"/>
                <w:sz w:val="24"/>
                <w:szCs w:val="24"/>
                <w:lang w:val="en-US" w:eastAsia="zh-CN"/>
              </w:rPr>
              <w:t>①</w:t>
            </w:r>
            <w:r>
              <w:rPr>
                <w:rFonts w:hint="eastAsia"/>
                <w:b/>
                <w:bCs/>
                <w:color w:val="auto"/>
                <w:sz w:val="24"/>
                <w:szCs w:val="24"/>
                <w:lang w:val="en-US" w:eastAsia="zh-CN"/>
              </w:rPr>
              <w:t>汽油装车废气</w:t>
            </w:r>
          </w:p>
          <w:p>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w:t>
            </w:r>
            <w:r>
              <w:rPr>
                <w:rFonts w:hint="default" w:ascii="Times New Roman" w:hAnsi="Times New Roman" w:eastAsia="宋体" w:cs="Times New Roman"/>
                <w:color w:val="auto"/>
                <w:sz w:val="24"/>
                <w:szCs w:val="24"/>
                <w:lang w:val="en-US" w:eastAsia="zh-CN"/>
              </w:rPr>
              <w:t>据《排污许可证申请与核发技术规范 储油库、加油站》（HJ1118-2020）排放量计算要求，油</w:t>
            </w:r>
            <w:r>
              <w:rPr>
                <w:rFonts w:hint="eastAsia" w:ascii="Times New Roman" w:hAnsi="Times New Roman" w:eastAsia="宋体" w:cs="Times New Roman"/>
                <w:color w:val="auto"/>
                <w:sz w:val="24"/>
                <w:szCs w:val="24"/>
                <w:lang w:val="en-US" w:eastAsia="zh-CN"/>
              </w:rPr>
              <w:t>品</w:t>
            </w:r>
            <w:r>
              <w:rPr>
                <w:rFonts w:hint="default" w:ascii="Times New Roman" w:hAnsi="Times New Roman" w:eastAsia="宋体" w:cs="Times New Roman"/>
                <w:color w:val="auto"/>
                <w:sz w:val="24"/>
                <w:szCs w:val="24"/>
                <w:lang w:val="en-US" w:eastAsia="zh-CN"/>
              </w:rPr>
              <w:t>装车过程VOCs排放量采用《石化行业VOCs</w:t>
            </w:r>
            <w:r>
              <w:rPr>
                <w:rFonts w:hint="eastAsia" w:ascii="Times New Roman" w:hAnsi="Times New Roman" w:eastAsia="宋体" w:cs="Times New Roman"/>
                <w:color w:val="auto"/>
                <w:sz w:val="24"/>
                <w:szCs w:val="24"/>
                <w:lang w:val="en-US" w:eastAsia="zh-CN"/>
              </w:rPr>
              <w:t>污染</w:t>
            </w:r>
            <w:r>
              <w:rPr>
                <w:rFonts w:hint="default" w:ascii="Times New Roman" w:hAnsi="Times New Roman" w:eastAsia="宋体" w:cs="Times New Roman"/>
                <w:color w:val="auto"/>
                <w:sz w:val="24"/>
                <w:szCs w:val="24"/>
                <w:lang w:val="en-US" w:eastAsia="zh-CN"/>
              </w:rPr>
              <w:t>源排查工作指南》（环办</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104号）中公式法计算，计算公式如下：</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rFonts w:hint="default"/>
                <w:b/>
                <w:bCs/>
                <w:color w:val="auto"/>
                <w:sz w:val="24"/>
                <w:szCs w:val="24"/>
                <w:lang w:val="en-US" w:eastAsia="zh-CN"/>
              </w:rPr>
            </w:pPr>
            <w:r>
              <w:rPr>
                <w:color w:val="auto"/>
              </w:rPr>
              <w:drawing>
                <wp:inline distT="0" distB="0" distL="114300" distR="114300">
                  <wp:extent cx="1639570" cy="843280"/>
                  <wp:effectExtent l="0" t="0" r="17780" b="1397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29"/>
                          <a:stretch>
                            <a:fillRect/>
                          </a:stretch>
                        </pic:blipFill>
                        <pic:spPr>
                          <a:xfrm>
                            <a:off x="0" y="0"/>
                            <a:ext cx="1639570" cy="843280"/>
                          </a:xfrm>
                          <a:prstGeom prst="rect">
                            <a:avLst/>
                          </a:prstGeom>
                          <a:noFill/>
                          <a:ln>
                            <a:noFill/>
                          </a:ln>
                        </pic:spPr>
                      </pic:pic>
                    </a:graphicData>
                  </a:graphic>
                </wp:inline>
              </w:drawing>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L</w:t>
            </w:r>
            <w:r>
              <w:rPr>
                <w:rFonts w:hint="eastAsia" w:ascii="Times New Roman" w:hAnsi="Times New Roman" w:eastAsia="宋体" w:cs="Times New Roman"/>
                <w:color w:val="auto"/>
                <w:w w:val="100"/>
                <w:kern w:val="2"/>
                <w:sz w:val="24"/>
                <w:szCs w:val="24"/>
                <w:vertAlign w:val="subscript"/>
                <w:lang w:val="en-US" w:eastAsia="zh-CN" w:bidi="ar-SA"/>
              </w:rPr>
              <w:t>L</w:t>
            </w:r>
            <w:r>
              <w:rPr>
                <w:rFonts w:hint="default" w:ascii="Times New Roman" w:hAnsi="Times New Roman" w:eastAsia="宋体" w:cs="Times New Roman"/>
                <w:color w:val="auto"/>
                <w:w w:val="100"/>
                <w:kern w:val="2"/>
                <w:sz w:val="24"/>
                <w:szCs w:val="24"/>
                <w:lang w:val="en-US" w:eastAsia="zh-CN" w:bidi="ar-SA"/>
              </w:rPr>
              <w:t>—装载损耗排放因子，kg/m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V—</w:t>
            </w:r>
            <w:r>
              <w:rPr>
                <w:rFonts w:hint="eastAsia" w:ascii="Times New Roman" w:hAnsi="Times New Roman" w:eastAsia="宋体" w:cs="Times New Roman"/>
                <w:color w:val="auto"/>
                <w:w w:val="100"/>
                <w:kern w:val="2"/>
                <w:sz w:val="24"/>
                <w:szCs w:val="24"/>
                <w:lang w:val="en-US" w:eastAsia="zh-CN" w:bidi="ar-SA"/>
              </w:rPr>
              <w:t>油品周转量</w:t>
            </w:r>
            <w:r>
              <w:rPr>
                <w:rFonts w:hint="default" w:ascii="Times New Roman" w:hAnsi="Times New Roman" w:eastAsia="宋体" w:cs="Times New Roman"/>
                <w:color w:val="auto"/>
                <w:w w:val="100"/>
                <w:kern w:val="2"/>
                <w:sz w:val="24"/>
                <w:szCs w:val="24"/>
                <w:lang w:val="en-US" w:eastAsia="zh-CN" w:bidi="ar-SA"/>
              </w:rPr>
              <w:t>，m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vertAlign w:val="baseline"/>
                <w:lang w:val="en-US" w:eastAsia="zh-CN" w:bidi="ar-SA"/>
              </w:rPr>
              <w:t>/a</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r>
              <w:rPr>
                <w:rFonts w:hint="default" w:ascii="Times New Roman" w:hAnsi="Times New Roman" w:eastAsia="宋体" w:cs="Times New Roman"/>
                <w:color w:val="auto"/>
                <w:w w:val="100"/>
                <w:kern w:val="2"/>
                <w:sz w:val="24"/>
                <w:szCs w:val="24"/>
                <w:lang w:val="en-US" w:eastAsia="zh-CN" w:bidi="ar-SA"/>
              </w:rPr>
              <w:t>——总控制效率，%</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收集</w:t>
            </w:r>
            <w:r>
              <w:rPr>
                <w:rFonts w:hint="default" w:ascii="Times New Roman" w:hAnsi="Times New Roman" w:eastAsia="宋体" w:cs="Times New Roman"/>
                <w:color w:val="auto"/>
                <w:w w:val="100"/>
                <w:kern w:val="2"/>
                <w:sz w:val="24"/>
                <w:szCs w:val="24"/>
                <w:lang w:val="en-US" w:eastAsia="zh-CN" w:bidi="ar-SA"/>
              </w:rPr>
              <w:t>——收集效率，%</w:t>
            </w:r>
            <w:r>
              <w:rPr>
                <w:rFonts w:hint="eastAsia" w:ascii="Times New Roman" w:hAnsi="Times New Roman" w:eastAsia="宋体" w:cs="Times New Roman"/>
                <w:color w:val="auto"/>
                <w:w w:val="100"/>
                <w:kern w:val="2"/>
                <w:sz w:val="24"/>
                <w:szCs w:val="24"/>
                <w:lang w:val="en-US" w:eastAsia="zh-CN" w:bidi="ar-SA"/>
              </w:rPr>
              <w:t>；当真空装载，保持真空度小于-0.37KPa；或罐车与油气收集系统法兰连接、硬管螺栓连接时，则收集效率</w:t>
            </w: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收集</w:t>
            </w:r>
            <w:r>
              <w:rPr>
                <w:rFonts w:hint="eastAsia" w:ascii="Times New Roman" w:hAnsi="Times New Roman" w:eastAsia="宋体" w:cs="Times New Roman"/>
                <w:color w:val="auto"/>
                <w:w w:val="100"/>
                <w:kern w:val="2"/>
                <w:sz w:val="24"/>
                <w:szCs w:val="24"/>
                <w:lang w:val="en-US" w:eastAsia="zh-CN" w:bidi="ar-SA"/>
              </w:rPr>
              <w:t>取100%。</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去除</w:t>
            </w:r>
            <w:r>
              <w:rPr>
                <w:rFonts w:hint="default" w:ascii="Times New Roman" w:hAnsi="Times New Roman" w:eastAsia="宋体" w:cs="Times New Roman"/>
                <w:color w:val="auto"/>
                <w:w w:val="100"/>
                <w:kern w:val="2"/>
                <w:sz w:val="24"/>
                <w:szCs w:val="24"/>
                <w:lang w:val="en-US" w:eastAsia="zh-CN" w:bidi="ar-SA"/>
              </w:rPr>
              <w:t>——</w:t>
            </w:r>
            <w:r>
              <w:rPr>
                <w:rFonts w:hint="eastAsia" w:ascii="Times New Roman" w:hAnsi="Times New Roman" w:eastAsia="宋体" w:cs="Times New Roman"/>
                <w:color w:val="auto"/>
                <w:w w:val="100"/>
                <w:kern w:val="2"/>
                <w:sz w:val="24"/>
                <w:szCs w:val="24"/>
                <w:lang w:val="en-US" w:eastAsia="zh-CN" w:bidi="ar-SA"/>
              </w:rPr>
              <w:t>去除</w:t>
            </w:r>
            <w:r>
              <w:rPr>
                <w:rFonts w:hint="default" w:ascii="Times New Roman" w:hAnsi="Times New Roman" w:eastAsia="宋体" w:cs="Times New Roman"/>
                <w:color w:val="auto"/>
                <w:w w:val="100"/>
                <w:kern w:val="2"/>
                <w:sz w:val="24"/>
                <w:szCs w:val="24"/>
                <w:lang w:val="en-US" w:eastAsia="zh-CN" w:bidi="ar-SA"/>
              </w:rPr>
              <w:t>效率，%</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投用</w:t>
            </w:r>
            <w:r>
              <w:rPr>
                <w:rFonts w:hint="default" w:ascii="Times New Roman" w:hAnsi="Times New Roman" w:eastAsia="宋体" w:cs="Times New Roman"/>
                <w:color w:val="auto"/>
                <w:w w:val="100"/>
                <w:kern w:val="2"/>
                <w:sz w:val="24"/>
                <w:szCs w:val="24"/>
                <w:lang w:val="en-US" w:eastAsia="zh-CN" w:bidi="ar-SA"/>
              </w:rPr>
              <w:t>——</w:t>
            </w:r>
            <w:r>
              <w:rPr>
                <w:rFonts w:hint="eastAsia" w:ascii="Times New Roman" w:hAnsi="Times New Roman" w:eastAsia="宋体" w:cs="Times New Roman"/>
                <w:color w:val="auto"/>
                <w:w w:val="100"/>
                <w:kern w:val="2"/>
                <w:sz w:val="24"/>
                <w:szCs w:val="24"/>
                <w:lang w:val="en-US" w:eastAsia="zh-CN" w:bidi="ar-SA"/>
              </w:rPr>
              <w:t>投用</w:t>
            </w:r>
            <w:r>
              <w:rPr>
                <w:rFonts w:hint="default" w:ascii="Times New Roman" w:hAnsi="Times New Roman" w:eastAsia="宋体" w:cs="Times New Roman"/>
                <w:color w:val="auto"/>
                <w:w w:val="100"/>
                <w:kern w:val="2"/>
                <w:sz w:val="24"/>
                <w:szCs w:val="24"/>
                <w:lang w:val="en-US" w:eastAsia="zh-CN" w:bidi="ar-SA"/>
              </w:rPr>
              <w:t>效率，%</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w w:val="100"/>
                <w:kern w:val="2"/>
                <w:sz w:val="24"/>
                <w:szCs w:val="24"/>
                <w:lang w:val="en-US" w:eastAsia="zh-CN" w:bidi="ar-SA"/>
              </w:rPr>
            </w:pPr>
            <w:r>
              <w:rPr>
                <w:color w:val="auto"/>
              </w:rPr>
              <w:drawing>
                <wp:inline distT="0" distB="0" distL="114300" distR="114300">
                  <wp:extent cx="753745" cy="293370"/>
                  <wp:effectExtent l="0" t="0" r="8255" b="1143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30"/>
                          <a:stretch>
                            <a:fillRect/>
                          </a:stretch>
                        </pic:blipFill>
                        <pic:spPr>
                          <a:xfrm>
                            <a:off x="0" y="0"/>
                            <a:ext cx="753745" cy="293370"/>
                          </a:xfrm>
                          <a:prstGeom prst="rect">
                            <a:avLst/>
                          </a:prstGeom>
                          <a:noFill/>
                          <a:ln>
                            <a:noFill/>
                          </a:ln>
                        </pic:spPr>
                      </pic:pic>
                    </a:graphicData>
                  </a:graphic>
                </wp:inline>
              </w:drawing>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S—饱和因子，代表排出的挥发物料接近饱和的程度</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C</w:t>
            </w:r>
            <w:r>
              <w:rPr>
                <w:rFonts w:hint="eastAsia" w:ascii="Times New Roman" w:hAnsi="Times New Roman" w:eastAsia="宋体" w:cs="Times New Roman"/>
                <w:color w:val="auto"/>
                <w:w w:val="100"/>
                <w:kern w:val="2"/>
                <w:sz w:val="24"/>
                <w:szCs w:val="24"/>
                <w:vertAlign w:val="subscript"/>
                <w:lang w:val="en-US" w:eastAsia="zh-CN" w:bidi="ar-SA"/>
              </w:rPr>
              <w:t>0</w:t>
            </w:r>
            <w:r>
              <w:rPr>
                <w:rFonts w:hint="default" w:ascii="Times New Roman" w:hAnsi="Times New Roman" w:eastAsia="宋体" w:cs="Times New Roman"/>
                <w:color w:val="auto"/>
                <w:w w:val="100"/>
                <w:kern w:val="2"/>
                <w:sz w:val="24"/>
                <w:szCs w:val="24"/>
                <w:lang w:val="en-US" w:eastAsia="zh-CN" w:bidi="ar-SA"/>
              </w:rPr>
              <w:t>—装载罐车气、液相处于平衡状态，将挥发物料看</w:t>
            </w:r>
            <w:r>
              <w:rPr>
                <w:rFonts w:hint="eastAsia" w:ascii="Times New Roman" w:hAnsi="Times New Roman" w:eastAsia="宋体" w:cs="Times New Roman"/>
                <w:color w:val="auto"/>
                <w:w w:val="100"/>
                <w:kern w:val="2"/>
                <w:sz w:val="24"/>
                <w:szCs w:val="24"/>
                <w:lang w:val="en-US" w:eastAsia="zh-CN" w:bidi="ar-SA"/>
              </w:rPr>
              <w:t>作</w:t>
            </w:r>
            <w:r>
              <w:rPr>
                <w:rFonts w:hint="default" w:ascii="Times New Roman" w:hAnsi="Times New Roman" w:eastAsia="宋体" w:cs="Times New Roman"/>
                <w:color w:val="auto"/>
                <w:w w:val="100"/>
                <w:kern w:val="2"/>
                <w:sz w:val="24"/>
                <w:szCs w:val="24"/>
                <w:lang w:val="en-US" w:eastAsia="zh-CN" w:bidi="ar-SA"/>
              </w:rPr>
              <w:t>理想气体下的物料密度，kg/m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default"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bCs/>
                <w:color w:val="auto"/>
                <w:w w:val="100"/>
                <w:kern w:val="2"/>
                <w:sz w:val="24"/>
                <w:szCs w:val="24"/>
                <w:lang w:val="en-US" w:eastAsia="zh-CN" w:bidi="ar-SA"/>
              </w:rPr>
            </w:pPr>
            <w:r>
              <w:rPr>
                <w:color w:val="auto"/>
              </w:rPr>
              <w:drawing>
                <wp:inline distT="0" distB="0" distL="114300" distR="114300">
                  <wp:extent cx="1626870" cy="339090"/>
                  <wp:effectExtent l="0" t="0" r="11430" b="381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31"/>
                          <a:stretch>
                            <a:fillRect/>
                          </a:stretch>
                        </pic:blipFill>
                        <pic:spPr>
                          <a:xfrm>
                            <a:off x="0" y="0"/>
                            <a:ext cx="1626870" cy="339090"/>
                          </a:xfrm>
                          <a:prstGeom prst="rect">
                            <a:avLst/>
                          </a:prstGeom>
                          <a:noFill/>
                          <a:ln>
                            <a:noFill/>
                          </a:ln>
                        </pic:spPr>
                      </pic:pic>
                    </a:graphicData>
                  </a:graphic>
                </wp:inline>
              </w:drawing>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式中：</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——实际装载温度，℃；实际温度为25℃</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P</w:t>
            </w:r>
            <w:r>
              <w:rPr>
                <w:rFonts w:hint="default" w:ascii="Times New Roman" w:hAnsi="Times New Roman" w:eastAsia="宋体" w:cs="Times New Roman"/>
                <w:color w:val="auto"/>
                <w:w w:val="100"/>
                <w:kern w:val="2"/>
                <w:sz w:val="24"/>
                <w:szCs w:val="24"/>
                <w:vertAlign w:val="subscript"/>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——温度</w:t>
            </w: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装载物料的真实蒸气压，</w:t>
            </w:r>
            <w:r>
              <w:rPr>
                <w:rFonts w:hint="default" w:ascii="Times New Roman" w:hAnsi="Times New Roman" w:eastAsia="宋体" w:cs="Times New Roman"/>
                <w:color w:val="auto"/>
                <w:w w:val="100"/>
                <w:kern w:val="2"/>
                <w:sz w:val="24"/>
                <w:szCs w:val="24"/>
                <w:vertAlign w:val="baseline"/>
                <w:lang w:val="en-US" w:eastAsia="zh-CN" w:bidi="ar-SA"/>
              </w:rPr>
              <w:t>Pa</w:t>
            </w:r>
            <w:r>
              <w:rPr>
                <w:rFonts w:hint="eastAsia" w:ascii="Times New Roman" w:hAnsi="Times New Roman" w:eastAsia="宋体" w:cs="Times New Roman"/>
                <w:color w:val="auto"/>
                <w:w w:val="100"/>
                <w:kern w:val="2"/>
                <w:sz w:val="24"/>
                <w:szCs w:val="24"/>
                <w:vertAlign w:val="baseline"/>
                <w:lang w:val="en-US" w:eastAsia="zh-CN" w:bidi="ar-SA"/>
              </w:rPr>
              <w:t>；汽油蒸汽压为38kPa，柴油为0.3kPa；</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M</w:t>
            </w:r>
            <w:r>
              <w:rPr>
                <w:rFonts w:hint="eastAsia" w:ascii="Times New Roman" w:hAnsi="Times New Roman" w:eastAsia="宋体" w:cs="Times New Roman"/>
                <w:color w:val="auto"/>
                <w:w w:val="100"/>
                <w:kern w:val="2"/>
                <w:sz w:val="24"/>
                <w:szCs w:val="24"/>
                <w:vertAlign w:val="baseline"/>
                <w:lang w:val="en-US" w:eastAsia="zh-CN" w:bidi="ar-SA"/>
              </w:rPr>
              <w:t>——油气的分子量，</w:t>
            </w:r>
            <w:r>
              <w:rPr>
                <w:rFonts w:hint="default" w:ascii="Times New Roman" w:hAnsi="Times New Roman" w:eastAsia="宋体" w:cs="Times New Roman"/>
                <w:color w:val="auto"/>
                <w:w w:val="100"/>
                <w:kern w:val="2"/>
                <w:sz w:val="24"/>
                <w:szCs w:val="24"/>
                <w:vertAlign w:val="baseline"/>
                <w:lang w:val="en-US" w:eastAsia="zh-CN" w:bidi="ar-SA"/>
              </w:rPr>
              <w:t>g/mol</w:t>
            </w:r>
            <w:r>
              <w:rPr>
                <w:rFonts w:hint="eastAsia" w:ascii="Times New Roman" w:hAnsi="Times New Roman" w:eastAsia="宋体" w:cs="Times New Roman"/>
                <w:color w:val="auto"/>
                <w:w w:val="100"/>
                <w:kern w:val="2"/>
                <w:sz w:val="24"/>
                <w:szCs w:val="24"/>
                <w:vertAlign w:val="baseline"/>
                <w:lang w:val="en-US" w:eastAsia="zh-CN" w:bidi="ar-SA"/>
              </w:rPr>
              <w:t>；汽油为68g/mol，柴油为130g/mol。</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eastAsia" w:ascii="Times New Roman" w:hAnsi="Times New Roman" w:eastAsia="宋体" w:cs="Times New Roman"/>
                <w:b/>
                <w:bCs/>
                <w:color w:val="auto"/>
                <w:w w:val="100"/>
                <w:kern w:val="2"/>
                <w:sz w:val="24"/>
                <w:szCs w:val="24"/>
                <w:lang w:val="en-US" w:eastAsia="zh-CN" w:bidi="ar-SA"/>
              </w:rPr>
            </w:pP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表4-7  汽油装卸废气排放计算参数及结果表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258947.37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2.693</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治理措施：</w:t>
            </w:r>
            <w:r>
              <w:rPr>
                <w:rFonts w:hint="default" w:ascii="Times New Roman" w:hAnsi="Times New Roman" w:eastAsia="宋体" w:cs="Times New Roman"/>
                <w:color w:val="auto"/>
                <w:w w:val="100"/>
                <w:kern w:val="2"/>
                <w:sz w:val="24"/>
                <w:szCs w:val="24"/>
                <w:vertAlign w:val="baseline"/>
                <w:lang w:val="en-US" w:eastAsia="zh-CN" w:bidi="ar-SA"/>
              </w:rPr>
              <w:t>本项目汽油装车过程产生的VOCs采用油气回收装置处理，罐车与油气回收装置采用法兰连接、硬管螺栓连接，油气收集效率陬100%，收集后的油气进入油气回收装置处理</w:t>
            </w:r>
            <w:r>
              <w:rPr>
                <w:rFonts w:hint="eastAsia" w:ascii="Times New Roman" w:hAnsi="Times New Roman" w:eastAsia="宋体" w:cs="Times New Roman"/>
                <w:color w:val="auto"/>
                <w:w w:val="100"/>
                <w:kern w:val="2"/>
                <w:sz w:val="24"/>
                <w:szCs w:val="24"/>
                <w:vertAlign w:val="baseline"/>
                <w:lang w:val="en-US" w:eastAsia="zh-CN" w:bidi="ar-SA"/>
              </w:rPr>
              <w:t>（三级冷凝+活性炭吸附）</w:t>
            </w:r>
            <w:r>
              <w:rPr>
                <w:rFonts w:hint="default" w:ascii="Times New Roman" w:hAnsi="Times New Roman" w:eastAsia="宋体" w:cs="Times New Roman"/>
                <w:color w:val="auto"/>
                <w:w w:val="100"/>
                <w:kern w:val="2"/>
                <w:sz w:val="24"/>
                <w:szCs w:val="24"/>
                <w:vertAlign w:val="baseline"/>
                <w:lang w:val="en-US" w:eastAsia="zh-CN" w:bidi="ar-SA"/>
              </w:rPr>
              <w:t>，处理后的油气通过</w:t>
            </w:r>
            <w:r>
              <w:rPr>
                <w:rFonts w:hint="eastAsia" w:ascii="Times New Roman" w:hAnsi="Times New Roman" w:eastAsia="宋体" w:cs="Times New Roman"/>
                <w:color w:val="auto"/>
                <w:w w:val="100"/>
                <w:kern w:val="2"/>
                <w:sz w:val="24"/>
                <w:szCs w:val="24"/>
                <w:vertAlign w:val="baseline"/>
                <w:lang w:val="en-US" w:eastAsia="zh-CN" w:bidi="ar-SA"/>
              </w:rPr>
              <w:t>20</w:t>
            </w:r>
            <w:r>
              <w:rPr>
                <w:rFonts w:hint="default" w:ascii="Times New Roman" w:hAnsi="Times New Roman" w:eastAsia="宋体" w:cs="Times New Roman"/>
                <w:color w:val="auto"/>
                <w:w w:val="100"/>
                <w:kern w:val="2"/>
                <w:sz w:val="24"/>
                <w:szCs w:val="24"/>
                <w:vertAlign w:val="baseline"/>
                <w:lang w:val="en-US" w:eastAsia="zh-CN" w:bidi="ar-SA"/>
              </w:rPr>
              <w:t>m高DA001排气筒排放，油气回收效率取9</w:t>
            </w:r>
            <w:r>
              <w:rPr>
                <w:rFonts w:hint="eastAsia" w:ascii="Times New Roman" w:hAnsi="Times New Roman" w:eastAsia="宋体" w:cs="Times New Roman"/>
                <w:color w:val="auto"/>
                <w:w w:val="100"/>
                <w:kern w:val="2"/>
                <w:sz w:val="24"/>
                <w:szCs w:val="24"/>
                <w:vertAlign w:val="baseline"/>
                <w:lang w:val="en-US" w:eastAsia="zh-CN" w:bidi="ar-SA"/>
              </w:rPr>
              <w:t>8</w:t>
            </w:r>
            <w:r>
              <w:rPr>
                <w:rFonts w:hint="default" w:ascii="Times New Roman" w:hAnsi="Times New Roman" w:eastAsia="宋体" w:cs="Times New Roman"/>
                <w:color w:val="auto"/>
                <w:w w:val="100"/>
                <w:kern w:val="2"/>
                <w:sz w:val="24"/>
                <w:szCs w:val="24"/>
                <w:vertAlign w:val="baseline"/>
                <w:lang w:val="en-US" w:eastAsia="zh-CN" w:bidi="ar-SA"/>
              </w:rPr>
              <w:t>%，则排放的</w:t>
            </w:r>
            <w:r>
              <w:rPr>
                <w:rFonts w:hint="eastAsia" w:ascii="Times New Roman" w:hAnsi="Times New Roman" w:eastAsia="宋体" w:cs="Times New Roman"/>
                <w:color w:val="auto"/>
                <w:w w:val="100"/>
                <w:kern w:val="2"/>
                <w:sz w:val="24"/>
                <w:szCs w:val="24"/>
                <w:vertAlign w:val="baseline"/>
                <w:lang w:val="en-US" w:eastAsia="zh-CN" w:bidi="ar-SA"/>
              </w:rPr>
              <w:t>VO</w:t>
            </w:r>
            <w:r>
              <w:rPr>
                <w:rFonts w:hint="default" w:ascii="Times New Roman" w:hAnsi="Times New Roman" w:eastAsia="宋体" w:cs="Times New Roman"/>
                <w:color w:val="auto"/>
                <w:w w:val="100"/>
                <w:kern w:val="2"/>
                <w:sz w:val="24"/>
                <w:szCs w:val="24"/>
                <w:vertAlign w:val="baseline"/>
                <w:lang w:val="en-US" w:eastAsia="zh-CN" w:bidi="ar-SA"/>
              </w:rPr>
              <w:t>Cs为</w:t>
            </w:r>
            <w:r>
              <w:rPr>
                <w:rFonts w:hint="eastAsia" w:ascii="Times New Roman" w:hAnsi="Times New Roman" w:eastAsia="宋体" w:cs="Times New Roman"/>
                <w:color w:val="auto"/>
                <w:w w:val="100"/>
                <w:kern w:val="2"/>
                <w:sz w:val="24"/>
                <w:szCs w:val="24"/>
                <w:vertAlign w:val="baseline"/>
                <w:lang w:val="en-US" w:eastAsia="zh-CN" w:bidi="ar-SA"/>
              </w:rPr>
              <w:t>2.693</w:t>
            </w:r>
            <w:r>
              <w:rPr>
                <w:rFonts w:hint="default" w:ascii="Times New Roman" w:hAnsi="Times New Roman" w:eastAsia="宋体" w:cs="Times New Roman"/>
                <w:color w:val="auto"/>
                <w:w w:val="100"/>
                <w:kern w:val="2"/>
                <w:sz w:val="24"/>
                <w:szCs w:val="24"/>
                <w:vertAlign w:val="baseline"/>
                <w:lang w:val="en-US" w:eastAsia="zh-CN" w:bidi="ar-SA"/>
              </w:rPr>
              <w:t>t/a。</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b/>
                <w:bCs/>
                <w:color w:val="auto"/>
                <w:sz w:val="24"/>
                <w:szCs w:val="24"/>
                <w:lang w:val="en-US" w:eastAsia="zh-CN"/>
              </w:rPr>
            </w:pPr>
            <w:r>
              <w:rPr>
                <w:rFonts w:hint="default"/>
                <w:b/>
                <w:bCs/>
                <w:color w:val="auto"/>
                <w:sz w:val="24"/>
                <w:szCs w:val="24"/>
                <w:lang w:val="en-US" w:eastAsia="zh-CN"/>
              </w:rPr>
              <w:t>②</w:t>
            </w:r>
            <w:r>
              <w:rPr>
                <w:rFonts w:hint="eastAsia"/>
                <w:b/>
                <w:bCs/>
                <w:color w:val="auto"/>
                <w:sz w:val="24"/>
                <w:szCs w:val="24"/>
                <w:lang w:val="en-US" w:eastAsia="zh-CN"/>
              </w:rPr>
              <w:t>柴油装车废气</w:t>
            </w:r>
          </w:p>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表4-8  柴油装卸废气排放计算参数及结果表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231529.41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1.878</w:t>
                  </w:r>
                </w:p>
              </w:tc>
            </w:tr>
          </w:tbl>
          <w:p>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color w:val="auto"/>
                <w:lang w:val="en-US" w:eastAsia="zh-CN"/>
              </w:rPr>
            </w:pPr>
            <w:r>
              <w:rPr>
                <w:rFonts w:hint="default" w:ascii="Times New Roman" w:hAnsi="Times New Roman" w:eastAsia="宋体" w:cs="Times New Roman"/>
                <w:color w:val="auto"/>
                <w:w w:val="100"/>
                <w:kern w:val="2"/>
                <w:sz w:val="24"/>
                <w:szCs w:val="24"/>
                <w:vertAlign w:val="baseline"/>
                <w:lang w:val="en-US" w:eastAsia="zh-CN" w:bidi="ar-SA"/>
              </w:rPr>
              <w:t>本项目柴油装车过程产生的VOCs</w:t>
            </w:r>
            <w:r>
              <w:rPr>
                <w:rFonts w:hint="eastAsia" w:ascii="Times New Roman" w:hAnsi="Times New Roman" w:eastAsia="宋体" w:cs="Times New Roman"/>
                <w:color w:val="auto"/>
                <w:w w:val="100"/>
                <w:kern w:val="2"/>
                <w:sz w:val="24"/>
                <w:szCs w:val="24"/>
                <w:vertAlign w:val="baseline"/>
                <w:lang w:val="en-US" w:eastAsia="zh-CN" w:bidi="ar-SA"/>
              </w:rPr>
              <w:t>“密闭发油鹤管”收集后无组织排放，</w:t>
            </w:r>
            <w:r>
              <w:rPr>
                <w:rFonts w:hint="default" w:ascii="Times New Roman" w:hAnsi="Times New Roman" w:eastAsia="宋体" w:cs="Times New Roman"/>
                <w:color w:val="auto"/>
                <w:w w:val="100"/>
                <w:kern w:val="2"/>
                <w:sz w:val="24"/>
                <w:szCs w:val="24"/>
                <w:vertAlign w:val="baseline"/>
                <w:lang w:val="en-US" w:eastAsia="zh-CN" w:bidi="ar-SA"/>
              </w:rPr>
              <w:t>排放的VOCs为</w:t>
            </w:r>
            <w:r>
              <w:rPr>
                <w:rFonts w:hint="eastAsia" w:ascii="Times New Roman" w:hAnsi="Times New Roman" w:eastAsia="宋体" w:cs="Times New Roman"/>
                <w:color w:val="auto"/>
                <w:w w:val="100"/>
                <w:kern w:val="2"/>
                <w:sz w:val="24"/>
                <w:szCs w:val="24"/>
                <w:vertAlign w:val="baseline"/>
                <w:lang w:val="en-US" w:eastAsia="zh-CN" w:bidi="ar-SA"/>
              </w:rPr>
              <w:t>1.878</w:t>
            </w:r>
            <w:r>
              <w:rPr>
                <w:rFonts w:hint="default" w:ascii="Times New Roman" w:hAnsi="Times New Roman" w:eastAsia="宋体" w:cs="Times New Roman"/>
                <w:color w:val="auto"/>
                <w:w w:val="100"/>
                <w:kern w:val="2"/>
                <w:sz w:val="24"/>
                <w:szCs w:val="24"/>
                <w:vertAlign w:val="baseline"/>
                <w:lang w:val="en-US" w:eastAsia="zh-CN" w:bidi="ar-SA"/>
              </w:rPr>
              <w:t>t/a。</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4</w:t>
            </w:r>
            <w:r>
              <w:rPr>
                <w:rFonts w:hint="eastAsia"/>
                <w:b/>
                <w:bCs/>
                <w:color w:val="auto"/>
                <w:sz w:val="24"/>
                <w:szCs w:val="24"/>
                <w:lang w:eastAsia="zh-CN"/>
              </w:rPr>
              <w:t>）</w:t>
            </w:r>
            <w:r>
              <w:rPr>
                <w:rFonts w:hint="eastAsia"/>
                <w:b/>
                <w:bCs/>
                <w:color w:val="auto"/>
                <w:sz w:val="24"/>
                <w:szCs w:val="24"/>
                <w:lang w:val="en-US" w:eastAsia="zh-CN"/>
              </w:rPr>
              <w:t>食堂油烟</w:t>
            </w:r>
          </w:p>
          <w:p>
            <w:pPr>
              <w:keepNext w:val="0"/>
              <w:keepLines w:val="0"/>
              <w:pageBreakBefore w:val="0"/>
              <w:widowControl/>
              <w:kinsoku/>
              <w:wordWrap/>
              <w:overflowPunct/>
              <w:topLinePunct w:val="0"/>
              <w:autoSpaceDE/>
              <w:autoSpaceDN/>
              <w:bidi w:val="0"/>
              <w:spacing w:line="440" w:lineRule="exact"/>
              <w:ind w:firstLine="480"/>
              <w:rPr>
                <w:rFonts w:cs="Times New Roman"/>
                <w:color w:val="auto"/>
                <w:sz w:val="24"/>
                <w:szCs w:val="24"/>
                <w:highlight w:val="none"/>
              </w:rPr>
            </w:pPr>
            <w:r>
              <w:rPr>
                <w:rFonts w:hint="eastAsia" w:cs="Times New Roman"/>
                <w:color w:val="auto"/>
                <w:sz w:val="24"/>
                <w:szCs w:val="24"/>
                <w:highlight w:val="none"/>
                <w:lang w:val="en-US" w:eastAsia="zh-CN"/>
              </w:rPr>
              <w:t>本</w:t>
            </w:r>
            <w:r>
              <w:rPr>
                <w:rFonts w:hint="eastAsia" w:cs="Times New Roman"/>
                <w:color w:val="auto"/>
                <w:sz w:val="24"/>
                <w:szCs w:val="24"/>
                <w:highlight w:val="none"/>
                <w:lang w:eastAsia="zh-CN"/>
              </w:rPr>
              <w:t>项目</w:t>
            </w:r>
            <w:r>
              <w:rPr>
                <w:rFonts w:hint="eastAsia" w:cs="Times New Roman"/>
                <w:color w:val="auto"/>
                <w:sz w:val="24"/>
                <w:szCs w:val="24"/>
                <w:highlight w:val="none"/>
                <w:lang w:val="en-US" w:eastAsia="zh-CN"/>
              </w:rPr>
              <w:t>设置食堂，</w:t>
            </w:r>
            <w:r>
              <w:rPr>
                <w:rFonts w:cs="Times New Roman"/>
                <w:color w:val="auto"/>
                <w:kern w:val="0"/>
                <w:sz w:val="24"/>
                <w:szCs w:val="24"/>
                <w:highlight w:val="none"/>
                <w:lang w:bidi="ar"/>
              </w:rPr>
              <w:t>食堂在烹饪过程产生的饮食油烟是指食物煎、炒、炸、烤等加工过程中挥发出的含油废气。</w:t>
            </w:r>
            <w:r>
              <w:rPr>
                <w:rFonts w:hint="eastAsia" w:cs="Times New Roman"/>
                <w:color w:val="auto"/>
                <w:kern w:val="0"/>
                <w:sz w:val="24"/>
                <w:szCs w:val="24"/>
                <w:highlight w:val="none"/>
                <w:lang w:bidi="ar"/>
              </w:rPr>
              <w:t>项目食堂厨房共设</w:t>
            </w:r>
            <w:r>
              <w:rPr>
                <w:rFonts w:hint="eastAsia" w:cs="Times New Roman"/>
                <w:color w:val="auto"/>
                <w:kern w:val="0"/>
                <w:sz w:val="24"/>
                <w:szCs w:val="24"/>
                <w:highlight w:val="none"/>
                <w:lang w:val="en-US" w:eastAsia="zh-CN" w:bidi="ar"/>
              </w:rPr>
              <w:t>2</w:t>
            </w:r>
            <w:r>
              <w:rPr>
                <w:rFonts w:hint="eastAsia" w:cs="Times New Roman"/>
                <w:color w:val="auto"/>
                <w:kern w:val="0"/>
                <w:sz w:val="24"/>
                <w:szCs w:val="24"/>
                <w:highlight w:val="none"/>
                <w:lang w:bidi="ar"/>
              </w:rPr>
              <w:t>个灶头</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bidi="ar"/>
              </w:rPr>
              <w:t>为</w:t>
            </w:r>
            <w:r>
              <w:rPr>
                <w:rFonts w:hint="eastAsia" w:cs="Times New Roman"/>
                <w:color w:val="auto"/>
                <w:kern w:val="0"/>
                <w:sz w:val="24"/>
                <w:szCs w:val="24"/>
                <w:highlight w:val="none"/>
                <w:lang w:val="en-US" w:eastAsia="zh-CN" w:bidi="ar"/>
              </w:rPr>
              <w:t>小</w:t>
            </w:r>
            <w:r>
              <w:rPr>
                <w:rFonts w:hint="eastAsia" w:cs="Times New Roman"/>
                <w:color w:val="auto"/>
                <w:kern w:val="0"/>
                <w:sz w:val="24"/>
                <w:szCs w:val="24"/>
                <w:highlight w:val="none"/>
                <w:lang w:bidi="ar"/>
              </w:rPr>
              <w:t>型规模。</w:t>
            </w:r>
          </w:p>
          <w:p>
            <w:pPr>
              <w:keepNext w:val="0"/>
              <w:keepLines w:val="0"/>
              <w:pageBreakBefore w:val="0"/>
              <w:widowControl/>
              <w:kinsoku/>
              <w:wordWrap/>
              <w:overflowPunct/>
              <w:topLinePunct w:val="0"/>
              <w:autoSpaceDE/>
              <w:autoSpaceDN/>
              <w:bidi w:val="0"/>
              <w:spacing w:line="440" w:lineRule="exact"/>
              <w:ind w:firstLine="480"/>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cs="Times New Roman"/>
                <w:color w:val="auto"/>
                <w:sz w:val="24"/>
                <w:szCs w:val="24"/>
                <w:highlight w:val="none"/>
              </w:rPr>
              <w:t>食堂设计就餐人数</w:t>
            </w:r>
            <w:r>
              <w:rPr>
                <w:rFonts w:hint="eastAsia" w:cs="Times New Roman"/>
                <w:color w:val="auto"/>
                <w:sz w:val="24"/>
                <w:szCs w:val="24"/>
                <w:highlight w:val="none"/>
                <w:lang w:eastAsia="zh-CN"/>
              </w:rPr>
              <w:t>共</w:t>
            </w:r>
            <w:r>
              <w:rPr>
                <w:rFonts w:cs="Times New Roman"/>
                <w:color w:val="auto"/>
                <w:sz w:val="24"/>
                <w:szCs w:val="24"/>
                <w:highlight w:val="none"/>
              </w:rPr>
              <w:t>为</w:t>
            </w:r>
            <w:r>
              <w:rPr>
                <w:rFonts w:hint="eastAsia" w:cs="Times New Roman"/>
                <w:color w:val="auto"/>
                <w:sz w:val="24"/>
                <w:szCs w:val="24"/>
                <w:highlight w:val="none"/>
                <w:lang w:val="en-US" w:eastAsia="zh-CN"/>
              </w:rPr>
              <w:t>84</w:t>
            </w:r>
            <w:r>
              <w:rPr>
                <w:rFonts w:cs="Times New Roman"/>
                <w:color w:val="auto"/>
                <w:sz w:val="24"/>
                <w:szCs w:val="24"/>
                <w:highlight w:val="none"/>
              </w:rPr>
              <w:t>人</w:t>
            </w:r>
            <w:r>
              <w:rPr>
                <w:rFonts w:hint="eastAsia" w:cs="Times New Roman"/>
                <w:color w:val="auto"/>
                <w:sz w:val="24"/>
                <w:szCs w:val="24"/>
                <w:highlight w:val="none"/>
                <w:lang w:eastAsia="zh-CN"/>
              </w:rPr>
              <w:t>次</w:t>
            </w:r>
            <w:r>
              <w:rPr>
                <w:rFonts w:hint="eastAsia" w:cs="Times New Roman"/>
                <w:color w:val="auto"/>
                <w:sz w:val="24"/>
                <w:szCs w:val="24"/>
                <w:highlight w:val="none"/>
              </w:rPr>
              <w:t>/</w:t>
            </w:r>
            <w:r>
              <w:rPr>
                <w:rFonts w:hint="eastAsia" w:cs="Times New Roman"/>
                <w:color w:val="auto"/>
                <w:sz w:val="24"/>
                <w:szCs w:val="24"/>
                <w:highlight w:val="none"/>
                <w:lang w:eastAsia="zh-CN"/>
              </w:rPr>
              <w:t>天</w:t>
            </w:r>
            <w:r>
              <w:rPr>
                <w:rFonts w:cs="Times New Roman"/>
                <w:color w:val="auto"/>
                <w:sz w:val="24"/>
                <w:szCs w:val="24"/>
                <w:highlight w:val="none"/>
              </w:rPr>
              <w:t>，</w:t>
            </w:r>
            <w:r>
              <w:rPr>
                <w:rFonts w:hint="eastAsia" w:cs="Times New Roman"/>
                <w:color w:val="auto"/>
                <w:sz w:val="24"/>
                <w:szCs w:val="24"/>
                <w:highlight w:val="none"/>
              </w:rPr>
              <w:t>一日三餐。一般食堂耗油系数为0.023kg/人·餐，根据就餐人数可推算出一天的食用油的用量</w:t>
            </w:r>
            <w:r>
              <w:rPr>
                <w:rFonts w:hint="eastAsia" w:cs="Times New Roman"/>
                <w:color w:val="auto"/>
                <w:sz w:val="24"/>
                <w:szCs w:val="24"/>
                <w:highlight w:val="none"/>
                <w:lang w:val="en-US" w:eastAsia="zh-CN"/>
              </w:rPr>
              <w:t>1.932</w:t>
            </w:r>
            <w:r>
              <w:rPr>
                <w:rFonts w:hint="eastAsia" w:cs="Times New Roman"/>
                <w:color w:val="auto"/>
                <w:sz w:val="24"/>
                <w:szCs w:val="24"/>
                <w:highlight w:val="none"/>
              </w:rPr>
              <w:t>kg，一般油烟和油的挥发量占总耗油量的1%，则油烟的产生量为</w:t>
            </w:r>
            <w:r>
              <w:rPr>
                <w:rFonts w:hint="eastAsia" w:cs="Times New Roman"/>
                <w:color w:val="auto"/>
                <w:sz w:val="24"/>
                <w:szCs w:val="24"/>
                <w:highlight w:val="none"/>
                <w:lang w:val="en-US" w:eastAsia="zh-CN"/>
              </w:rPr>
              <w:t>0.01932</w:t>
            </w:r>
            <w:r>
              <w:rPr>
                <w:rFonts w:hint="eastAsia" w:cs="Times New Roman"/>
                <w:color w:val="auto"/>
                <w:sz w:val="24"/>
                <w:szCs w:val="24"/>
                <w:highlight w:val="none"/>
              </w:rPr>
              <w:t>kg/d，按每天食堂工作</w:t>
            </w:r>
            <w:r>
              <w:rPr>
                <w:rFonts w:hint="eastAsia" w:cs="Times New Roman"/>
                <w:color w:val="auto"/>
                <w:sz w:val="24"/>
                <w:szCs w:val="24"/>
                <w:highlight w:val="none"/>
                <w:lang w:val="en-US" w:eastAsia="zh-CN"/>
              </w:rPr>
              <w:t>4.5</w:t>
            </w:r>
            <w:r>
              <w:rPr>
                <w:rFonts w:hint="eastAsia" w:cs="Times New Roman"/>
                <w:color w:val="auto"/>
                <w:sz w:val="24"/>
                <w:szCs w:val="24"/>
                <w:highlight w:val="none"/>
              </w:rPr>
              <w:t>h计，则油烟的产生速率为</w:t>
            </w:r>
            <w:r>
              <w:rPr>
                <w:rFonts w:hint="eastAsia" w:cs="Times New Roman"/>
                <w:color w:val="auto"/>
                <w:sz w:val="24"/>
                <w:szCs w:val="24"/>
                <w:highlight w:val="none"/>
                <w:lang w:val="en-US" w:eastAsia="zh-CN"/>
              </w:rPr>
              <w:t>0.0043</w:t>
            </w:r>
            <w:r>
              <w:rPr>
                <w:rFonts w:hint="eastAsia" w:cs="Times New Roman"/>
                <w:color w:val="auto"/>
                <w:sz w:val="24"/>
                <w:szCs w:val="24"/>
                <w:highlight w:val="none"/>
              </w:rPr>
              <w:t>kg/h，</w:t>
            </w:r>
            <w:r>
              <w:rPr>
                <w:rFonts w:hint="eastAsia" w:cs="Times New Roman"/>
                <w:color w:val="auto"/>
                <w:sz w:val="24"/>
                <w:szCs w:val="24"/>
                <w:highlight w:val="none"/>
                <w:lang w:eastAsia="zh-CN"/>
              </w:rPr>
              <w:t>产生浓度</w:t>
            </w:r>
            <w:r>
              <w:rPr>
                <w:rFonts w:hint="eastAsia" w:cs="Times New Roman"/>
                <w:color w:val="auto"/>
                <w:sz w:val="24"/>
                <w:szCs w:val="24"/>
                <w:highlight w:val="none"/>
                <w:lang w:val="en-US" w:eastAsia="zh-CN"/>
              </w:rPr>
              <w:t>2.15mg/m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w:t>
            </w:r>
            <w:r>
              <w:rPr>
                <w:rFonts w:hint="eastAsia" w:cs="Times New Roman"/>
                <w:color w:val="auto"/>
                <w:sz w:val="24"/>
                <w:szCs w:val="24"/>
                <w:highlight w:val="none"/>
              </w:rPr>
              <w:t>产生量为</w:t>
            </w:r>
            <w:r>
              <w:rPr>
                <w:rFonts w:hint="eastAsia" w:cs="Times New Roman"/>
                <w:color w:val="auto"/>
                <w:sz w:val="24"/>
                <w:szCs w:val="24"/>
                <w:highlight w:val="none"/>
                <w:lang w:val="en-US" w:eastAsia="zh-CN"/>
              </w:rPr>
              <w:t>6.762</w:t>
            </w:r>
            <w:r>
              <w:rPr>
                <w:rFonts w:hint="eastAsia" w:cs="Times New Roman"/>
                <w:color w:val="auto"/>
                <w:sz w:val="24"/>
                <w:szCs w:val="24"/>
                <w:highlight w:val="none"/>
              </w:rPr>
              <w:t>kg</w:t>
            </w:r>
            <w:r>
              <w:rPr>
                <w:rFonts w:hint="eastAsia" w:cs="Times New Roman"/>
                <w:color w:val="auto"/>
                <w:sz w:val="24"/>
                <w:szCs w:val="24"/>
                <w:highlight w:val="none"/>
                <w:lang w:val="en-US" w:eastAsia="zh-CN"/>
              </w:rPr>
              <w:t>/a</w:t>
            </w:r>
            <w:r>
              <w:rPr>
                <w:rFonts w:hint="eastAsia" w:cs="Times New Roman"/>
                <w:color w:val="auto"/>
                <w:sz w:val="24"/>
                <w:szCs w:val="24"/>
                <w:highlight w:val="none"/>
              </w:rPr>
              <w:t>。</w:t>
            </w:r>
          </w:p>
          <w:p>
            <w:pPr>
              <w:keepNext w:val="0"/>
              <w:keepLines w:val="0"/>
              <w:pageBreakBefore w:val="0"/>
              <w:widowControl/>
              <w:kinsoku/>
              <w:wordWrap/>
              <w:overflowPunct/>
              <w:topLinePunct w:val="0"/>
              <w:autoSpaceDE/>
              <w:autoSpaceDN/>
              <w:bidi w:val="0"/>
              <w:spacing w:line="440" w:lineRule="exact"/>
              <w:ind w:firstLine="480"/>
              <w:rPr>
                <w:rFonts w:cs="Times New Roman"/>
                <w:color w:val="auto"/>
                <w:sz w:val="24"/>
                <w:szCs w:val="24"/>
                <w:highlight w:val="none"/>
              </w:rPr>
            </w:pPr>
            <w:r>
              <w:rPr>
                <w:rFonts w:cs="Times New Roman"/>
                <w:color w:val="auto"/>
                <w:sz w:val="24"/>
                <w:szCs w:val="24"/>
                <w:highlight w:val="none"/>
              </w:rPr>
              <w:t>治理措施：</w:t>
            </w:r>
            <w:r>
              <w:rPr>
                <w:rFonts w:cs="Times New Roman"/>
                <w:color w:val="auto"/>
                <w:kern w:val="0"/>
                <w:sz w:val="24"/>
                <w:szCs w:val="24"/>
                <w:highlight w:val="none"/>
                <w:lang w:bidi="ar"/>
              </w:rPr>
              <w:t>食堂油烟拟设置</w:t>
            </w:r>
            <w:r>
              <w:rPr>
                <w:rFonts w:hint="eastAsia" w:cs="Times New Roman"/>
                <w:color w:val="auto"/>
                <w:kern w:val="0"/>
                <w:sz w:val="24"/>
                <w:szCs w:val="24"/>
                <w:highlight w:val="none"/>
                <w:lang w:val="en-US" w:eastAsia="zh-CN" w:bidi="ar"/>
              </w:rPr>
              <w:t>2000</w:t>
            </w:r>
            <w:r>
              <w:rPr>
                <w:rFonts w:cs="Times New Roman"/>
                <w:color w:val="auto"/>
                <w:kern w:val="0"/>
                <w:sz w:val="24"/>
                <w:szCs w:val="24"/>
                <w:highlight w:val="none"/>
                <w:lang w:bidi="ar"/>
              </w:rPr>
              <w:t>m</w:t>
            </w:r>
            <w:r>
              <w:rPr>
                <w:rFonts w:cs="Times New Roman"/>
                <w:color w:val="auto"/>
                <w:kern w:val="0"/>
                <w:sz w:val="24"/>
                <w:szCs w:val="24"/>
                <w:highlight w:val="none"/>
                <w:vertAlign w:val="superscript"/>
                <w:lang w:bidi="ar"/>
              </w:rPr>
              <w:t>3</w:t>
            </w:r>
            <w:r>
              <w:rPr>
                <w:rFonts w:cs="Times New Roman"/>
                <w:color w:val="auto"/>
                <w:kern w:val="0"/>
                <w:sz w:val="24"/>
                <w:szCs w:val="24"/>
                <w:highlight w:val="none"/>
                <w:lang w:bidi="ar"/>
              </w:rPr>
              <w:t>/h的</w:t>
            </w:r>
            <w:r>
              <w:rPr>
                <w:rFonts w:hint="eastAsia" w:cs="Times New Roman"/>
                <w:color w:val="auto"/>
                <w:kern w:val="0"/>
                <w:sz w:val="24"/>
                <w:szCs w:val="24"/>
                <w:highlight w:val="none"/>
                <w:lang w:bidi="ar"/>
              </w:rPr>
              <w:t>高效</w:t>
            </w:r>
            <w:r>
              <w:rPr>
                <w:rFonts w:cs="Times New Roman"/>
                <w:color w:val="auto"/>
                <w:kern w:val="0"/>
                <w:sz w:val="24"/>
                <w:szCs w:val="24"/>
                <w:highlight w:val="none"/>
                <w:lang w:bidi="ar"/>
              </w:rPr>
              <w:t>油烟净化器，项目食堂油烟经</w:t>
            </w:r>
            <w:r>
              <w:rPr>
                <w:rFonts w:hint="eastAsia" w:cs="Times New Roman"/>
                <w:color w:val="auto"/>
                <w:kern w:val="0"/>
                <w:sz w:val="24"/>
                <w:szCs w:val="24"/>
                <w:highlight w:val="none"/>
                <w:lang w:bidi="ar"/>
              </w:rPr>
              <w:t>高效</w:t>
            </w:r>
            <w:r>
              <w:rPr>
                <w:rFonts w:cs="Times New Roman"/>
                <w:color w:val="auto"/>
                <w:kern w:val="0"/>
                <w:sz w:val="24"/>
                <w:szCs w:val="24"/>
                <w:highlight w:val="none"/>
                <w:lang w:bidi="ar"/>
              </w:rPr>
              <w:t>油烟净化器（去除率大于</w:t>
            </w:r>
            <w:r>
              <w:rPr>
                <w:rFonts w:hint="eastAsia" w:cs="Times New Roman"/>
                <w:color w:val="auto"/>
                <w:kern w:val="0"/>
                <w:sz w:val="24"/>
                <w:szCs w:val="24"/>
                <w:highlight w:val="none"/>
                <w:lang w:val="en-US" w:eastAsia="zh-CN" w:bidi="ar"/>
              </w:rPr>
              <w:t>60</w:t>
            </w:r>
            <w:r>
              <w:rPr>
                <w:rFonts w:cs="Times New Roman"/>
                <w:color w:val="auto"/>
                <w:kern w:val="0"/>
                <w:sz w:val="24"/>
                <w:szCs w:val="24"/>
                <w:highlight w:val="none"/>
                <w:lang w:bidi="ar"/>
              </w:rPr>
              <w:t>%）处理后经专用烟道引至</w:t>
            </w:r>
            <w:r>
              <w:rPr>
                <w:rFonts w:hint="eastAsia" w:cs="Times New Roman"/>
                <w:color w:val="auto"/>
                <w:kern w:val="0"/>
                <w:sz w:val="24"/>
                <w:szCs w:val="24"/>
                <w:highlight w:val="none"/>
                <w:lang w:val="en-US" w:eastAsia="zh-CN" w:bidi="ar"/>
              </w:rPr>
              <w:t>综合楼</w:t>
            </w:r>
            <w:r>
              <w:rPr>
                <w:rFonts w:hint="eastAsia" w:cs="Times New Roman"/>
                <w:color w:val="auto"/>
                <w:kern w:val="0"/>
                <w:sz w:val="24"/>
                <w:szCs w:val="24"/>
                <w:highlight w:val="none"/>
                <w:lang w:eastAsia="zh-CN" w:bidi="ar"/>
              </w:rPr>
              <w:t>楼</w:t>
            </w:r>
            <w:r>
              <w:rPr>
                <w:rFonts w:cs="Times New Roman"/>
                <w:color w:val="auto"/>
                <w:kern w:val="0"/>
                <w:sz w:val="24"/>
                <w:szCs w:val="24"/>
                <w:highlight w:val="none"/>
                <w:lang w:bidi="ar"/>
              </w:rPr>
              <w:t>顶排放，并避开周围敏感建筑物，排放浓度为</w:t>
            </w:r>
            <w:r>
              <w:rPr>
                <w:rFonts w:hint="eastAsia" w:cs="Times New Roman"/>
                <w:color w:val="auto"/>
                <w:kern w:val="0"/>
                <w:sz w:val="24"/>
                <w:szCs w:val="24"/>
                <w:highlight w:val="none"/>
                <w:lang w:val="en-US" w:eastAsia="zh-CN" w:bidi="ar"/>
              </w:rPr>
              <w:t>0.86</w:t>
            </w:r>
            <w:r>
              <w:rPr>
                <w:rFonts w:cs="Times New Roman"/>
                <w:color w:val="auto"/>
                <w:kern w:val="0"/>
                <w:sz w:val="24"/>
                <w:szCs w:val="24"/>
                <w:highlight w:val="none"/>
                <w:lang w:bidi="ar"/>
              </w:rPr>
              <w:t>mg/m</w:t>
            </w:r>
            <w:r>
              <w:rPr>
                <w:rFonts w:cs="Times New Roman"/>
                <w:color w:val="auto"/>
                <w:kern w:val="0"/>
                <w:sz w:val="24"/>
                <w:szCs w:val="24"/>
                <w:highlight w:val="none"/>
                <w:vertAlign w:val="superscript"/>
                <w:lang w:bidi="ar"/>
              </w:rPr>
              <w:t>3</w:t>
            </w:r>
            <w:r>
              <w:rPr>
                <w:rFonts w:cs="Times New Roman"/>
                <w:color w:val="auto"/>
                <w:kern w:val="0"/>
                <w:sz w:val="24"/>
                <w:szCs w:val="24"/>
                <w:highlight w:val="none"/>
                <w:lang w:bidi="ar"/>
              </w:rPr>
              <w:t>，</w:t>
            </w:r>
            <w:r>
              <w:rPr>
                <w:rFonts w:hint="eastAsia" w:cs="Times New Roman"/>
                <w:color w:val="auto"/>
                <w:kern w:val="0"/>
                <w:sz w:val="24"/>
                <w:szCs w:val="24"/>
                <w:highlight w:val="none"/>
                <w:lang w:bidi="ar"/>
              </w:rPr>
              <w:t>排放速率为</w:t>
            </w:r>
            <w:r>
              <w:rPr>
                <w:rFonts w:hint="eastAsia" w:cs="Times New Roman"/>
                <w:color w:val="auto"/>
                <w:kern w:val="0"/>
                <w:sz w:val="24"/>
                <w:szCs w:val="24"/>
                <w:highlight w:val="none"/>
                <w:lang w:val="en-US" w:eastAsia="zh-CN" w:bidi="ar"/>
              </w:rPr>
              <w:t>0.00172</w:t>
            </w:r>
            <w:r>
              <w:rPr>
                <w:rFonts w:hint="eastAsia" w:cs="Times New Roman"/>
                <w:color w:val="auto"/>
                <w:kern w:val="0"/>
                <w:sz w:val="24"/>
                <w:szCs w:val="24"/>
                <w:highlight w:val="none"/>
                <w:lang w:bidi="ar"/>
              </w:rPr>
              <w:t>kg/h，</w:t>
            </w:r>
            <w:r>
              <w:rPr>
                <w:rFonts w:cs="Times New Roman"/>
                <w:color w:val="auto"/>
                <w:kern w:val="0"/>
                <w:sz w:val="24"/>
                <w:szCs w:val="24"/>
                <w:highlight w:val="none"/>
                <w:lang w:bidi="ar"/>
              </w:rPr>
              <w:t>排放量</w:t>
            </w:r>
            <w:r>
              <w:rPr>
                <w:rFonts w:hint="eastAsia" w:cs="Times New Roman"/>
                <w:color w:val="auto"/>
                <w:kern w:val="0"/>
                <w:sz w:val="24"/>
                <w:szCs w:val="24"/>
                <w:highlight w:val="none"/>
                <w:lang w:val="en-US" w:eastAsia="zh-CN" w:bidi="ar"/>
              </w:rPr>
              <w:t>0.0027t</w:t>
            </w:r>
            <w:r>
              <w:rPr>
                <w:rFonts w:cs="Times New Roman"/>
                <w:color w:val="auto"/>
                <w:kern w:val="0"/>
                <w:sz w:val="24"/>
                <w:szCs w:val="24"/>
                <w:highlight w:val="none"/>
                <w:lang w:bidi="ar"/>
              </w:rPr>
              <w:t>/a，</w:t>
            </w:r>
            <w:r>
              <w:rPr>
                <w:rFonts w:hint="eastAsia" w:cs="Times New Roman"/>
                <w:color w:val="auto"/>
                <w:kern w:val="0"/>
                <w:sz w:val="24"/>
                <w:szCs w:val="24"/>
                <w:highlight w:val="none"/>
                <w:lang w:bidi="ar"/>
              </w:rPr>
              <w:t>则排放浓度和处理效率均满足</w:t>
            </w:r>
            <w:r>
              <w:rPr>
                <w:rFonts w:cs="Times New Roman"/>
                <w:color w:val="auto"/>
                <w:kern w:val="0"/>
                <w:sz w:val="24"/>
                <w:szCs w:val="24"/>
                <w:highlight w:val="none"/>
                <w:lang w:bidi="ar"/>
              </w:rPr>
              <w:t>《饮食业油烟排放标准》（GB18483-2001）中</w:t>
            </w:r>
            <w:r>
              <w:rPr>
                <w:rFonts w:hint="eastAsia" w:cs="Times New Roman"/>
                <w:color w:val="auto"/>
                <w:kern w:val="0"/>
                <w:sz w:val="24"/>
                <w:szCs w:val="24"/>
                <w:highlight w:val="none"/>
                <w:lang w:bidi="ar"/>
              </w:rPr>
              <w:t>的</w:t>
            </w:r>
            <w:r>
              <w:rPr>
                <w:rFonts w:hint="eastAsia" w:cs="Times New Roman"/>
                <w:color w:val="auto"/>
                <w:kern w:val="0"/>
                <w:sz w:val="24"/>
                <w:szCs w:val="24"/>
                <w:highlight w:val="none"/>
                <w:lang w:val="en-US" w:eastAsia="zh-CN" w:bidi="ar"/>
              </w:rPr>
              <w:t>小</w:t>
            </w:r>
            <w:r>
              <w:rPr>
                <w:rFonts w:hint="eastAsia" w:cs="Times New Roman"/>
                <w:color w:val="auto"/>
                <w:kern w:val="0"/>
                <w:sz w:val="24"/>
                <w:szCs w:val="24"/>
                <w:highlight w:val="none"/>
                <w:lang w:bidi="ar"/>
              </w:rPr>
              <w:t>型灶台</w:t>
            </w:r>
            <w:r>
              <w:rPr>
                <w:rFonts w:cs="Times New Roman"/>
                <w:color w:val="auto"/>
                <w:kern w:val="0"/>
                <w:sz w:val="24"/>
                <w:szCs w:val="24"/>
                <w:highlight w:val="none"/>
                <w:lang w:bidi="ar"/>
              </w:rPr>
              <w:t>的标准限值要求。</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5</w:t>
            </w:r>
            <w:r>
              <w:rPr>
                <w:rFonts w:hint="eastAsia"/>
                <w:b/>
                <w:bCs/>
                <w:color w:val="auto"/>
                <w:sz w:val="24"/>
                <w:szCs w:val="24"/>
                <w:lang w:eastAsia="zh-CN"/>
              </w:rPr>
              <w:t>）</w:t>
            </w:r>
            <w:r>
              <w:rPr>
                <w:rFonts w:hint="eastAsia"/>
                <w:b/>
                <w:bCs/>
                <w:color w:val="auto"/>
                <w:sz w:val="24"/>
                <w:szCs w:val="24"/>
                <w:lang w:val="en-US" w:eastAsia="zh-CN"/>
              </w:rPr>
              <w:t>化验室废气</w:t>
            </w:r>
          </w:p>
          <w:p>
            <w:pPr>
              <w:keepNext w:val="0"/>
              <w:keepLines w:val="0"/>
              <w:pageBreakBefore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设置1座化验室，用于物料理化性质的检测，在检测过程中会产生有机废气，化验室配备通风处，有机废气经通风柜收集后无组织排放。化验室有机物料为13.35kg/a，挥发性有机物的产生量按使用量的5%计算，则挥发性有机物的产生量为0.667kg/a，年工作2800h，故产生速率为0.000238kg/h。</w:t>
            </w:r>
          </w:p>
          <w:p>
            <w:pPr>
              <w:keepNext w:val="0"/>
              <w:keepLines w:val="0"/>
              <w:pageBreakBefore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治理措施：化验室废气经通风柜收集后无组织排放，同时加强管理，减少无组织排放，排放量为0.667kg/a，排放速率为0.000238kg/h。</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6</w:t>
            </w:r>
            <w:r>
              <w:rPr>
                <w:rFonts w:hint="eastAsia"/>
                <w:b/>
                <w:bCs/>
                <w:color w:val="auto"/>
                <w:sz w:val="24"/>
                <w:szCs w:val="24"/>
                <w:lang w:eastAsia="zh-CN"/>
              </w:rPr>
              <w:t>）</w:t>
            </w:r>
            <w:r>
              <w:rPr>
                <w:rFonts w:hint="eastAsia"/>
                <w:b/>
                <w:bCs/>
                <w:color w:val="auto"/>
                <w:sz w:val="24"/>
                <w:szCs w:val="24"/>
                <w:lang w:val="en-US" w:eastAsia="zh-CN"/>
              </w:rPr>
              <w:t>污水处理站废气</w:t>
            </w:r>
          </w:p>
          <w:p>
            <w:pPr>
              <w:keepNext w:val="0"/>
              <w:keepLines w:val="0"/>
              <w:pageBreakBefore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本项目污水处理量较小，水质简单，污水处理设备均加盖密闭，逸散的废气排放量极低。</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7</w:t>
            </w:r>
            <w:r>
              <w:rPr>
                <w:rFonts w:hint="eastAsia"/>
                <w:b/>
                <w:bCs/>
                <w:color w:val="auto"/>
                <w:sz w:val="24"/>
                <w:szCs w:val="24"/>
                <w:lang w:eastAsia="zh-CN"/>
              </w:rPr>
              <w:t>）</w:t>
            </w:r>
            <w:r>
              <w:rPr>
                <w:rFonts w:hint="eastAsia"/>
                <w:b/>
                <w:bCs/>
                <w:color w:val="auto"/>
                <w:sz w:val="24"/>
                <w:szCs w:val="24"/>
                <w:lang w:val="en-US" w:eastAsia="zh-CN"/>
              </w:rPr>
              <w:t>柴油发电机废气</w:t>
            </w:r>
          </w:p>
          <w:p>
            <w:pPr>
              <w:keepNext w:val="0"/>
              <w:keepLines w:val="0"/>
              <w:pageBreakBefore w:val="0"/>
              <w:kinsoku/>
              <w:wordWrap/>
              <w:overflowPunct/>
              <w:topLinePunct w:val="0"/>
              <w:autoSpaceDE/>
              <w:autoSpaceDN/>
              <w:bidi w:val="0"/>
              <w:adjustRightInd/>
              <w:snapToGrid/>
              <w:spacing w:line="420" w:lineRule="exact"/>
              <w:ind w:firstLine="482"/>
              <w:textAlignment w:val="auto"/>
              <w:rPr>
                <w:rFonts w:hint="eastAsia"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项目设置1台备用发电机，仅在停电时作为应急供电使用，使用频率较低，燃料为轻柴油，发电时会</w:t>
            </w:r>
            <w:r>
              <w:rPr>
                <w:rFonts w:hint="eastAsia" w:cs="Times New Roman"/>
                <w:color w:val="auto"/>
                <w:sz w:val="24"/>
                <w:szCs w:val="24"/>
                <w:highlight w:val="none"/>
              </w:rPr>
              <w:t>产生少量</w:t>
            </w:r>
            <w:r>
              <w:rPr>
                <w:rFonts w:hint="eastAsia" w:cs="Times New Roman"/>
                <w:color w:val="auto"/>
                <w:sz w:val="24"/>
                <w:szCs w:val="24"/>
                <w:highlight w:val="none"/>
                <w:lang w:val="en-US" w:eastAsia="zh-CN"/>
              </w:rPr>
              <w:t>燃油</w:t>
            </w:r>
            <w:r>
              <w:rPr>
                <w:rFonts w:hint="eastAsia" w:cs="Times New Roman"/>
                <w:color w:val="auto"/>
                <w:sz w:val="24"/>
                <w:szCs w:val="24"/>
                <w:highlight w:val="none"/>
              </w:rPr>
              <w:t>废气，</w:t>
            </w:r>
            <w:r>
              <w:rPr>
                <w:rFonts w:cs="Times New Roman"/>
                <w:color w:val="auto"/>
                <w:sz w:val="24"/>
                <w:szCs w:val="24"/>
                <w:highlight w:val="none"/>
              </w:rPr>
              <w:t>产生废气主要成分为CO、NO</w:t>
            </w:r>
            <w:r>
              <w:rPr>
                <w:rFonts w:cs="Times New Roman"/>
                <w:color w:val="auto"/>
                <w:sz w:val="24"/>
                <w:szCs w:val="24"/>
                <w:highlight w:val="none"/>
                <w:vertAlign w:val="subscript"/>
              </w:rPr>
              <w:t>X</w:t>
            </w:r>
            <w:r>
              <w:rPr>
                <w:rFonts w:cs="Times New Roman"/>
                <w:color w:val="auto"/>
                <w:sz w:val="24"/>
                <w:szCs w:val="24"/>
                <w:highlight w:val="none"/>
              </w:rPr>
              <w:t>、</w:t>
            </w:r>
            <w:r>
              <w:rPr>
                <w:rFonts w:hint="eastAsia" w:cs="Times New Roman"/>
                <w:color w:val="auto"/>
                <w:sz w:val="24"/>
                <w:szCs w:val="24"/>
                <w:highlight w:val="none"/>
              </w:rPr>
              <w:t>HC</w:t>
            </w:r>
            <w:r>
              <w:rPr>
                <w:rFonts w:cs="Times New Roman"/>
                <w:color w:val="auto"/>
                <w:sz w:val="24"/>
                <w:szCs w:val="24"/>
                <w:highlight w:val="none"/>
              </w:rPr>
              <w:t>等</w:t>
            </w:r>
            <w:r>
              <w:rPr>
                <w:rFonts w:hint="eastAsia" w:cs="Times New Roman"/>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420" w:lineRule="exact"/>
              <w:ind w:firstLine="482"/>
              <w:textAlignment w:val="auto"/>
              <w:rPr>
                <w:rFonts w:cs="Times New Roman"/>
                <w:color w:val="auto"/>
                <w:sz w:val="24"/>
                <w:szCs w:val="24"/>
                <w:highlight w:val="none"/>
              </w:rPr>
            </w:pPr>
            <w:r>
              <w:rPr>
                <w:rFonts w:cs="Times New Roman"/>
                <w:color w:val="auto"/>
                <w:sz w:val="24"/>
                <w:szCs w:val="24"/>
                <w:highlight w:val="none"/>
              </w:rPr>
              <w:t>治理措施：</w:t>
            </w:r>
            <w:r>
              <w:rPr>
                <w:rFonts w:hint="eastAsia" w:ascii="Times New Roman" w:hAnsi="Times New Roman" w:eastAsia="宋体" w:cs="Times New Roman"/>
                <w:color w:val="auto"/>
                <w:sz w:val="24"/>
                <w:szCs w:val="24"/>
                <w:highlight w:val="none"/>
                <w:lang w:eastAsia="zh-CN"/>
              </w:rPr>
              <w:t>设置机械排风系统，加强管理，</w:t>
            </w:r>
            <w:r>
              <w:rPr>
                <w:rFonts w:cs="Times New Roman"/>
                <w:color w:val="auto"/>
                <w:sz w:val="24"/>
                <w:szCs w:val="24"/>
                <w:highlight w:val="none"/>
              </w:rPr>
              <w:t>且项目备用发电机仅用于停电时的应急</w:t>
            </w:r>
            <w:r>
              <w:rPr>
                <w:rFonts w:hint="eastAsia" w:cs="Times New Roman"/>
                <w:color w:val="auto"/>
                <w:sz w:val="24"/>
                <w:szCs w:val="24"/>
                <w:highlight w:val="none"/>
                <w:lang w:val="en-US" w:eastAsia="zh-CN"/>
              </w:rPr>
              <w:t>供电</w:t>
            </w:r>
            <w:r>
              <w:rPr>
                <w:rFonts w:cs="Times New Roman"/>
                <w:color w:val="auto"/>
                <w:sz w:val="24"/>
                <w:szCs w:val="24"/>
                <w:highlight w:val="none"/>
              </w:rPr>
              <w:t>使用，故该发电机使用几率较小、发电机使用时间较短，对周围大气环境影响程度较小</w:t>
            </w:r>
            <w:r>
              <w:rPr>
                <w:rFonts w:hint="eastAsia" w:cs="Times New Roman"/>
                <w:color w:val="auto"/>
                <w:sz w:val="24"/>
                <w:szCs w:val="24"/>
                <w:highlight w:val="none"/>
                <w:lang w:eastAsia="zh-CN"/>
              </w:rPr>
              <w:t>。</w:t>
            </w:r>
          </w:p>
          <w:p>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8</w:t>
            </w:r>
            <w:r>
              <w:rPr>
                <w:rFonts w:hint="eastAsia"/>
                <w:b/>
                <w:bCs/>
                <w:color w:val="auto"/>
                <w:sz w:val="24"/>
                <w:szCs w:val="24"/>
                <w:lang w:eastAsia="zh-CN"/>
              </w:rPr>
              <w:t>）</w:t>
            </w:r>
            <w:r>
              <w:rPr>
                <w:rFonts w:hint="eastAsia"/>
                <w:b/>
                <w:bCs/>
                <w:color w:val="auto"/>
                <w:sz w:val="24"/>
                <w:szCs w:val="24"/>
                <w:lang w:val="en-US" w:eastAsia="zh-CN"/>
              </w:rPr>
              <w:t>汽车尾气</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运输车辆进出油库会排放汽车尾气，主要污染物为CO、NOx和THC。CO是油品燃烧的产物；NOx是油品爆裂时进入空气中氮与氧化合而成的产物；THC是油品不完全燃烧的产物。</w:t>
            </w:r>
            <w:r>
              <w:rPr>
                <w:rFonts w:hint="default"/>
                <w:color w:val="auto"/>
                <w:sz w:val="24"/>
                <w:szCs w:val="24"/>
              </w:rPr>
              <w:t>根据类比调查，按中型车型计算，单车排放CO、NOx和THC浓度分别取30.18g/km、5.40g/km和15.21g/km。按每天运输60辆（次），以油品运输车在厂区内行驶50m计算，则汽车尾气污染产生量为：CO：35.85kg/a；NO</w:t>
            </w:r>
            <w:r>
              <w:rPr>
                <w:rFonts w:hint="default"/>
                <w:color w:val="auto"/>
                <w:sz w:val="24"/>
                <w:szCs w:val="24"/>
                <w:vertAlign w:val="subscript"/>
              </w:rPr>
              <w:t>X</w:t>
            </w:r>
            <w:r>
              <w:rPr>
                <w:rFonts w:hint="default"/>
                <w:color w:val="auto"/>
                <w:sz w:val="24"/>
                <w:szCs w:val="24"/>
              </w:rPr>
              <w:t>：6.42kg/a；THC：18.07kg/a。</w:t>
            </w:r>
          </w:p>
          <w:p>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宋体" w:hAnsi="宋体" w:eastAsia="宋体" w:cs="宋体"/>
                <w:bCs/>
                <w:color w:val="auto"/>
                <w:spacing w:val="-10"/>
                <w:szCs w:val="21"/>
                <w:lang w:val="en-US" w:eastAsia="zh-CN"/>
              </w:rPr>
            </w:pPr>
            <w:r>
              <w:rPr>
                <w:rFonts w:hint="eastAsia" w:ascii="Times New Roman" w:hAnsi="Times New Roman" w:eastAsia="宋体" w:cs="Times New Roman"/>
                <w:color w:val="auto"/>
                <w:sz w:val="24"/>
                <w:szCs w:val="24"/>
                <w:lang w:val="en-US" w:eastAsia="zh-CN"/>
              </w:rPr>
              <w:t>治理措施：油库应采取必要的管理措施，尽量缩短车辆在库内的怠速时间，降低运输车辆车速，加强管理，以减少汽车尾气的产生量。</w:t>
            </w:r>
          </w:p>
        </w:tc>
      </w:tr>
    </w:tbl>
    <w:p>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4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6" w:hRule="atLeast"/>
          <w:jc w:val="center"/>
        </w:trPr>
        <w:tc>
          <w:tcPr>
            <w:tcW w:w="267" w:type="pct"/>
            <w:noWrap w:val="0"/>
            <w:tcMar>
              <w:left w:w="28" w:type="dxa"/>
              <w:right w:w="28" w:type="dxa"/>
            </w:tcMar>
            <w:vAlign w:val="center"/>
          </w:tcPr>
          <w:p>
            <w:pPr>
              <w:adjustRightInd w:val="0"/>
              <w:snapToGrid w:val="0"/>
              <w:jc w:val="center"/>
              <w:rPr>
                <w:rFonts w:ascii="宋体" w:hAnsi="宋体" w:cs="宋体"/>
                <w:bCs/>
                <w:color w:val="auto"/>
                <w:szCs w:val="21"/>
              </w:rPr>
            </w:pPr>
            <w:r>
              <w:rPr>
                <w:rFonts w:hint="eastAsia" w:ascii="宋体" w:hAnsi="宋体" w:cs="宋体"/>
                <w:b/>
                <w:bCs w:val="0"/>
                <w:color w:val="auto"/>
                <w:szCs w:val="21"/>
              </w:rPr>
              <w:t>运营期环境影响和保护措施</w:t>
            </w:r>
          </w:p>
        </w:tc>
        <w:tc>
          <w:tcPr>
            <w:tcW w:w="4732" w:type="pct"/>
            <w:noWrap w:val="0"/>
            <w:vAlign w:val="center"/>
          </w:tcPr>
          <w:p>
            <w:pPr>
              <w:pStyle w:val="10"/>
              <w:keepNext w:val="0"/>
              <w:keepLines w:val="0"/>
              <w:pageBreakBefore w:val="0"/>
              <w:widowControl w:val="0"/>
              <w:kinsoku/>
              <w:wordWrap/>
              <w:overflowPunct/>
              <w:topLinePunct w:val="0"/>
              <w:autoSpaceDE/>
              <w:autoSpaceDN/>
              <w:bidi w:val="0"/>
              <w:adjustRightInd/>
              <w:snapToGrid/>
              <w:spacing w:line="440" w:lineRule="exact"/>
              <w:ind w:firstLine="502" w:firstLineChars="200"/>
              <w:textAlignment w:val="auto"/>
              <w:rPr>
                <w:b/>
                <w:bCs/>
                <w:color w:val="auto"/>
                <w:sz w:val="24"/>
                <w:szCs w:val="24"/>
                <w:highlight w:val="none"/>
              </w:rPr>
            </w:pPr>
            <w:r>
              <w:rPr>
                <w:rFonts w:hint="eastAsia"/>
                <w:b/>
                <w:bCs/>
                <w:color w:val="auto"/>
                <w:sz w:val="24"/>
                <w:szCs w:val="24"/>
                <w:highlight w:val="none"/>
              </w:rPr>
              <w:t>表</w:t>
            </w:r>
            <w:r>
              <w:rPr>
                <w:rFonts w:hint="eastAsia"/>
                <w:b/>
                <w:bCs/>
                <w:color w:val="auto"/>
                <w:sz w:val="24"/>
                <w:szCs w:val="24"/>
                <w:highlight w:val="none"/>
                <w:lang w:val="en-US" w:eastAsia="zh-CN"/>
              </w:rPr>
              <w:t>4-9</w:t>
            </w:r>
            <w:r>
              <w:rPr>
                <w:rFonts w:hint="eastAsia"/>
                <w:b/>
                <w:bCs/>
                <w:color w:val="auto"/>
                <w:sz w:val="24"/>
                <w:szCs w:val="24"/>
                <w:highlight w:val="none"/>
              </w:rPr>
              <w:t xml:space="preserve">    拟建项目大气污染物排放情况表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89"/>
              <w:gridCol w:w="840"/>
              <w:gridCol w:w="888"/>
              <w:gridCol w:w="1005"/>
              <w:gridCol w:w="796"/>
              <w:gridCol w:w="612"/>
              <w:gridCol w:w="669"/>
              <w:gridCol w:w="669"/>
              <w:gridCol w:w="854"/>
              <w:gridCol w:w="760"/>
              <w:gridCol w:w="665"/>
              <w:gridCol w:w="690"/>
              <w:gridCol w:w="765"/>
              <w:gridCol w:w="765"/>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63"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eastAsia" w:cs="Times New Roman"/>
                      <w:b/>
                      <w:color w:val="auto"/>
                      <w:spacing w:val="-11"/>
                      <w:sz w:val="21"/>
                      <w:szCs w:val="21"/>
                      <w:highlight w:val="none"/>
                      <w:lang w:eastAsia="zh-CN"/>
                    </w:rPr>
                    <w:t>产污环节</w:t>
                  </w:r>
                </w:p>
              </w:tc>
              <w:tc>
                <w:tcPr>
                  <w:tcW w:w="34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default" w:cs="Times New Roman"/>
                      <w:b/>
                      <w:color w:val="auto"/>
                      <w:spacing w:val="-11"/>
                      <w:sz w:val="21"/>
                      <w:szCs w:val="21"/>
                      <w:highlight w:val="none"/>
                    </w:rPr>
                    <w:t>污染物</w:t>
                  </w:r>
                  <w:r>
                    <w:rPr>
                      <w:rFonts w:hint="eastAsia" w:cs="Times New Roman"/>
                      <w:b/>
                      <w:color w:val="auto"/>
                      <w:spacing w:val="-11"/>
                      <w:sz w:val="21"/>
                      <w:szCs w:val="21"/>
                      <w:highlight w:val="none"/>
                      <w:lang w:eastAsia="zh-CN"/>
                    </w:rPr>
                    <w:t>种类</w:t>
                  </w:r>
                </w:p>
              </w:tc>
              <w:tc>
                <w:tcPr>
                  <w:tcW w:w="36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产生浓度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（mg/m</w:t>
                  </w:r>
                  <w:r>
                    <w:rPr>
                      <w:rFonts w:hint="default" w:cs="Times New Roman"/>
                      <w:b/>
                      <w:color w:val="auto"/>
                      <w:spacing w:val="-11"/>
                      <w:sz w:val="21"/>
                      <w:szCs w:val="21"/>
                      <w:highlight w:val="none"/>
                      <w:vertAlign w:val="superscript"/>
                    </w:rPr>
                    <w:t>3</w:t>
                  </w:r>
                  <w:r>
                    <w:rPr>
                      <w:rFonts w:hint="default" w:cs="Times New Roman"/>
                      <w:b/>
                      <w:color w:val="auto"/>
                      <w:spacing w:val="-11"/>
                      <w:sz w:val="21"/>
                      <w:szCs w:val="21"/>
                      <w:highlight w:val="none"/>
                    </w:rPr>
                    <w:t>）</w:t>
                  </w:r>
                </w:p>
              </w:tc>
              <w:tc>
                <w:tcPr>
                  <w:tcW w:w="41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产生速率（kg/h）</w:t>
                  </w:r>
                </w:p>
              </w:tc>
              <w:tc>
                <w:tcPr>
                  <w:tcW w:w="32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lang w:val="en-US" w:eastAsia="zh-CN"/>
                    </w:rPr>
                  </w:pPr>
                  <w:r>
                    <w:rPr>
                      <w:rFonts w:hint="eastAsia" w:cs="Times New Roman"/>
                      <w:b/>
                      <w:color w:val="auto"/>
                      <w:spacing w:val="-11"/>
                      <w:sz w:val="21"/>
                      <w:szCs w:val="21"/>
                      <w:highlight w:val="none"/>
                      <w:lang w:val="en-US" w:eastAsia="zh-CN"/>
                    </w:rPr>
                    <w:t>产生量（t/a）</w:t>
                  </w:r>
                </w:p>
              </w:tc>
              <w:tc>
                <w:tcPr>
                  <w:tcW w:w="25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eastAsia" w:cs="Times New Roman"/>
                      <w:b/>
                      <w:color w:val="auto"/>
                      <w:spacing w:val="-11"/>
                      <w:sz w:val="21"/>
                      <w:szCs w:val="21"/>
                      <w:highlight w:val="none"/>
                      <w:lang w:eastAsia="zh-CN"/>
                    </w:rPr>
                    <w:t>排放形式</w:t>
                  </w:r>
                </w:p>
              </w:tc>
              <w:tc>
                <w:tcPr>
                  <w:tcW w:w="1762" w:type="pct"/>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default" w:cs="Times New Roman"/>
                      <w:b/>
                      <w:color w:val="auto"/>
                      <w:spacing w:val="-11"/>
                      <w:sz w:val="21"/>
                      <w:szCs w:val="21"/>
                      <w:highlight w:val="none"/>
                    </w:rPr>
                    <w:t>治理</w:t>
                  </w:r>
                  <w:r>
                    <w:rPr>
                      <w:rFonts w:hint="eastAsia" w:cs="Times New Roman"/>
                      <w:b/>
                      <w:color w:val="auto"/>
                      <w:spacing w:val="-11"/>
                      <w:sz w:val="21"/>
                      <w:szCs w:val="21"/>
                      <w:highlight w:val="none"/>
                      <w:lang w:eastAsia="zh-CN"/>
                    </w:rPr>
                    <w:t>设施</w:t>
                  </w:r>
                </w:p>
              </w:tc>
              <w:tc>
                <w:tcPr>
                  <w:tcW w:w="31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排放浓度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（mg/m</w:t>
                  </w:r>
                  <w:r>
                    <w:rPr>
                      <w:rFonts w:hint="default" w:cs="Times New Roman"/>
                      <w:b/>
                      <w:color w:val="auto"/>
                      <w:spacing w:val="-11"/>
                      <w:sz w:val="21"/>
                      <w:szCs w:val="21"/>
                      <w:highlight w:val="none"/>
                      <w:vertAlign w:val="superscript"/>
                    </w:rPr>
                    <w:t>3</w:t>
                  </w:r>
                  <w:r>
                    <w:rPr>
                      <w:rFonts w:hint="default" w:cs="Times New Roman"/>
                      <w:b/>
                      <w:color w:val="auto"/>
                      <w:spacing w:val="-11"/>
                      <w:sz w:val="21"/>
                      <w:szCs w:val="21"/>
                      <w:highlight w:val="none"/>
                    </w:rPr>
                    <w:t>）</w:t>
                  </w:r>
                </w:p>
              </w:tc>
              <w:tc>
                <w:tcPr>
                  <w:tcW w:w="31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排放速率（kg/h）</w:t>
                  </w:r>
                </w:p>
              </w:tc>
              <w:tc>
                <w:tcPr>
                  <w:tcW w:w="35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排放量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63"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4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41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2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olor w:val="auto"/>
                      <w:spacing w:val="-11"/>
                      <w:lang w:eastAsia="zh-CN"/>
                    </w:rPr>
                  </w:pPr>
                  <w:r>
                    <w:rPr>
                      <w:rFonts w:hint="eastAsia"/>
                      <w:color w:val="auto"/>
                      <w:spacing w:val="-11"/>
                      <w:lang w:eastAsia="zh-CN"/>
                    </w:rPr>
                    <w:t>名称及工艺</w:t>
                  </w:r>
                </w:p>
              </w:tc>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处理能力</w:t>
                  </w:r>
                  <w:r>
                    <w:rPr>
                      <w:rFonts w:hint="eastAsia"/>
                      <w:color w:val="auto"/>
                      <w:spacing w:val="-11"/>
                      <w:lang w:val="en-US" w:eastAsia="zh-CN"/>
                    </w:rPr>
                    <w:t>(m</w:t>
                  </w:r>
                  <w:r>
                    <w:rPr>
                      <w:rFonts w:hint="eastAsia"/>
                      <w:color w:val="auto"/>
                      <w:spacing w:val="-11"/>
                      <w:vertAlign w:val="superscript"/>
                      <w:lang w:val="en-US" w:eastAsia="zh-CN"/>
                    </w:rPr>
                    <w:t>3</w:t>
                  </w:r>
                  <w:r>
                    <w:rPr>
                      <w:rFonts w:hint="eastAsia"/>
                      <w:color w:val="auto"/>
                      <w:spacing w:val="-11"/>
                      <w:lang w:val="en-US" w:eastAsia="zh-CN"/>
                    </w:rPr>
                    <w:t>/h)</w:t>
                  </w:r>
                </w:p>
              </w:tc>
              <w:tc>
                <w:tcPr>
                  <w:tcW w:w="3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收集效率</w:t>
                  </w:r>
                  <w:r>
                    <w:rPr>
                      <w:rFonts w:hint="eastAsia"/>
                      <w:color w:val="auto"/>
                      <w:spacing w:val="-11"/>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去除效率</w:t>
                  </w:r>
                  <w:r>
                    <w:rPr>
                      <w:rFonts w:hint="eastAsia"/>
                      <w:color w:val="auto"/>
                      <w:spacing w:val="-11"/>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是否为可行技术</w:t>
                  </w:r>
                </w:p>
              </w:tc>
              <w:tc>
                <w:tcPr>
                  <w:tcW w:w="31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1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olor w:val="auto"/>
                      <w:spacing w:val="-11"/>
                      <w:lang w:val="en-US" w:eastAsia="zh-CN"/>
                    </w:rPr>
                  </w:pPr>
                  <w:r>
                    <w:rPr>
                      <w:rFonts w:hint="eastAsia"/>
                      <w:color w:val="auto"/>
                      <w:spacing w:val="-11"/>
                      <w:lang w:val="en-US" w:eastAsia="zh-CN"/>
                    </w:rPr>
                    <w:t>汽油装车废气（含应急汽油卸车废气）（P1）</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eastAsia="宋体"/>
                      <w:color w:val="auto"/>
                      <w:spacing w:val="-11"/>
                      <w:lang w:val="en-US" w:eastAsia="zh-CN"/>
                    </w:rPr>
                  </w:pPr>
                  <w:r>
                    <w:rPr>
                      <w:rFonts w:hint="eastAsia"/>
                      <w:color w:val="auto"/>
                      <w:spacing w:val="-11"/>
                      <w:lang w:val="en-US" w:eastAsia="zh-CN"/>
                    </w:rPr>
                    <w:t>非甲烷总烃</w:t>
                  </w:r>
                </w:p>
              </w:tc>
              <w:tc>
                <w:tcPr>
                  <w:tcW w:w="36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olor w:val="auto"/>
                      <w:spacing w:val="-11"/>
                      <w:lang w:val="en-US"/>
                    </w:rPr>
                  </w:pPr>
                  <w:r>
                    <w:rPr>
                      <w:rFonts w:hint="eastAsia" w:ascii="Times New Roman" w:hAnsi="Times New Roman" w:eastAsia="宋体" w:cs="Times New Roman"/>
                      <w:i w:val="0"/>
                      <w:iCs w:val="0"/>
                      <w:color w:val="auto"/>
                      <w:kern w:val="0"/>
                      <w:sz w:val="21"/>
                      <w:szCs w:val="21"/>
                      <w:u w:val="none"/>
                      <w:lang w:val="en-US" w:eastAsia="zh-CN" w:bidi="ar"/>
                    </w:rPr>
                    <w:t>213.735g/m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color w:val="auto"/>
                      <w:spacing w:val="-11"/>
                    </w:rPr>
                  </w:pPr>
                  <w:r>
                    <w:rPr>
                      <w:rFonts w:hint="eastAsia" w:ascii="Times New Roman" w:hAnsi="Times New Roman" w:eastAsia="宋体" w:cs="Times New Roman"/>
                      <w:i w:val="0"/>
                      <w:iCs w:val="0"/>
                      <w:color w:val="auto"/>
                      <w:kern w:val="0"/>
                      <w:sz w:val="21"/>
                      <w:szCs w:val="21"/>
                      <w:u w:val="none"/>
                      <w:lang w:val="en-US" w:eastAsia="zh-CN" w:bidi="ar"/>
                    </w:rPr>
                    <w:t xml:space="preserve">128.241 </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olor w:val="auto"/>
                      <w:spacing w:val="-11"/>
                      <w:lang w:val="en-US" w:eastAsia="zh-CN"/>
                    </w:rPr>
                  </w:pPr>
                  <w:r>
                    <w:rPr>
                      <w:rFonts w:hint="eastAsia"/>
                      <w:color w:val="auto"/>
                      <w:spacing w:val="-11"/>
                      <w:lang w:val="en-US" w:eastAsia="zh-CN"/>
                    </w:rPr>
                    <w:t>134.653</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olor w:val="auto"/>
                      <w:spacing w:val="-11"/>
                      <w:lang w:val="en-US" w:eastAsia="zh-CN"/>
                    </w:rPr>
                  </w:pPr>
                  <w:r>
                    <w:rPr>
                      <w:rFonts w:hint="eastAsia"/>
                      <w:color w:val="auto"/>
                      <w:spacing w:val="-11"/>
                      <w:lang w:val="en-US" w:eastAsia="zh-CN"/>
                    </w:rPr>
                    <w:t>有组织</w:t>
                  </w:r>
                </w:p>
              </w:tc>
              <w:tc>
                <w:tcPr>
                  <w:tcW w:w="2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olor w:val="auto"/>
                      <w:spacing w:val="-11"/>
                      <w:lang w:val="en-US" w:eastAsia="zh-CN"/>
                    </w:rPr>
                  </w:pPr>
                  <w:r>
                    <w:rPr>
                      <w:rFonts w:hint="eastAsia"/>
                      <w:color w:val="auto"/>
                      <w:spacing w:val="-11"/>
                      <w:lang w:val="en-US" w:eastAsia="zh-CN"/>
                    </w:rPr>
                    <w:t>密闭鹤管</w:t>
                  </w:r>
                </w:p>
              </w:tc>
              <w:tc>
                <w:tcPr>
                  <w:tcW w:w="27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olor w:val="auto"/>
                      <w:spacing w:val="-11"/>
                      <w:lang w:val="en-US" w:eastAsia="zh-CN"/>
                    </w:rPr>
                  </w:pPr>
                  <w:r>
                    <w:rPr>
                      <w:rFonts w:hint="eastAsia"/>
                      <w:color w:val="auto"/>
                      <w:spacing w:val="-11"/>
                      <w:lang w:val="en-US" w:eastAsia="zh-CN"/>
                    </w:rPr>
                    <w:t>油气回收装置+20m高排气筒</w:t>
                  </w:r>
                </w:p>
              </w:tc>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600（1050h）</w:t>
                  </w:r>
                </w:p>
              </w:tc>
              <w:tc>
                <w:tcPr>
                  <w:tcW w:w="3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100</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98</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可行</w:t>
                  </w:r>
                </w:p>
              </w:tc>
              <w:tc>
                <w:tcPr>
                  <w:tcW w:w="3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olor w:val="auto"/>
                      <w:spacing w:val="-11"/>
                      <w:lang w:val="en-US"/>
                    </w:rPr>
                  </w:pPr>
                  <w:r>
                    <w:rPr>
                      <w:rFonts w:hint="eastAsia" w:ascii="Times New Roman" w:hAnsi="Times New Roman" w:eastAsia="宋体" w:cs="Times New Roman"/>
                      <w:i w:val="0"/>
                      <w:iCs w:val="0"/>
                      <w:color w:val="auto"/>
                      <w:kern w:val="0"/>
                      <w:sz w:val="21"/>
                      <w:szCs w:val="21"/>
                      <w:u w:val="none"/>
                      <w:lang w:val="en-US" w:eastAsia="zh-CN" w:bidi="ar"/>
                    </w:rPr>
                    <w:t>4.275g/m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eastAsia="宋体"/>
                      <w:color w:val="auto"/>
                      <w:spacing w:val="-11"/>
                      <w:lang w:val="en-US" w:eastAsia="zh-CN"/>
                    </w:rPr>
                  </w:pPr>
                  <w:r>
                    <w:rPr>
                      <w:rFonts w:hint="eastAsia"/>
                      <w:color w:val="auto"/>
                      <w:spacing w:val="-11"/>
                      <w:lang w:val="en-US" w:eastAsia="zh-CN"/>
                    </w:rPr>
                    <w:t>2.565</w:t>
                  </w:r>
                </w:p>
              </w:tc>
              <w:tc>
                <w:tcPr>
                  <w:tcW w:w="35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olor w:val="auto"/>
                      <w:spacing w:val="-11"/>
                      <w:lang w:val="en-US"/>
                    </w:rPr>
                  </w:pPr>
                  <w:r>
                    <w:rPr>
                      <w:rFonts w:hint="eastAsia" w:ascii="Times New Roman" w:hAnsi="Times New Roman" w:eastAsia="宋体" w:cs="Times New Roman"/>
                      <w:i w:val="0"/>
                      <w:iCs w:val="0"/>
                      <w:color w:val="auto"/>
                      <w:kern w:val="0"/>
                      <w:sz w:val="21"/>
                      <w:szCs w:val="21"/>
                      <w:u w:val="none"/>
                      <w:lang w:val="en-US" w:eastAsia="zh-CN" w:bidi="ar"/>
                    </w:rPr>
                    <w:t>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olor w:val="auto"/>
                      <w:spacing w:val="-11"/>
                      <w:lang w:val="en-US" w:eastAsia="zh-CN"/>
                    </w:rPr>
                  </w:pPr>
                  <w:r>
                    <w:rPr>
                      <w:rFonts w:hint="eastAsia"/>
                      <w:color w:val="auto"/>
                      <w:spacing w:val="-11"/>
                      <w:lang w:val="en-US" w:eastAsia="zh-CN"/>
                    </w:rPr>
                    <w:t>汽油扫仓废气（P1）</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非甲烷总烃</w:t>
                  </w:r>
                </w:p>
              </w:tc>
              <w:tc>
                <w:tcPr>
                  <w:tcW w:w="36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160.301g/m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96.181</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134.653</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有组织</w:t>
                  </w:r>
                </w:p>
              </w:tc>
              <w:tc>
                <w:tcPr>
                  <w:tcW w:w="2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密闭软管</w:t>
                  </w:r>
                </w:p>
              </w:tc>
              <w:tc>
                <w:tcPr>
                  <w:tcW w:w="27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olor w:val="auto"/>
                      <w:spacing w:val="-11"/>
                      <w:lang w:val="en-US" w:eastAsia="zh-CN"/>
                    </w:rPr>
                  </w:pPr>
                </w:p>
              </w:tc>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600（1400h）</w:t>
                  </w:r>
                </w:p>
              </w:tc>
              <w:tc>
                <w:tcPr>
                  <w:tcW w:w="3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100</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98</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可行</w:t>
                  </w:r>
                </w:p>
              </w:tc>
              <w:tc>
                <w:tcPr>
                  <w:tcW w:w="3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11"/>
                      <w:kern w:val="2"/>
                      <w:sz w:val="21"/>
                      <w:szCs w:val="24"/>
                      <w:lang w:val="en-US" w:eastAsia="zh-CN" w:bidi="ar-SA"/>
                    </w:rPr>
                  </w:pPr>
                  <w:r>
                    <w:rPr>
                      <w:rFonts w:hint="eastAsia" w:cs="Times New Roman"/>
                      <w:color w:val="auto"/>
                      <w:spacing w:val="-11"/>
                      <w:kern w:val="2"/>
                      <w:sz w:val="21"/>
                      <w:szCs w:val="24"/>
                      <w:lang w:val="en-US" w:eastAsia="zh-CN" w:bidi="ar-SA"/>
                    </w:rPr>
                    <w:t>3.206g/m</w:t>
                  </w:r>
                  <w:r>
                    <w:rPr>
                      <w:rFonts w:hint="eastAsia" w:cs="Times New Roman"/>
                      <w:color w:val="auto"/>
                      <w:spacing w:val="-11"/>
                      <w:kern w:val="2"/>
                      <w:sz w:val="21"/>
                      <w:szCs w:val="24"/>
                      <w:vertAlign w:val="superscript"/>
                      <w:lang w:val="en-US" w:eastAsia="zh-CN" w:bidi="ar-SA"/>
                    </w:rPr>
                    <w:t>3</w:t>
                  </w:r>
                </w:p>
              </w:tc>
              <w:tc>
                <w:tcPr>
                  <w:tcW w:w="3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1.924</w:t>
                  </w:r>
                </w:p>
              </w:tc>
              <w:tc>
                <w:tcPr>
                  <w:tcW w:w="35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olor w:val="auto"/>
                      <w:spacing w:val="-11"/>
                      <w:lang w:val="en-US" w:eastAsia="zh-CN"/>
                    </w:rPr>
                  </w:pPr>
                  <w:r>
                    <w:rPr>
                      <w:rFonts w:hint="eastAsia"/>
                      <w:color w:val="auto"/>
                      <w:spacing w:val="-11"/>
                      <w:lang w:val="en-US" w:eastAsia="zh-CN"/>
                    </w:rPr>
                    <w:t>最不利情况（装车废气和扫仓废气同时产生）（P1）</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olor w:val="auto"/>
                      <w:spacing w:val="-11"/>
                      <w:lang w:val="en-US" w:eastAsia="zh-CN"/>
                    </w:rPr>
                  </w:pPr>
                  <w:r>
                    <w:rPr>
                      <w:rFonts w:hint="eastAsia"/>
                      <w:color w:val="auto"/>
                      <w:spacing w:val="-11"/>
                      <w:lang w:val="en-US" w:eastAsia="zh-CN"/>
                    </w:rPr>
                    <w:t>非甲烷总烃</w:t>
                  </w:r>
                </w:p>
              </w:tc>
              <w:tc>
                <w:tcPr>
                  <w:tcW w:w="36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374.036g/m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1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224.422</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269.306</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有组织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olor w:val="auto"/>
                      <w:spacing w:val="-11"/>
                      <w:lang w:val="en-US" w:eastAsia="zh-CN"/>
                    </w:rPr>
                  </w:pPr>
                  <w:r>
                    <w:rPr>
                      <w:rFonts w:hint="eastAsia"/>
                      <w:color w:val="auto"/>
                      <w:spacing w:val="-11"/>
                      <w:lang w:val="en-US" w:eastAsia="zh-CN"/>
                    </w:rPr>
                    <w:t>油气回收装置+20m高排气筒</w:t>
                  </w:r>
                </w:p>
              </w:tc>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600</w:t>
                  </w:r>
                </w:p>
              </w:tc>
              <w:tc>
                <w:tcPr>
                  <w:tcW w:w="3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100</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98</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可行</w:t>
                  </w:r>
                </w:p>
              </w:tc>
              <w:tc>
                <w:tcPr>
                  <w:tcW w:w="3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color w:val="auto"/>
                      <w:spacing w:val="-11"/>
                      <w:kern w:val="2"/>
                      <w:sz w:val="21"/>
                      <w:szCs w:val="24"/>
                      <w:lang w:val="en-US" w:eastAsia="zh-CN" w:bidi="ar-SA"/>
                    </w:rPr>
                  </w:pPr>
                  <w:r>
                    <w:rPr>
                      <w:rFonts w:hint="eastAsia" w:cs="Times New Roman"/>
                      <w:color w:val="auto"/>
                      <w:spacing w:val="-11"/>
                      <w:kern w:val="2"/>
                      <w:sz w:val="21"/>
                      <w:szCs w:val="24"/>
                      <w:lang w:val="en-US" w:eastAsia="zh-CN" w:bidi="ar-SA"/>
                    </w:rPr>
                    <w:t>7.481g/m</w:t>
                  </w:r>
                  <w:r>
                    <w:rPr>
                      <w:rFonts w:hint="eastAsia" w:cs="Times New Roman"/>
                      <w:color w:val="auto"/>
                      <w:spacing w:val="-11"/>
                      <w:kern w:val="2"/>
                      <w:sz w:val="21"/>
                      <w:szCs w:val="24"/>
                      <w:vertAlign w:val="superscript"/>
                      <w:lang w:val="en-US" w:eastAsia="zh-CN" w:bidi="ar-SA"/>
                    </w:rPr>
                    <w:t>3</w:t>
                  </w:r>
                </w:p>
              </w:tc>
              <w:tc>
                <w:tcPr>
                  <w:tcW w:w="3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4.489</w:t>
                  </w:r>
                </w:p>
              </w:tc>
              <w:tc>
                <w:tcPr>
                  <w:tcW w:w="35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color w:val="auto"/>
                      <w:spacing w:val="-11"/>
                      <w:sz w:val="21"/>
                      <w:szCs w:val="21"/>
                      <w:highlight w:val="none"/>
                      <w:lang w:eastAsia="zh-CN"/>
                    </w:rPr>
                  </w:pPr>
                  <w:r>
                    <w:rPr>
                      <w:rFonts w:hint="default" w:cs="Times New Roman"/>
                      <w:color w:val="auto"/>
                      <w:spacing w:val="-11"/>
                      <w:sz w:val="21"/>
                      <w:szCs w:val="21"/>
                      <w:highlight w:val="none"/>
                    </w:rPr>
                    <w:t>食堂油烟</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P2</w:t>
                  </w:r>
                  <w:r>
                    <w:rPr>
                      <w:rFonts w:hint="eastAsia" w:cs="Times New Roman"/>
                      <w:color w:val="auto"/>
                      <w:spacing w:val="-11"/>
                      <w:sz w:val="21"/>
                      <w:szCs w:val="21"/>
                      <w:highlight w:val="none"/>
                      <w:lang w:eastAsia="zh-CN"/>
                    </w:rPr>
                    <w:t>）</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rPr>
                  </w:pPr>
                  <w:r>
                    <w:rPr>
                      <w:rFonts w:hint="default" w:cs="Times New Roman"/>
                      <w:color w:val="auto"/>
                      <w:spacing w:val="-11"/>
                      <w:sz w:val="21"/>
                      <w:szCs w:val="21"/>
                      <w:highlight w:val="none"/>
                    </w:rPr>
                    <w:t>油烟</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2.15</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0.0043</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0.00676</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有组织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rPr>
                  </w:pPr>
                  <w:r>
                    <w:rPr>
                      <w:rFonts w:hint="default" w:cs="Times New Roman"/>
                      <w:color w:val="auto"/>
                      <w:spacing w:val="-11"/>
                      <w:sz w:val="21"/>
                      <w:szCs w:val="21"/>
                      <w:highlight w:val="none"/>
                    </w:rPr>
                    <w:t>油烟集气罩+油烟净化装置+</w:t>
                  </w:r>
                  <w:r>
                    <w:rPr>
                      <w:rFonts w:hint="eastAsia" w:cs="Times New Roman"/>
                      <w:color w:val="auto"/>
                      <w:spacing w:val="-11"/>
                      <w:sz w:val="21"/>
                      <w:szCs w:val="21"/>
                      <w:highlight w:val="none"/>
                      <w:lang w:val="en-US" w:eastAsia="zh-CN"/>
                    </w:rPr>
                    <w:t>综合楼</w:t>
                  </w:r>
                  <w:r>
                    <w:rPr>
                      <w:rFonts w:hint="default" w:cs="Times New Roman"/>
                      <w:color w:val="auto"/>
                      <w:spacing w:val="-11"/>
                      <w:sz w:val="21"/>
                      <w:szCs w:val="21"/>
                      <w:highlight w:val="none"/>
                    </w:rPr>
                    <w:t>顶排放</w:t>
                  </w:r>
                  <w:r>
                    <w:rPr>
                      <w:rFonts w:hint="eastAsia" w:cs="Times New Roman"/>
                      <w:color w:val="auto"/>
                      <w:spacing w:val="-11"/>
                      <w:sz w:val="21"/>
                      <w:szCs w:val="21"/>
                      <w:highlight w:val="none"/>
                    </w:rPr>
                    <w:t>（</w:t>
                  </w:r>
                  <w:r>
                    <w:rPr>
                      <w:rFonts w:hint="eastAsia" w:cs="Times New Roman"/>
                      <w:color w:val="auto"/>
                      <w:spacing w:val="-11"/>
                      <w:sz w:val="21"/>
                      <w:szCs w:val="21"/>
                      <w:highlight w:val="none"/>
                      <w:lang w:val="en-US" w:eastAsia="zh-CN"/>
                    </w:rPr>
                    <w:t>10</w:t>
                  </w:r>
                  <w:r>
                    <w:rPr>
                      <w:rFonts w:hint="eastAsia" w:cs="Times New Roman"/>
                      <w:color w:val="auto"/>
                      <w:spacing w:val="-11"/>
                      <w:sz w:val="21"/>
                      <w:szCs w:val="21"/>
                      <w:highlight w:val="none"/>
                    </w:rPr>
                    <w:t>m）</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2000(1575h/a)</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100</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60</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0.86</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0.00172</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卸油废气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鹤管+软管</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密闭卸车，罐车顶部气相口关闭</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1400h</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储罐储存废气</w:t>
                  </w:r>
                </w:p>
              </w:tc>
              <w:tc>
                <w:tcPr>
                  <w:tcW w:w="2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“大呼吸”废气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浮顶罐+高效二次密封</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夏季采用自动喷淋降温</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1400h</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1.101</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1.541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p>
              </w:tc>
              <w:tc>
                <w:tcPr>
                  <w:tcW w:w="28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“小呼吸”废气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eastAsia="zh-CN"/>
                    </w:rPr>
                  </w:pP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8400h</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0.669</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5.623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柴油扫仓废气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非甲烷总烃</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1.341</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1.878</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密闭软管收集后排放</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1400h</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1.341</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1.878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柴油装车废气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1.789</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1.878</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密闭发油鹤管收集后排放</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1050h</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1.789</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1.878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化验室废气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0.000238</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0.000667</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通风柜收集后排放</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2800h</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0.000238</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0.000667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污水处理站废气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非甲烷总烃、氨、硫化氢、臭气浓度</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加盖密闭</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8760h</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100</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柴油发电机废气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CO、NOx、HC</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设置排放系统，加强管理</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100</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63"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汽车尾气</w:t>
                  </w: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CO</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0.03585</w:t>
                  </w:r>
                </w:p>
              </w:tc>
              <w:tc>
                <w:tcPr>
                  <w:tcW w:w="25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缩短车辆在库内的怠速时间，降低车辆运输车速，加强管理</w:t>
                  </w:r>
                </w:p>
              </w:tc>
              <w:tc>
                <w:tcPr>
                  <w:tcW w:w="349"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0.03585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63"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color w:val="auto"/>
                    </w:rPr>
                  </w:pP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NOx</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0.00642</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547"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63"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34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THC</w:t>
                  </w:r>
                </w:p>
              </w:tc>
              <w:tc>
                <w:tcPr>
                  <w:tcW w:w="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4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2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0.01807</w:t>
                  </w:r>
                </w:p>
              </w:tc>
              <w:tc>
                <w:tcPr>
                  <w:tcW w:w="25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547" w:type="pct"/>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5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0.01807</w:t>
                  </w:r>
                </w:p>
              </w:tc>
            </w:tr>
          </w:tbl>
          <w:p>
            <w:pPr>
              <w:pStyle w:val="40"/>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Times New Roman" w:hAnsi="Times New Roman"/>
                <w:b/>
                <w:bCs w:val="0"/>
                <w:color w:val="auto"/>
                <w:sz w:val="24"/>
                <w:szCs w:val="24"/>
              </w:rPr>
            </w:pPr>
          </w:p>
          <w:p>
            <w:pPr>
              <w:pStyle w:val="40"/>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Times New Roman" w:hAnsi="Times New Roman"/>
                <w:b/>
                <w:bCs w:val="0"/>
                <w:color w:val="auto"/>
                <w:sz w:val="24"/>
                <w:szCs w:val="24"/>
              </w:rPr>
            </w:pPr>
          </w:p>
          <w:p>
            <w:pPr>
              <w:pStyle w:val="40"/>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b/>
                <w:bCs w:val="0"/>
                <w:color w:val="auto"/>
                <w:sz w:val="24"/>
                <w:szCs w:val="24"/>
              </w:rPr>
            </w:pPr>
            <w:r>
              <w:rPr>
                <w:rFonts w:ascii="Times New Roman" w:hAnsi="Times New Roman"/>
                <w:b/>
                <w:bCs w:val="0"/>
                <w:color w:val="auto"/>
                <w:sz w:val="24"/>
                <w:szCs w:val="24"/>
              </w:rPr>
              <w:t>表</w:t>
            </w:r>
            <w:r>
              <w:rPr>
                <w:rFonts w:hint="eastAsia" w:ascii="Times New Roman" w:hAnsi="Times New Roman"/>
                <w:b/>
                <w:bCs w:val="0"/>
                <w:color w:val="auto"/>
                <w:sz w:val="24"/>
                <w:szCs w:val="24"/>
                <w:lang w:val="en-US" w:eastAsia="zh-CN"/>
              </w:rPr>
              <w:t xml:space="preserve">4-10   </w:t>
            </w:r>
            <w:r>
              <w:rPr>
                <w:rFonts w:ascii="Times New Roman" w:hAnsi="Times New Roman"/>
                <w:b/>
                <w:bCs w:val="0"/>
                <w:color w:val="auto"/>
                <w:sz w:val="24"/>
                <w:szCs w:val="24"/>
              </w:rPr>
              <w:t xml:space="preserve"> </w:t>
            </w:r>
            <w:r>
              <w:rPr>
                <w:rFonts w:hint="eastAsia" w:ascii="Times New Roman" w:hAnsi="Times New Roman"/>
                <w:b/>
                <w:bCs w:val="0"/>
                <w:color w:val="auto"/>
                <w:sz w:val="24"/>
                <w:szCs w:val="24"/>
                <w:lang w:eastAsia="zh-CN"/>
              </w:rPr>
              <w:t>拟建</w:t>
            </w:r>
            <w:r>
              <w:rPr>
                <w:rFonts w:ascii="Times New Roman" w:hAnsi="Times New Roman"/>
                <w:b/>
                <w:bCs w:val="0"/>
                <w:color w:val="auto"/>
                <w:sz w:val="24"/>
                <w:szCs w:val="24"/>
              </w:rPr>
              <w:t>项目</w:t>
            </w:r>
            <w:r>
              <w:rPr>
                <w:rFonts w:hint="eastAsia" w:ascii="Times New Roman" w:hAnsi="Times New Roman"/>
                <w:b/>
                <w:bCs w:val="0"/>
                <w:color w:val="auto"/>
                <w:sz w:val="24"/>
                <w:szCs w:val="24"/>
              </w:rPr>
              <w:t>有组织</w:t>
            </w:r>
            <w:r>
              <w:rPr>
                <w:rFonts w:ascii="Times New Roman" w:hAnsi="Times New Roman"/>
                <w:b/>
                <w:bCs w:val="0"/>
                <w:color w:val="auto"/>
                <w:sz w:val="24"/>
                <w:szCs w:val="24"/>
              </w:rPr>
              <w:t>废气</w:t>
            </w:r>
            <w:r>
              <w:rPr>
                <w:rFonts w:hint="eastAsia" w:ascii="Times New Roman" w:hAnsi="Times New Roman"/>
                <w:b/>
                <w:bCs w:val="0"/>
                <w:color w:val="auto"/>
                <w:sz w:val="24"/>
                <w:szCs w:val="24"/>
              </w:rPr>
              <w:t>排污口</w:t>
            </w:r>
            <w:r>
              <w:rPr>
                <w:rFonts w:ascii="Times New Roman" w:hAnsi="Times New Roman"/>
                <w:b/>
                <w:bCs w:val="0"/>
                <w:color w:val="auto"/>
                <w:sz w:val="24"/>
                <w:szCs w:val="24"/>
              </w:rPr>
              <w:t>情况一览表</w:t>
            </w:r>
          </w:p>
          <w:tbl>
            <w:tblPr>
              <w:tblStyle w:val="19"/>
              <w:tblW w:w="12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204"/>
              <w:gridCol w:w="1708"/>
              <w:gridCol w:w="888"/>
              <w:gridCol w:w="885"/>
              <w:gridCol w:w="1035"/>
              <w:gridCol w:w="1453"/>
              <w:gridCol w:w="1418"/>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02" w:type="dxa"/>
                  <w:vMerge w:val="restart"/>
                  <w:tcBorders>
                    <w:tl2br w:val="nil"/>
                    <w:tr2bl w:val="nil"/>
                  </w:tcBorders>
                  <w:noWrap w:val="0"/>
                  <w:vAlign w:val="center"/>
                </w:tcPr>
                <w:p>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排气筒编号</w:t>
                  </w:r>
                </w:p>
              </w:tc>
              <w:tc>
                <w:tcPr>
                  <w:tcW w:w="2204" w:type="dxa"/>
                  <w:vMerge w:val="restart"/>
                  <w:tcBorders>
                    <w:tl2br w:val="nil"/>
                    <w:tr2bl w:val="nil"/>
                  </w:tcBorders>
                  <w:noWrap w:val="0"/>
                  <w:vAlign w:val="center"/>
                </w:tcPr>
                <w:p>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排气筒名称</w:t>
                  </w:r>
                </w:p>
              </w:tc>
              <w:tc>
                <w:tcPr>
                  <w:tcW w:w="1708" w:type="dxa"/>
                  <w:vMerge w:val="restart"/>
                  <w:tcBorders>
                    <w:tl2br w:val="nil"/>
                    <w:tr2bl w:val="nil"/>
                  </w:tcBorders>
                  <w:noWrap w:val="0"/>
                  <w:vAlign w:val="center"/>
                </w:tcPr>
                <w:p>
                  <w:pPr>
                    <w:pStyle w:val="40"/>
                    <w:adjustRightInd w:val="0"/>
                    <w:snapToGrid w:val="0"/>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污染物名称</w:t>
                  </w:r>
                </w:p>
              </w:tc>
              <w:tc>
                <w:tcPr>
                  <w:tcW w:w="888" w:type="dxa"/>
                  <w:vMerge w:val="restart"/>
                  <w:tcBorders>
                    <w:tl2br w:val="nil"/>
                    <w:tr2bl w:val="nil"/>
                  </w:tcBorders>
                  <w:noWrap w:val="0"/>
                  <w:vAlign w:val="center"/>
                </w:tcPr>
                <w:p>
                  <w:pPr>
                    <w:pStyle w:val="40"/>
                    <w:adjustRightInd w:val="0"/>
                    <w:snapToGrid w:val="0"/>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高度</w:t>
                  </w:r>
                  <w:r>
                    <w:rPr>
                      <w:rFonts w:hint="eastAsia" w:ascii="Times New Roman" w:hAnsi="Times New Roman"/>
                      <w:color w:val="auto"/>
                      <w:sz w:val="21"/>
                      <w:szCs w:val="21"/>
                      <w:lang w:eastAsia="zh-CN"/>
                    </w:rPr>
                    <w:t>（</w:t>
                  </w:r>
                  <w:r>
                    <w:rPr>
                      <w:rFonts w:hint="eastAsia" w:ascii="Times New Roman" w:hAnsi="Times New Roman"/>
                      <w:color w:val="auto"/>
                      <w:sz w:val="21"/>
                      <w:szCs w:val="21"/>
                    </w:rPr>
                    <w:t>m</w:t>
                  </w:r>
                  <w:r>
                    <w:rPr>
                      <w:rFonts w:hint="eastAsia" w:ascii="Times New Roman" w:hAnsi="Times New Roman"/>
                      <w:color w:val="auto"/>
                      <w:sz w:val="21"/>
                      <w:szCs w:val="21"/>
                      <w:lang w:eastAsia="zh-CN"/>
                    </w:rPr>
                    <w:t>）</w:t>
                  </w:r>
                </w:p>
              </w:tc>
              <w:tc>
                <w:tcPr>
                  <w:tcW w:w="885" w:type="dxa"/>
                  <w:vMerge w:val="restart"/>
                  <w:tcBorders>
                    <w:tl2br w:val="nil"/>
                    <w:tr2bl w:val="nil"/>
                  </w:tcBorders>
                  <w:noWrap w:val="0"/>
                  <w:vAlign w:val="center"/>
                </w:tcPr>
                <w:p>
                  <w:pPr>
                    <w:pStyle w:val="40"/>
                    <w:adjustRightInd w:val="0"/>
                    <w:snapToGrid w:val="0"/>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内径</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m</w:t>
                  </w:r>
                  <w:r>
                    <w:rPr>
                      <w:rFonts w:hint="eastAsia" w:ascii="Times New Roman" w:hAnsi="Times New Roman"/>
                      <w:color w:val="auto"/>
                      <w:sz w:val="21"/>
                      <w:szCs w:val="21"/>
                      <w:lang w:eastAsia="zh-CN"/>
                    </w:rPr>
                    <w:t>）</w:t>
                  </w:r>
                </w:p>
              </w:tc>
              <w:tc>
                <w:tcPr>
                  <w:tcW w:w="1035" w:type="dxa"/>
                  <w:vMerge w:val="restart"/>
                  <w:tcBorders>
                    <w:tl2br w:val="nil"/>
                    <w:tr2bl w:val="nil"/>
                  </w:tcBorders>
                  <w:noWrap w:val="0"/>
                  <w:vAlign w:val="center"/>
                </w:tcPr>
                <w:p>
                  <w:pPr>
                    <w:pStyle w:val="40"/>
                    <w:adjustRightInd w:val="0"/>
                    <w:snapToGrid w:val="0"/>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温度</w:t>
                  </w:r>
                </w:p>
                <w:p>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（°C）</w:t>
                  </w:r>
                </w:p>
              </w:tc>
              <w:tc>
                <w:tcPr>
                  <w:tcW w:w="1453" w:type="dxa"/>
                  <w:vMerge w:val="restart"/>
                  <w:tcBorders>
                    <w:tl2br w:val="nil"/>
                    <w:tr2bl w:val="nil"/>
                  </w:tcBorders>
                  <w:noWrap w:val="0"/>
                  <w:vAlign w:val="center"/>
                </w:tcPr>
                <w:p>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类型</w:t>
                  </w:r>
                </w:p>
              </w:tc>
              <w:tc>
                <w:tcPr>
                  <w:tcW w:w="2701" w:type="dxa"/>
                  <w:gridSpan w:val="2"/>
                  <w:tcBorders>
                    <w:tl2br w:val="nil"/>
                    <w:tr2bl w:val="nil"/>
                  </w:tcBorders>
                  <w:noWrap w:val="0"/>
                  <w:vAlign w:val="center"/>
                </w:tcPr>
                <w:p>
                  <w:pPr>
                    <w:pStyle w:val="40"/>
                    <w:adjustRightInd w:val="0"/>
                    <w:snapToGrid w:val="0"/>
                    <w:ind w:firstLine="0" w:firstLineChars="0"/>
                    <w:jc w:val="center"/>
                    <w:rPr>
                      <w:rFonts w:ascii="Times New Roman" w:hAnsi="Times New Roman"/>
                      <w:color w:val="auto"/>
                      <w:sz w:val="21"/>
                      <w:szCs w:val="21"/>
                    </w:rPr>
                  </w:pPr>
                  <w:r>
                    <w:rPr>
                      <w:rFonts w:ascii="Times New Roman" w:hAnsi="Times New Roman"/>
                      <w:color w:val="auto"/>
                      <w:sz w:val="21"/>
                      <w:szCs w:val="21"/>
                    </w:rPr>
                    <w:t>排气筒底部中心坐标(</w:t>
                  </w:r>
                  <w:r>
                    <w:rPr>
                      <w:rFonts w:hint="eastAsia" w:ascii="Times New Roman" w:hAnsi="Times New Roman"/>
                      <w:color w:val="auto"/>
                      <w:sz w:val="21"/>
                      <w:szCs w:val="21"/>
                    </w:rPr>
                    <w:t>°</w:t>
                  </w:r>
                  <w:r>
                    <w:rPr>
                      <w:rFonts w:ascii="Times New Roman" w:hAns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02" w:type="dxa"/>
                  <w:vMerge w:val="continue"/>
                  <w:tcBorders>
                    <w:tl2br w:val="nil"/>
                    <w:tr2bl w:val="nil"/>
                  </w:tcBorders>
                  <w:noWrap w:val="0"/>
                  <w:vAlign w:val="center"/>
                </w:tcPr>
                <w:p>
                  <w:pPr>
                    <w:pStyle w:val="40"/>
                    <w:adjustRightInd w:val="0"/>
                    <w:snapToGrid w:val="0"/>
                    <w:ind w:firstLine="0" w:firstLineChars="0"/>
                    <w:jc w:val="center"/>
                    <w:rPr>
                      <w:color w:val="auto"/>
                    </w:rPr>
                  </w:pPr>
                </w:p>
              </w:tc>
              <w:tc>
                <w:tcPr>
                  <w:tcW w:w="2204" w:type="dxa"/>
                  <w:vMerge w:val="continue"/>
                  <w:tcBorders>
                    <w:tl2br w:val="nil"/>
                    <w:tr2bl w:val="nil"/>
                  </w:tcBorders>
                  <w:noWrap w:val="0"/>
                  <w:vAlign w:val="center"/>
                </w:tcPr>
                <w:p>
                  <w:pPr>
                    <w:pStyle w:val="40"/>
                    <w:adjustRightInd w:val="0"/>
                    <w:snapToGrid w:val="0"/>
                    <w:ind w:firstLine="0" w:firstLineChars="0"/>
                    <w:jc w:val="center"/>
                    <w:rPr>
                      <w:color w:val="auto"/>
                    </w:rPr>
                  </w:pPr>
                </w:p>
              </w:tc>
              <w:tc>
                <w:tcPr>
                  <w:tcW w:w="1708" w:type="dxa"/>
                  <w:vMerge w:val="continue"/>
                  <w:tcBorders>
                    <w:tl2br w:val="nil"/>
                    <w:tr2bl w:val="nil"/>
                  </w:tcBorders>
                  <w:noWrap w:val="0"/>
                  <w:vAlign w:val="center"/>
                </w:tcPr>
                <w:p>
                  <w:pPr>
                    <w:pStyle w:val="40"/>
                    <w:adjustRightInd w:val="0"/>
                    <w:snapToGrid w:val="0"/>
                    <w:ind w:firstLine="0" w:firstLineChars="0"/>
                    <w:jc w:val="center"/>
                    <w:rPr>
                      <w:color w:val="auto"/>
                    </w:rPr>
                  </w:pPr>
                </w:p>
              </w:tc>
              <w:tc>
                <w:tcPr>
                  <w:tcW w:w="888" w:type="dxa"/>
                  <w:vMerge w:val="continue"/>
                  <w:tcBorders>
                    <w:tl2br w:val="nil"/>
                    <w:tr2bl w:val="nil"/>
                  </w:tcBorders>
                  <w:noWrap w:val="0"/>
                  <w:vAlign w:val="center"/>
                </w:tcPr>
                <w:p>
                  <w:pPr>
                    <w:pStyle w:val="40"/>
                    <w:adjustRightInd w:val="0"/>
                    <w:snapToGrid w:val="0"/>
                    <w:ind w:firstLine="0" w:firstLineChars="0"/>
                    <w:jc w:val="center"/>
                    <w:rPr>
                      <w:color w:val="auto"/>
                    </w:rPr>
                  </w:pPr>
                </w:p>
              </w:tc>
              <w:tc>
                <w:tcPr>
                  <w:tcW w:w="885" w:type="dxa"/>
                  <w:vMerge w:val="continue"/>
                  <w:tcBorders>
                    <w:tl2br w:val="nil"/>
                    <w:tr2bl w:val="nil"/>
                  </w:tcBorders>
                  <w:noWrap w:val="0"/>
                  <w:vAlign w:val="center"/>
                </w:tcPr>
                <w:p>
                  <w:pPr>
                    <w:pStyle w:val="40"/>
                    <w:adjustRightInd w:val="0"/>
                    <w:snapToGrid w:val="0"/>
                    <w:ind w:firstLine="0" w:firstLineChars="0"/>
                    <w:jc w:val="center"/>
                    <w:rPr>
                      <w:color w:val="auto"/>
                    </w:rPr>
                  </w:pPr>
                </w:p>
              </w:tc>
              <w:tc>
                <w:tcPr>
                  <w:tcW w:w="1035" w:type="dxa"/>
                  <w:vMerge w:val="continue"/>
                  <w:tcBorders>
                    <w:tl2br w:val="nil"/>
                    <w:tr2bl w:val="nil"/>
                  </w:tcBorders>
                  <w:noWrap w:val="0"/>
                  <w:vAlign w:val="center"/>
                </w:tcPr>
                <w:p>
                  <w:pPr>
                    <w:pStyle w:val="40"/>
                    <w:adjustRightInd w:val="0"/>
                    <w:snapToGrid w:val="0"/>
                    <w:ind w:firstLine="0" w:firstLineChars="0"/>
                    <w:jc w:val="center"/>
                    <w:rPr>
                      <w:color w:val="auto"/>
                    </w:rPr>
                  </w:pPr>
                </w:p>
              </w:tc>
              <w:tc>
                <w:tcPr>
                  <w:tcW w:w="1453" w:type="dxa"/>
                  <w:vMerge w:val="continue"/>
                  <w:tcBorders>
                    <w:tl2br w:val="nil"/>
                    <w:tr2bl w:val="nil"/>
                  </w:tcBorders>
                  <w:noWrap w:val="0"/>
                  <w:vAlign w:val="center"/>
                </w:tcPr>
                <w:p>
                  <w:pPr>
                    <w:pStyle w:val="40"/>
                    <w:adjustRightInd w:val="0"/>
                    <w:snapToGrid w:val="0"/>
                    <w:ind w:firstLine="0" w:firstLineChars="0"/>
                    <w:jc w:val="center"/>
                    <w:rPr>
                      <w:color w:val="auto"/>
                    </w:rPr>
                  </w:pPr>
                </w:p>
              </w:tc>
              <w:tc>
                <w:tcPr>
                  <w:tcW w:w="1418" w:type="dxa"/>
                  <w:tcBorders>
                    <w:tl2br w:val="nil"/>
                    <w:tr2bl w:val="nil"/>
                  </w:tcBorders>
                  <w:noWrap w:val="0"/>
                  <w:vAlign w:val="center"/>
                </w:tcPr>
                <w:p>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经度</w:t>
                  </w:r>
                </w:p>
              </w:tc>
              <w:tc>
                <w:tcPr>
                  <w:tcW w:w="1283" w:type="dxa"/>
                  <w:tcBorders>
                    <w:tl2br w:val="nil"/>
                    <w:tr2bl w:val="nil"/>
                  </w:tcBorders>
                  <w:noWrap w:val="0"/>
                  <w:vAlign w:val="center"/>
                </w:tcPr>
                <w:p>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02"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DA001</w:t>
                  </w:r>
                </w:p>
              </w:tc>
              <w:tc>
                <w:tcPr>
                  <w:tcW w:w="2204"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汽油装车废气（含应急汽油卸车废气）、汽油扫仓废气排气筒</w:t>
                  </w:r>
                </w:p>
              </w:tc>
              <w:tc>
                <w:tcPr>
                  <w:tcW w:w="1708"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非甲烷总烃</w:t>
                  </w:r>
                </w:p>
              </w:tc>
              <w:tc>
                <w:tcPr>
                  <w:tcW w:w="888"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20</w:t>
                  </w:r>
                </w:p>
              </w:tc>
              <w:tc>
                <w:tcPr>
                  <w:tcW w:w="88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0.1</w:t>
                  </w:r>
                </w:p>
              </w:tc>
              <w:tc>
                <w:tcPr>
                  <w:tcW w:w="1035"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25</w:t>
                  </w:r>
                </w:p>
              </w:tc>
              <w:tc>
                <w:tcPr>
                  <w:tcW w:w="1453"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主要排放口</w:t>
                  </w:r>
                </w:p>
              </w:tc>
              <w:tc>
                <w:tcPr>
                  <w:tcW w:w="1418"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107.442306</w:t>
                  </w:r>
                </w:p>
              </w:tc>
              <w:tc>
                <w:tcPr>
                  <w:tcW w:w="1283"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31.296178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402"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DA002</w:t>
                  </w:r>
                </w:p>
              </w:tc>
              <w:tc>
                <w:tcPr>
                  <w:tcW w:w="2204" w:type="dxa"/>
                  <w:tcBorders>
                    <w:tl2br w:val="nil"/>
                    <w:tr2bl w:val="nil"/>
                  </w:tcBorders>
                  <w:noWrap w:val="0"/>
                  <w:vAlign w:val="center"/>
                </w:tcPr>
                <w:p>
                  <w:pPr>
                    <w:pStyle w:val="40"/>
                    <w:adjustRightInd w:val="0"/>
                    <w:snapToGrid w:val="0"/>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食堂油烟</w:t>
                  </w:r>
                </w:p>
              </w:tc>
              <w:tc>
                <w:tcPr>
                  <w:tcW w:w="1708" w:type="dxa"/>
                  <w:tcBorders>
                    <w:tl2br w:val="nil"/>
                    <w:tr2bl w:val="nil"/>
                  </w:tcBorders>
                  <w:noWrap w:val="0"/>
                  <w:vAlign w:val="center"/>
                </w:tcPr>
                <w:p>
                  <w:pPr>
                    <w:pStyle w:val="40"/>
                    <w:adjustRightInd w:val="0"/>
                    <w:snapToGrid w:val="0"/>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油烟</w:t>
                  </w:r>
                </w:p>
              </w:tc>
              <w:tc>
                <w:tcPr>
                  <w:tcW w:w="888"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885" w:type="dxa"/>
                  <w:tcBorders>
                    <w:tl2br w:val="nil"/>
                    <w:tr2bl w:val="nil"/>
                  </w:tcBorders>
                  <w:noWrap w:val="0"/>
                  <w:vAlign w:val="center"/>
                </w:tcPr>
                <w:p>
                  <w:pPr>
                    <w:jc w:val="center"/>
                    <w:rPr>
                      <w:rFonts w:hint="default"/>
                      <w:color w:val="auto"/>
                      <w:szCs w:val="21"/>
                      <w:lang w:val="en-US" w:eastAsia="zh-CN"/>
                    </w:rPr>
                  </w:pPr>
                  <w:r>
                    <w:rPr>
                      <w:rFonts w:hint="eastAsia"/>
                      <w:color w:val="auto"/>
                      <w:szCs w:val="21"/>
                      <w:lang w:val="en-US" w:eastAsia="zh-CN"/>
                    </w:rPr>
                    <w:t>0.2</w:t>
                  </w:r>
                </w:p>
              </w:tc>
              <w:tc>
                <w:tcPr>
                  <w:tcW w:w="1035" w:type="dxa"/>
                  <w:tcBorders>
                    <w:tl2br w:val="nil"/>
                    <w:tr2bl w:val="nil"/>
                  </w:tcBorders>
                  <w:noWrap w:val="0"/>
                  <w:vAlign w:val="center"/>
                </w:tcPr>
                <w:p>
                  <w:pPr>
                    <w:pStyle w:val="40"/>
                    <w:adjustRightInd w:val="0"/>
                    <w:snapToGrid w:val="0"/>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1453" w:type="dxa"/>
                  <w:tcBorders>
                    <w:tl2br w:val="nil"/>
                    <w:tr2bl w:val="nil"/>
                  </w:tcBorders>
                  <w:noWrap w:val="0"/>
                  <w:vAlign w:val="center"/>
                </w:tcPr>
                <w:p>
                  <w:pPr>
                    <w:pStyle w:val="40"/>
                    <w:adjustRightInd w:val="0"/>
                    <w:snapToGrid w:val="0"/>
                    <w:ind w:firstLine="0" w:firstLineChars="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一般排放口</w:t>
                  </w:r>
                </w:p>
              </w:tc>
              <w:tc>
                <w:tcPr>
                  <w:tcW w:w="1418" w:type="dxa"/>
                  <w:tcBorders>
                    <w:tl2br w:val="nil"/>
                    <w:tr2bl w:val="nil"/>
                  </w:tcBorders>
                  <w:noWrap w:val="0"/>
                  <w:vAlign w:val="center"/>
                </w:tcPr>
                <w:p>
                  <w:pPr>
                    <w:jc w:val="center"/>
                    <w:rPr>
                      <w:rFonts w:hint="eastAsia"/>
                      <w:color w:val="auto"/>
                      <w:szCs w:val="21"/>
                    </w:rPr>
                  </w:pPr>
                  <w:r>
                    <w:rPr>
                      <w:rFonts w:hint="eastAsia"/>
                      <w:color w:val="auto"/>
                      <w:szCs w:val="21"/>
                    </w:rPr>
                    <w:t>107.441818</w:t>
                  </w:r>
                </w:p>
              </w:tc>
              <w:tc>
                <w:tcPr>
                  <w:tcW w:w="1283" w:type="dxa"/>
                  <w:tcBorders>
                    <w:tl2br w:val="nil"/>
                    <w:tr2bl w:val="nil"/>
                  </w:tcBorders>
                  <w:noWrap w:val="0"/>
                  <w:vAlign w:val="center"/>
                </w:tcPr>
                <w:p>
                  <w:pPr>
                    <w:jc w:val="center"/>
                    <w:rPr>
                      <w:rFonts w:hint="eastAsia"/>
                      <w:color w:val="auto"/>
                      <w:szCs w:val="21"/>
                    </w:rPr>
                  </w:pPr>
                  <w:r>
                    <w:rPr>
                      <w:rFonts w:hint="eastAsia"/>
                      <w:color w:val="auto"/>
                      <w:szCs w:val="21"/>
                    </w:rPr>
                    <w:t>31.296536</w:t>
                  </w:r>
                </w:p>
              </w:tc>
            </w:tr>
          </w:tbl>
          <w:p>
            <w:pPr>
              <w:keepNext w:val="0"/>
              <w:keepLines w:val="0"/>
              <w:pageBreakBefore w:val="0"/>
              <w:kinsoku/>
              <w:wordWrap/>
              <w:overflowPunct/>
              <w:topLinePunct w:val="0"/>
              <w:autoSpaceDE/>
              <w:autoSpaceDN/>
              <w:bidi w:val="0"/>
              <w:adjustRightInd/>
              <w:snapToGrid/>
              <w:spacing w:line="410" w:lineRule="exact"/>
              <w:ind w:firstLine="380" w:firstLineChars="200"/>
              <w:jc w:val="both"/>
              <w:textAlignment w:val="auto"/>
              <w:rPr>
                <w:rFonts w:hint="eastAsia" w:ascii="宋体" w:hAnsi="宋体" w:eastAsia="宋体" w:cs="宋体"/>
                <w:bCs/>
                <w:color w:val="auto"/>
                <w:spacing w:val="-10"/>
                <w:szCs w:val="21"/>
                <w:lang w:val="en-US" w:eastAsia="zh-CN"/>
              </w:rPr>
            </w:pPr>
          </w:p>
        </w:tc>
      </w:tr>
    </w:tbl>
    <w:p>
      <w:pPr>
        <w:pStyle w:val="23"/>
        <w:rPr>
          <w:rFonts w:hint="eastAsia"/>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9"/>
        <w:gridCol w:w="86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6" w:hRule="atLeast"/>
          <w:jc w:val="center"/>
        </w:trPr>
        <w:tc>
          <w:tcPr>
            <w:tcW w:w="379" w:type="dxa"/>
            <w:noWrap w:val="0"/>
            <w:tcMar>
              <w:left w:w="28" w:type="dxa"/>
              <w:right w:w="28" w:type="dxa"/>
            </w:tcMar>
            <w:vAlign w:val="center"/>
          </w:tcPr>
          <w:p>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运营</w:t>
            </w:r>
          </w:p>
          <w:p>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期环</w:t>
            </w:r>
          </w:p>
          <w:p>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境影</w:t>
            </w:r>
          </w:p>
          <w:p>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响和</w:t>
            </w:r>
          </w:p>
          <w:p>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保护</w:t>
            </w:r>
          </w:p>
          <w:p>
            <w:pPr>
              <w:adjustRightInd w:val="0"/>
              <w:snapToGrid w:val="0"/>
              <w:jc w:val="center"/>
              <w:rPr>
                <w:rFonts w:ascii="宋体" w:hAnsi="宋体" w:cs="宋体"/>
                <w:bCs/>
                <w:color w:val="auto"/>
                <w:szCs w:val="21"/>
              </w:rPr>
            </w:pPr>
            <w:r>
              <w:rPr>
                <w:rFonts w:hint="eastAsia" w:ascii="宋体" w:hAnsi="宋体" w:cs="宋体"/>
                <w:b/>
                <w:bCs w:val="0"/>
                <w:color w:val="auto"/>
                <w:szCs w:val="21"/>
              </w:rPr>
              <w:t>措施</w:t>
            </w:r>
          </w:p>
        </w:tc>
        <w:tc>
          <w:tcPr>
            <w:tcW w:w="86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eastAsia" w:ascii="Times New Roman" w:hAnsi="Times New Roman" w:cs="Times New Roman"/>
                <w:b/>
                <w:bCs w:val="0"/>
                <w:color w:val="auto"/>
                <w:spacing w:val="-10"/>
                <w:sz w:val="24"/>
                <w:szCs w:val="24"/>
                <w:lang w:val="en-US" w:eastAsia="zh-CN"/>
              </w:rPr>
              <w:t>（</w:t>
            </w:r>
            <w:r>
              <w:rPr>
                <w:rFonts w:hint="eastAsia" w:cs="Times New Roman"/>
                <w:b/>
                <w:bCs w:val="0"/>
                <w:color w:val="auto"/>
                <w:spacing w:val="-10"/>
                <w:sz w:val="24"/>
                <w:szCs w:val="24"/>
                <w:lang w:val="en-US" w:eastAsia="zh-CN"/>
              </w:rPr>
              <w:t>9</w:t>
            </w:r>
            <w:r>
              <w:rPr>
                <w:rFonts w:hint="eastAsia" w:ascii="Times New Roman" w:hAnsi="Times New Roman" w:cs="Times New Roman"/>
                <w:b/>
                <w:bCs w:val="0"/>
                <w:color w:val="auto"/>
                <w:spacing w:val="-10"/>
                <w:sz w:val="24"/>
                <w:szCs w:val="24"/>
                <w:lang w:val="en-US" w:eastAsia="zh-CN"/>
              </w:rPr>
              <w:t>）非正常工况</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针对</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运营过程中设备的运行及污染治理设施的运行情况，其可能存在的非正常工况主要为设备的检修、废气治理设备故障等情况。</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针对</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配备双回路电源，因此项目不会因偶发停电而造成事故性排放及生产事故。对于不可避免的区域大面积的计划性停电可事先调整生产计划，且</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配备发电机，避免非正常工况出现。</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设备故障引起的非正常废气排放的控制措施：及时检修设备，严格按操作规程操作，对于机电设备皆采用一开一备，并定期巡视、检修，一旦设备出现故障，立刻启动备用设备，有效避免事故发生。</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color w:val="auto"/>
                <w:spacing w:val="0"/>
                <w:sz w:val="24"/>
                <w:szCs w:val="24"/>
                <w:lang w:val="en-US" w:eastAsia="zh-CN"/>
              </w:rPr>
            </w:pP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主要是</w:t>
            </w:r>
            <w:r>
              <w:rPr>
                <w:rFonts w:hint="eastAsia" w:cs="Times New Roman"/>
                <w:color w:val="auto"/>
                <w:sz w:val="24"/>
                <w:szCs w:val="24"/>
                <w:highlight w:val="none"/>
                <w:lang w:val="en-US" w:eastAsia="zh-CN"/>
              </w:rPr>
              <w:t>油气回收系统</w:t>
            </w:r>
            <w:r>
              <w:rPr>
                <w:rFonts w:hint="eastAsia" w:cs="Times New Roman"/>
                <w:color w:val="auto"/>
                <w:sz w:val="24"/>
                <w:szCs w:val="24"/>
                <w:highlight w:val="none"/>
                <w:lang w:eastAsia="zh-CN"/>
              </w:rPr>
              <w:t>发生故障</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有定期巡检制度，</w:t>
            </w:r>
            <w:r>
              <w:rPr>
                <w:rFonts w:hint="eastAsia" w:cs="Times New Roman"/>
                <w:color w:val="auto"/>
                <w:sz w:val="24"/>
                <w:szCs w:val="24"/>
                <w:highlight w:val="none"/>
                <w:lang w:eastAsia="zh-CN"/>
              </w:rPr>
              <w:t>对环保处理系统进行日常检查，加强日常监测用来了解净化设施处理效率变化情况，及时对设备进行更换或维修，避</w:t>
            </w:r>
            <w:r>
              <w:rPr>
                <w:rFonts w:hint="eastAsia" w:ascii="Times New Roman" w:hAnsi="Times New Roman" w:eastAsia="宋体" w:cs="Times New Roman"/>
                <w:color w:val="auto"/>
                <w:sz w:val="24"/>
                <w:szCs w:val="24"/>
                <w:highlight w:val="none"/>
                <w:lang w:eastAsia="zh-CN"/>
              </w:rPr>
              <w:t>免环保设备非正常运行。结合根据建设单位提供的资料，在通讯正常的情况下，</w:t>
            </w:r>
            <w:r>
              <w:rPr>
                <w:rFonts w:hint="default" w:ascii="Times New Roman" w:hAnsi="Times New Roman" w:eastAsia="宋体" w:cs="Times New Roman"/>
                <w:color w:val="auto"/>
                <w:sz w:val="24"/>
                <w:szCs w:val="24"/>
                <w:highlight w:val="none"/>
                <w:lang w:eastAsia="zh-CN"/>
              </w:rPr>
              <w:t>非正常工况持续时间最长不超过30min，</w:t>
            </w:r>
            <w:r>
              <w:rPr>
                <w:rFonts w:hint="eastAsia" w:ascii="Times New Roman" w:hAnsi="Times New Roman" w:eastAsia="宋体" w:cs="Times New Roman"/>
                <w:color w:val="auto"/>
                <w:sz w:val="24"/>
                <w:szCs w:val="24"/>
                <w:highlight w:val="none"/>
                <w:lang w:eastAsia="zh-CN"/>
              </w:rPr>
              <w:t>效率较低至</w:t>
            </w:r>
            <w:r>
              <w:rPr>
                <w:rFonts w:hint="eastAsia"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eastAsia="zh-CN"/>
              </w:rPr>
              <w:t>对</w:t>
            </w:r>
            <w:r>
              <w:rPr>
                <w:rFonts w:hint="eastAsia" w:ascii="Times New Roman" w:hAnsi="Times New Roman" w:eastAsia="宋体" w:cs="Times New Roman"/>
                <w:color w:val="auto"/>
                <w:sz w:val="24"/>
                <w:szCs w:val="24"/>
                <w:highlight w:val="none"/>
                <w:lang w:eastAsia="zh-CN"/>
              </w:rPr>
              <w:t>油库</w:t>
            </w:r>
            <w:r>
              <w:rPr>
                <w:rFonts w:hint="default" w:ascii="Times New Roman" w:hAnsi="Times New Roman" w:eastAsia="宋体" w:cs="Times New Roman"/>
                <w:color w:val="auto"/>
                <w:sz w:val="24"/>
                <w:szCs w:val="24"/>
                <w:highlight w:val="none"/>
                <w:lang w:eastAsia="zh-CN"/>
              </w:rPr>
              <w:t>本身和周边大气环境质量影响不大。</w:t>
            </w:r>
            <w:r>
              <w:rPr>
                <w:rFonts w:hint="eastAsia" w:ascii="Times New Roman" w:hAnsi="Times New Roman" w:eastAsia="宋体" w:cs="Times New Roman"/>
                <w:color w:val="auto"/>
                <w:sz w:val="24"/>
                <w:szCs w:val="24"/>
                <w:highlight w:val="none"/>
                <w:lang w:val="en-US" w:eastAsia="zh-CN"/>
              </w:rPr>
              <w:t>以发油废气处理系统进行非正常排放量核算。</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rPr>
              <w:t xml:space="preserve">   污染源非正常</w:t>
            </w:r>
            <w:r>
              <w:rPr>
                <w:rFonts w:hint="eastAsia" w:eastAsia="宋体" w:cs="Times New Roman"/>
                <w:b/>
                <w:bCs/>
                <w:color w:val="auto"/>
                <w:sz w:val="24"/>
                <w:szCs w:val="24"/>
                <w:highlight w:val="none"/>
                <w:lang w:eastAsia="zh-CN"/>
              </w:rPr>
              <w:t>排放</w:t>
            </w:r>
            <w:r>
              <w:rPr>
                <w:rFonts w:hint="default" w:ascii="Times New Roman" w:hAnsi="Times New Roman" w:eastAsia="宋体" w:cs="Times New Roman"/>
                <w:b/>
                <w:bCs/>
                <w:color w:val="auto"/>
                <w:sz w:val="24"/>
                <w:szCs w:val="24"/>
                <w:highlight w:val="none"/>
              </w:rPr>
              <w:t>量核算表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975"/>
              <w:gridCol w:w="705"/>
              <w:gridCol w:w="1091"/>
              <w:gridCol w:w="1074"/>
              <w:gridCol w:w="838"/>
              <w:gridCol w:w="690"/>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91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非正常排放源</w:t>
                  </w:r>
                </w:p>
              </w:tc>
              <w:tc>
                <w:tcPr>
                  <w:tcW w:w="58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非正常排放原因</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污染物</w:t>
                  </w:r>
                </w:p>
              </w:tc>
              <w:tc>
                <w:tcPr>
                  <w:tcW w:w="65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highlight w:val="none"/>
                    </w:rPr>
                  </w:pPr>
                  <w:r>
                    <w:rPr>
                      <w:snapToGrid w:val="0"/>
                      <w:color w:val="auto"/>
                      <w:sz w:val="21"/>
                      <w:szCs w:val="21"/>
                      <w:highlight w:val="none"/>
                    </w:rPr>
                    <w:t>非正常排放浓度</w:t>
                  </w:r>
                </w:p>
              </w:tc>
              <w:tc>
                <w:tcPr>
                  <w:tcW w:w="64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highlight w:val="none"/>
                    </w:rPr>
                  </w:pPr>
                  <w:r>
                    <w:rPr>
                      <w:snapToGrid w:val="0"/>
                      <w:color w:val="auto"/>
                      <w:sz w:val="21"/>
                      <w:szCs w:val="21"/>
                      <w:highlight w:val="none"/>
                    </w:rPr>
                    <w:t>非正常排放速率（</w:t>
                  </w:r>
                  <w:r>
                    <w:rPr>
                      <w:bCs/>
                      <w:color w:val="auto"/>
                      <w:sz w:val="21"/>
                      <w:szCs w:val="21"/>
                      <w:highlight w:val="none"/>
                    </w:rPr>
                    <w:t>kg/h</w:t>
                  </w:r>
                  <w:r>
                    <w:rPr>
                      <w:snapToGrid w:val="0"/>
                      <w:color w:val="auto"/>
                      <w:sz w:val="21"/>
                      <w:szCs w:val="21"/>
                      <w:highlight w:val="none"/>
                    </w:rPr>
                    <w:t>）</w:t>
                  </w:r>
                </w:p>
              </w:tc>
              <w:tc>
                <w:tcPr>
                  <w:tcW w:w="50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单次持续时间</w:t>
                  </w:r>
                </w:p>
              </w:tc>
              <w:tc>
                <w:tcPr>
                  <w:tcW w:w="4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年发生频次</w:t>
                  </w:r>
                </w:p>
              </w:tc>
              <w:tc>
                <w:tcPr>
                  <w:tcW w:w="8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8" w:type="pct"/>
                  <w:tcBorders>
                    <w:tl2br w:val="nil"/>
                    <w:tr2bl w:val="nil"/>
                  </w:tcBorders>
                  <w:noWrap w:val="0"/>
                  <w:vAlign w:val="center"/>
                </w:tcPr>
                <w:p>
                  <w:pPr>
                    <w:pStyle w:val="45"/>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snapToGrid w:val="0"/>
                      <w:color w:val="auto"/>
                      <w:kern w:val="2"/>
                      <w:sz w:val="21"/>
                      <w:szCs w:val="21"/>
                      <w:lang w:val="en-US" w:eastAsia="zh-CN" w:bidi="ar-SA"/>
                    </w:rPr>
                    <w:t>汽油装车废气、汽油扫仓废气（P1）</w:t>
                  </w:r>
                </w:p>
              </w:tc>
              <w:tc>
                <w:tcPr>
                  <w:tcW w:w="58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 w:val="21"/>
                      <w:szCs w:val="21"/>
                    </w:rPr>
                  </w:pPr>
                  <w:r>
                    <w:rPr>
                      <w:color w:val="auto"/>
                      <w:sz w:val="21"/>
                      <w:szCs w:val="21"/>
                    </w:rPr>
                    <w:t>环保设备</w:t>
                  </w:r>
                  <w:r>
                    <w:rPr>
                      <w:rFonts w:hint="eastAsia"/>
                      <w:color w:val="auto"/>
                      <w:sz w:val="21"/>
                      <w:szCs w:val="21"/>
                    </w:rPr>
                    <w:t>故障</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eastAsia="宋体"/>
                      <w:snapToGrid w:val="0"/>
                      <w:color w:val="auto"/>
                      <w:sz w:val="21"/>
                      <w:szCs w:val="21"/>
                      <w:lang w:eastAsia="zh-CN"/>
                    </w:rPr>
                  </w:pPr>
                  <w:r>
                    <w:rPr>
                      <w:rFonts w:hint="eastAsia"/>
                      <w:snapToGrid w:val="0"/>
                      <w:color w:val="auto"/>
                      <w:sz w:val="21"/>
                      <w:szCs w:val="21"/>
                      <w:lang w:eastAsia="zh-CN"/>
                    </w:rPr>
                    <w:t>非甲烷总烃</w:t>
                  </w:r>
                </w:p>
              </w:tc>
              <w:tc>
                <w:tcPr>
                  <w:tcW w:w="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149.615</w:t>
                  </w:r>
                  <w:r>
                    <w:rPr>
                      <w:bCs/>
                      <w:color w:val="auto"/>
                      <w:sz w:val="21"/>
                      <w:szCs w:val="21"/>
                      <w:highlight w:val="none"/>
                    </w:rPr>
                    <w:t>g/m</w:t>
                  </w:r>
                  <w:r>
                    <w:rPr>
                      <w:bCs/>
                      <w:color w:val="auto"/>
                      <w:sz w:val="21"/>
                      <w:szCs w:val="21"/>
                      <w:highlight w:val="none"/>
                      <w:vertAlign w:val="superscript"/>
                    </w:rPr>
                    <w:t>3</w:t>
                  </w:r>
                </w:p>
              </w:tc>
              <w:tc>
                <w:tcPr>
                  <w:tcW w:w="6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89.769</w:t>
                  </w:r>
                </w:p>
              </w:tc>
              <w:tc>
                <w:tcPr>
                  <w:tcW w:w="50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snapToGrid w:val="0"/>
                      <w:color w:val="auto"/>
                      <w:sz w:val="21"/>
                      <w:szCs w:val="21"/>
                    </w:rPr>
                  </w:pPr>
                  <w:r>
                    <w:rPr>
                      <w:rFonts w:hint="eastAsia"/>
                      <w:snapToGrid w:val="0"/>
                      <w:color w:val="auto"/>
                      <w:sz w:val="21"/>
                      <w:szCs w:val="21"/>
                      <w:lang w:val="en-US" w:eastAsia="zh-CN"/>
                    </w:rPr>
                    <w:t>3</w:t>
                  </w:r>
                  <w:r>
                    <w:rPr>
                      <w:rFonts w:hint="eastAsia"/>
                      <w:snapToGrid w:val="0"/>
                      <w:color w:val="auto"/>
                      <w:sz w:val="21"/>
                      <w:szCs w:val="21"/>
                    </w:rPr>
                    <w:t>0min</w:t>
                  </w:r>
                </w:p>
              </w:tc>
              <w:tc>
                <w:tcPr>
                  <w:tcW w:w="4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color w:val="auto"/>
                      <w:sz w:val="21"/>
                      <w:szCs w:val="21"/>
                    </w:rPr>
                    <w:t>1</w:t>
                  </w:r>
                </w:p>
              </w:tc>
              <w:tc>
                <w:tcPr>
                  <w:tcW w:w="87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 w:val="21"/>
                      <w:szCs w:val="21"/>
                    </w:rPr>
                  </w:pPr>
                  <w:r>
                    <w:rPr>
                      <w:color w:val="auto"/>
                      <w:sz w:val="21"/>
                      <w:szCs w:val="21"/>
                    </w:rPr>
                    <w:t>及时向环保部门报备，再对环保设备进行维修</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w:t>
            </w:r>
            <w:r>
              <w:rPr>
                <w:rFonts w:hint="eastAsia" w:cs="Times New Roman"/>
                <w:b/>
                <w:bCs w:val="0"/>
                <w:color w:val="auto"/>
                <w:spacing w:val="0"/>
                <w:sz w:val="24"/>
                <w:szCs w:val="24"/>
                <w:lang w:val="en-US" w:eastAsia="zh-CN"/>
              </w:rPr>
              <w:t>10</w:t>
            </w:r>
            <w:r>
              <w:rPr>
                <w:rFonts w:hint="eastAsia" w:ascii="Times New Roman" w:hAnsi="Times New Roman" w:cs="Times New Roman"/>
                <w:b/>
                <w:bCs w:val="0"/>
                <w:color w:val="auto"/>
                <w:spacing w:val="0"/>
                <w:sz w:val="24"/>
                <w:szCs w:val="24"/>
                <w:lang w:val="en-US" w:eastAsia="zh-CN"/>
              </w:rPr>
              <w:t>）废气监测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运营期废气监测计划下表。</w:t>
            </w:r>
          </w:p>
          <w:p>
            <w:pPr>
              <w:pStyle w:val="50"/>
              <w:ind w:firstLine="482"/>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4-12</w:t>
            </w:r>
            <w:r>
              <w:rPr>
                <w:rFonts w:cs="Times New Roman"/>
                <w:color w:val="auto"/>
                <w:highlight w:val="none"/>
              </w:rPr>
              <w:t xml:space="preserve">    </w:t>
            </w:r>
            <w:r>
              <w:rPr>
                <w:rFonts w:hint="eastAsia" w:cs="Times New Roman"/>
                <w:color w:val="auto"/>
                <w:highlight w:val="none"/>
                <w:lang w:val="en-US" w:eastAsia="zh-CN"/>
              </w:rPr>
              <w:t>污染源监测</w:t>
            </w:r>
            <w:r>
              <w:rPr>
                <w:rFonts w:cs="Times New Roman"/>
                <w:color w:val="auto"/>
                <w:highlight w:val="none"/>
              </w:rPr>
              <w:t>工作计划</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4"/>
              <w:gridCol w:w="883"/>
              <w:gridCol w:w="3775"/>
              <w:gridCol w:w="1711"/>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34" w:type="pct"/>
                  <w:gridSpan w:val="2"/>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类别</w:t>
                  </w:r>
                </w:p>
              </w:tc>
              <w:tc>
                <w:tcPr>
                  <w:tcW w:w="2254"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监测位置</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监测因子</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restar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废气</w:t>
                  </w:r>
                </w:p>
              </w:tc>
              <w:tc>
                <w:tcPr>
                  <w:tcW w:w="527" w:type="pct"/>
                  <w:vMerge w:val="restar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有组织</w:t>
                  </w:r>
                </w:p>
              </w:tc>
              <w:tc>
                <w:tcPr>
                  <w:tcW w:w="2254"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eastAsia="宋体" w:cs="Times New Roman"/>
                      <w:snapToGrid w:val="0"/>
                      <w:color w:val="auto"/>
                      <w:kern w:val="2"/>
                      <w:sz w:val="21"/>
                      <w:szCs w:val="21"/>
                      <w:lang w:val="en-US" w:eastAsia="zh-CN" w:bidi="ar-SA"/>
                    </w:rPr>
                    <w:t>汽油装车废气（含应急汽油卸车废气）、汽油扫仓废气</w:t>
                  </w:r>
                  <w:r>
                    <w:rPr>
                      <w:rFonts w:hint="eastAsia"/>
                      <w:color w:val="auto"/>
                      <w:sz w:val="21"/>
                      <w:szCs w:val="21"/>
                      <w:highlight w:val="none"/>
                      <w:lang w:val="en-US" w:eastAsia="zh-CN"/>
                    </w:rPr>
                    <w:t>P1</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非甲烷总烃</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rPr>
                  </w:pPr>
                  <w:r>
                    <w:rPr>
                      <w:rFonts w:hint="eastAsia" w:eastAsia="宋体"/>
                      <w:color w:val="auto"/>
                      <w:sz w:val="21"/>
                      <w:szCs w:val="21"/>
                      <w:highlight w:val="none"/>
                      <w:lang w:val="en-US" w:eastAsia="zh-CN"/>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p>
              </w:tc>
              <w:tc>
                <w:tcPr>
                  <w:tcW w:w="225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eastAsia="zh-CN"/>
                    </w:rPr>
                    <w:t>食堂油烟排气筒</w:t>
                  </w:r>
                  <w:r>
                    <w:rPr>
                      <w:rFonts w:hint="eastAsia"/>
                      <w:color w:val="auto"/>
                      <w:sz w:val="21"/>
                      <w:szCs w:val="21"/>
                      <w:highlight w:val="none"/>
                      <w:lang w:val="en-US" w:eastAsia="zh-CN"/>
                    </w:rPr>
                    <w:t>P2</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油烟</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restar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无组织</w:t>
                  </w:r>
                </w:p>
              </w:tc>
              <w:tc>
                <w:tcPr>
                  <w:tcW w:w="225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汽油油气收集系统泄漏点</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油气体积分数浓度</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p>
              </w:tc>
              <w:tc>
                <w:tcPr>
                  <w:tcW w:w="225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汽油油罐车底部发油结束断开快速接头泄漏点</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汽油泄漏量</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底部装油结束并断开快速接头时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p>
              </w:tc>
              <w:tc>
                <w:tcPr>
                  <w:tcW w:w="527" w:type="pct"/>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p>
              </w:tc>
              <w:tc>
                <w:tcPr>
                  <w:tcW w:w="225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泵、压缩机、搅拌器(机)、阀门、开口阀或开口管线、泄压设备、取样连接系统</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非甲烷总烃</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continue"/>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p>
              </w:tc>
              <w:tc>
                <w:tcPr>
                  <w:tcW w:w="225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法兰及其他连接件、其他密封设备</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非甲烷总烃</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企业边界</w:t>
                  </w:r>
                </w:p>
              </w:tc>
              <w:tc>
                <w:tcPr>
                  <w:tcW w:w="225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库区边界</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企业内</w:t>
                  </w:r>
                </w:p>
              </w:tc>
              <w:tc>
                <w:tcPr>
                  <w:tcW w:w="2254"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库区内</w:t>
                  </w:r>
                </w:p>
              </w:tc>
              <w:tc>
                <w:tcPr>
                  <w:tcW w:w="1022"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88" w:type="pc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w:t>
            </w:r>
            <w:r>
              <w:rPr>
                <w:rFonts w:hint="eastAsia" w:cs="Times New Roman"/>
                <w:b/>
                <w:bCs w:val="0"/>
                <w:color w:val="auto"/>
                <w:spacing w:val="0"/>
                <w:sz w:val="24"/>
                <w:szCs w:val="24"/>
                <w:lang w:val="en-US" w:eastAsia="zh-CN"/>
              </w:rPr>
              <w:t>11</w:t>
            </w:r>
            <w:r>
              <w:rPr>
                <w:rFonts w:hint="eastAsia" w:ascii="Times New Roman" w:hAnsi="Times New Roman" w:cs="Times New Roman"/>
                <w:b/>
                <w:bCs w:val="0"/>
                <w:color w:val="auto"/>
                <w:spacing w:val="0"/>
                <w:sz w:val="24"/>
                <w:szCs w:val="24"/>
                <w:lang w:val="en-US" w:eastAsia="zh-CN"/>
              </w:rPr>
              <w:t>）大气环境影响结论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color w:val="auto"/>
                <w:spacing w:val="0"/>
                <w:sz w:val="24"/>
                <w:szCs w:val="24"/>
                <w:lang w:val="en-US" w:eastAsia="zh-CN"/>
              </w:rPr>
            </w:pPr>
            <w:r>
              <w:rPr>
                <w:rFonts w:hint="eastAsia" w:ascii="Times New Roman" w:hAnsi="Times New Roman" w:eastAsia="宋体" w:cs="Times New Roman"/>
                <w:b w:val="0"/>
                <w:bCs/>
                <w:color w:val="auto"/>
                <w:spacing w:val="0"/>
                <w:sz w:val="24"/>
                <w:szCs w:val="24"/>
                <w:lang w:val="en-US" w:eastAsia="zh-CN"/>
              </w:rPr>
              <w:t>拟建项目位于达州市通川区双龙铁路物流园</w:t>
            </w:r>
            <w:r>
              <w:rPr>
                <w:rFonts w:hint="eastAsia" w:ascii="Times New Roman" w:hAnsi="Times New Roman" w:eastAsia="宋体" w:cs="Times New Roman"/>
                <w:bCs/>
                <w:color w:val="auto"/>
                <w:spacing w:val="-2"/>
                <w:kern w:val="0"/>
                <w:sz w:val="24"/>
                <w:szCs w:val="24"/>
                <w:lang w:eastAsia="zh-CN"/>
              </w:rPr>
              <w:t>；</w:t>
            </w:r>
            <w:r>
              <w:rPr>
                <w:rFonts w:hint="eastAsia" w:ascii="Times New Roman" w:hAnsi="Times New Roman" w:eastAsia="宋体" w:cs="Times New Roman"/>
                <w:b w:val="0"/>
                <w:bCs/>
                <w:color w:val="auto"/>
                <w:spacing w:val="0"/>
                <w:sz w:val="24"/>
                <w:szCs w:val="24"/>
                <w:lang w:val="zh-CN" w:eastAsia="zh-CN"/>
              </w:rPr>
              <w:t>项目所在地为环境空气质量不达标区。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s="Times New Roman"/>
                <w:color w:val="auto"/>
                <w:kern w:val="0"/>
                <w:sz w:val="24"/>
                <w:szCs w:val="24"/>
                <w:highlight w:val="none"/>
                <w:lang w:eastAsia="zh-CN" w:bidi="ar"/>
              </w:rPr>
            </w:pPr>
            <w:r>
              <w:rPr>
                <w:rFonts w:hint="eastAsia" w:cs="Times New Roman"/>
                <w:color w:val="auto"/>
                <w:kern w:val="0"/>
                <w:sz w:val="24"/>
                <w:szCs w:val="24"/>
                <w:highlight w:val="none"/>
                <w:lang w:val="en-US" w:eastAsia="zh-CN"/>
              </w:rPr>
              <w:t>汽油装车废气（含应急汽油卸车废气）由密闭鹤管收集后，经“油气回收装置（三级冷凝+活性炭吸附）”处理有，由20m高排气筒排放；汽油扫仓废气由密闭软管收集后与汽车装车废气共用1套油气回收装置（三级冷凝+活性炭吸附）+1根20m高排气筒；</w:t>
            </w:r>
            <w:r>
              <w:rPr>
                <w:rFonts w:hint="eastAsia" w:cs="Times New Roman"/>
                <w:color w:val="auto"/>
                <w:kern w:val="0"/>
                <w:sz w:val="24"/>
                <w:szCs w:val="24"/>
                <w:highlight w:val="none"/>
                <w:lang w:eastAsia="zh-CN"/>
              </w:rPr>
              <w:t>食堂油烟经</w:t>
            </w:r>
            <w:r>
              <w:rPr>
                <w:rFonts w:hint="eastAsia" w:cs="Times New Roman"/>
                <w:color w:val="auto"/>
                <w:kern w:val="0"/>
                <w:sz w:val="24"/>
                <w:szCs w:val="24"/>
                <w:highlight w:val="none"/>
                <w:lang w:bidi="ar"/>
              </w:rPr>
              <w:t>高效</w:t>
            </w:r>
            <w:r>
              <w:rPr>
                <w:rFonts w:cs="Times New Roman"/>
                <w:color w:val="auto"/>
                <w:kern w:val="0"/>
                <w:sz w:val="24"/>
                <w:szCs w:val="24"/>
                <w:highlight w:val="none"/>
                <w:lang w:bidi="ar"/>
              </w:rPr>
              <w:t>油烟净化器处理后经专用烟道</w:t>
            </w:r>
            <w:r>
              <w:rPr>
                <w:rFonts w:hint="eastAsia" w:cs="Times New Roman"/>
                <w:color w:val="auto"/>
                <w:kern w:val="0"/>
                <w:sz w:val="24"/>
                <w:szCs w:val="24"/>
                <w:highlight w:val="none"/>
                <w:lang w:val="en-US" w:eastAsia="zh-CN" w:bidi="ar"/>
              </w:rPr>
              <w:t>由综合楼楼顶排放</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10m</w:t>
            </w:r>
            <w:r>
              <w:rPr>
                <w:rFonts w:hint="eastAsia" w:cs="Times New Roman"/>
                <w:color w:val="auto"/>
                <w:kern w:val="0"/>
                <w:sz w:val="24"/>
                <w:szCs w:val="24"/>
                <w:highlight w:val="none"/>
                <w:lang w:eastAsia="zh-CN" w:bidi="ar"/>
              </w:rPr>
              <w:t>）；</w:t>
            </w:r>
            <w:r>
              <w:rPr>
                <w:rFonts w:hint="eastAsia" w:ascii="Times New Roman" w:hAnsi="Times New Roman" w:eastAsia="宋体" w:cs="Times New Roman"/>
                <w:color w:val="auto"/>
                <w:sz w:val="24"/>
                <w:szCs w:val="24"/>
                <w:lang w:val="en-US" w:eastAsia="zh-CN"/>
              </w:rPr>
              <w:t>本项目卸车采用“鹤管+软管”密闭卸车，罐车顶部气相口关闭，卸车过程无废气产生；储罐储存废气采用</w:t>
            </w:r>
            <w:r>
              <w:rPr>
                <w:rFonts w:hint="eastAsia" w:ascii="Times New Roman" w:hAnsi="Times New Roman" w:eastAsia="宋体" w:cs="Times New Roman"/>
                <w:color w:val="auto"/>
                <w:w w:val="100"/>
                <w:kern w:val="2"/>
                <w:sz w:val="24"/>
                <w:szCs w:val="24"/>
                <w:lang w:val="en-US" w:eastAsia="zh-CN" w:bidi="ar-SA"/>
              </w:rPr>
              <w:t>“浮顶罐+高效二次密封”处理后，无组织排放，同时夏季高温采用自动喷淋装置对储罐进行降温，减少无组织排放；柴油扫仓废气经密闭软管收集后无组织排放；柴油装车废气经密闭发油鹤管收集后无组织排放；化验室废气经通风柜收集后无组织排放；污水处理站废气经加盖密闭后无组织排放；柴油发电机废气经机械排风系统收集后无组织排放；汽车尾气通过缩短车辆在库内的怠速时间，减低运输车辆车速，加强管理，减少无组织排放</w:t>
            </w:r>
            <w:r>
              <w:rPr>
                <w:rFonts w:hint="eastAsia" w:cs="Times New Roman"/>
                <w:color w:val="auto"/>
                <w:kern w:val="0"/>
                <w:sz w:val="24"/>
                <w:szCs w:val="24"/>
                <w:highlight w:val="none"/>
                <w:lang w:eastAsia="zh-CN" w:bidi="ar"/>
              </w:rPr>
              <w:t>。</w:t>
            </w:r>
          </w:p>
          <w:p>
            <w:pPr>
              <w:pStyle w:val="49"/>
              <w:keepNext w:val="0"/>
              <w:keepLines w:val="0"/>
              <w:pageBreakBefore w:val="0"/>
              <w:widowControl w:val="0"/>
              <w:kinsoku/>
              <w:wordWrap/>
              <w:overflowPunct/>
              <w:topLinePunct w:val="0"/>
              <w:autoSpaceDE/>
              <w:autoSpaceDN/>
              <w:bidi w:val="0"/>
              <w:adjustRightInd w:val="0"/>
              <w:snapToGrid w:val="0"/>
              <w:spacing w:line="440" w:lineRule="exact"/>
              <w:ind w:firstLine="488"/>
              <w:jc w:val="both"/>
              <w:textAlignment w:val="auto"/>
              <w:rPr>
                <w:rFonts w:ascii="Times New Roman" w:hAnsi="Times New Roman" w:eastAsia="宋体" w:cs="Times New Roman"/>
                <w:bCs w:val="0"/>
                <w:snapToGrid/>
                <w:color w:val="auto"/>
                <w:kern w:val="2"/>
                <w:sz w:val="24"/>
                <w:szCs w:val="24"/>
                <w:highlight w:val="none"/>
                <w:lang w:val="en-US" w:eastAsia="zh-CN" w:bidi="ar-SA"/>
              </w:rPr>
            </w:pPr>
            <w:r>
              <w:rPr>
                <w:rFonts w:ascii="Times New Roman" w:hAnsi="Times New Roman" w:eastAsia="宋体" w:cs="Times New Roman"/>
                <w:bCs w:val="0"/>
                <w:snapToGrid/>
                <w:color w:val="auto"/>
                <w:kern w:val="2"/>
                <w:sz w:val="24"/>
                <w:szCs w:val="24"/>
                <w:highlight w:val="none"/>
                <w:lang w:val="en-US" w:eastAsia="zh-CN" w:bidi="ar-SA"/>
              </w:rPr>
              <w:t>经工程分析及源强核算可知各污染物经相应治理措施治理后均能做到达标排放，营运期，建设单位在加强各废气处理装置运营维护、定期按要求进行日常监测，确保各装置正常使用的情况下，</w:t>
            </w:r>
            <w:r>
              <w:rPr>
                <w:rFonts w:hint="eastAsia" w:ascii="Times New Roman" w:hAnsi="Times New Roman" w:eastAsia="宋体" w:cs="Times New Roman"/>
                <w:bCs w:val="0"/>
                <w:snapToGrid/>
                <w:color w:val="auto"/>
                <w:kern w:val="2"/>
                <w:sz w:val="24"/>
                <w:szCs w:val="24"/>
                <w:highlight w:val="none"/>
                <w:lang w:val="en-US" w:eastAsia="zh-CN" w:bidi="ar-SA"/>
              </w:rPr>
              <w:t>拟建项目</w:t>
            </w:r>
            <w:r>
              <w:rPr>
                <w:rFonts w:ascii="Times New Roman" w:hAnsi="Times New Roman" w:eastAsia="宋体" w:cs="Times New Roman"/>
                <w:bCs w:val="0"/>
                <w:snapToGrid/>
                <w:color w:val="auto"/>
                <w:kern w:val="2"/>
                <w:sz w:val="24"/>
                <w:szCs w:val="24"/>
                <w:highlight w:val="none"/>
                <w:lang w:val="en-US" w:eastAsia="zh-CN" w:bidi="ar-SA"/>
              </w:rPr>
              <w:t>排放的废气不会对周边空气质量产生明显不利影响。</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42" w:firstLineChars="200"/>
              <w:textAlignment w:val="auto"/>
              <w:rPr>
                <w:rFonts w:hint="default" w:ascii="Times New Roman" w:hAnsi="Times New Roman" w:cs="Times New Roman"/>
                <w:b/>
                <w:bCs w:val="0"/>
                <w:color w:val="auto"/>
                <w:spacing w:val="-10"/>
                <w:sz w:val="24"/>
                <w:szCs w:val="24"/>
                <w:lang w:val="en-US" w:eastAsia="zh-CN"/>
              </w:rPr>
            </w:pPr>
            <w:r>
              <w:rPr>
                <w:rFonts w:hint="eastAsia" w:ascii="Times New Roman" w:hAnsi="Times New Roman" w:cs="Times New Roman"/>
                <w:b/>
                <w:bCs w:val="0"/>
                <w:color w:val="auto"/>
                <w:spacing w:val="-10"/>
                <w:sz w:val="24"/>
                <w:szCs w:val="24"/>
                <w:lang w:val="en-US" w:eastAsia="zh-CN"/>
              </w:rPr>
              <w:t>2</w:t>
            </w:r>
            <w:r>
              <w:rPr>
                <w:rFonts w:hint="default" w:ascii="Times New Roman" w:hAnsi="Times New Roman" w:cs="Times New Roman"/>
                <w:b/>
                <w:bCs w:val="0"/>
                <w:color w:val="auto"/>
                <w:spacing w:val="-10"/>
                <w:sz w:val="24"/>
                <w:szCs w:val="24"/>
                <w:lang w:val="en-US" w:eastAsia="zh-CN"/>
              </w:rPr>
              <w:t>、废</w:t>
            </w:r>
            <w:r>
              <w:rPr>
                <w:rFonts w:hint="eastAsia" w:ascii="Times New Roman" w:hAnsi="Times New Roman" w:cs="Times New Roman"/>
                <w:b/>
                <w:bCs w:val="0"/>
                <w:color w:val="auto"/>
                <w:spacing w:val="-10"/>
                <w:sz w:val="24"/>
                <w:szCs w:val="24"/>
                <w:lang w:val="en-US" w:eastAsia="zh-CN"/>
              </w:rPr>
              <w:t>水</w:t>
            </w:r>
          </w:p>
          <w:p>
            <w:pPr>
              <w:widowControl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（1）废水来源</w:t>
            </w:r>
          </w:p>
          <w:p>
            <w:pPr>
              <w:widowControl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项目废水来源于地面冲洗水、夏季罐体降温喷淋</w:t>
            </w:r>
            <w:r>
              <w:rPr>
                <w:rFonts w:hint="eastAsia"/>
                <w:color w:val="auto"/>
                <w:sz w:val="24"/>
                <w:szCs w:val="24"/>
                <w:lang w:val="en-US" w:eastAsia="zh-CN"/>
              </w:rPr>
              <w:t>水</w:t>
            </w:r>
            <w:r>
              <w:rPr>
                <w:rFonts w:hint="default"/>
                <w:color w:val="auto"/>
                <w:sz w:val="24"/>
                <w:szCs w:val="24"/>
                <w:lang w:val="en-US" w:eastAsia="zh-CN"/>
              </w:rPr>
              <w:t>、生活污水</w:t>
            </w:r>
            <w:r>
              <w:rPr>
                <w:rFonts w:hint="eastAsia"/>
                <w:color w:val="auto"/>
                <w:sz w:val="24"/>
                <w:szCs w:val="24"/>
                <w:lang w:val="en-US" w:eastAsia="zh-CN"/>
              </w:rPr>
              <w:t>、食堂废水</w:t>
            </w:r>
            <w:r>
              <w:rPr>
                <w:rFonts w:hint="default"/>
                <w:color w:val="auto"/>
                <w:sz w:val="24"/>
                <w:szCs w:val="24"/>
                <w:lang w:val="en-US" w:eastAsia="zh-CN"/>
              </w:rPr>
              <w:t>及初期雨水</w:t>
            </w:r>
            <w:r>
              <w:rPr>
                <w:rFonts w:hint="eastAsia"/>
                <w:color w:val="auto"/>
                <w:sz w:val="24"/>
                <w:szCs w:val="24"/>
                <w:lang w:val="en-US" w:eastAsia="zh-CN"/>
              </w:rPr>
              <w:t>。</w:t>
            </w:r>
            <w:r>
              <w:rPr>
                <w:rFonts w:hint="default"/>
                <w:color w:val="auto"/>
                <w:sz w:val="24"/>
                <w:szCs w:val="24"/>
                <w:lang w:val="en-US" w:eastAsia="zh-CN"/>
              </w:rPr>
              <w:t>含油污水主要污染物为石油类、COD、</w:t>
            </w:r>
            <w:r>
              <w:rPr>
                <w:rFonts w:hint="eastAsia"/>
                <w:color w:val="auto"/>
                <w:sz w:val="24"/>
                <w:szCs w:val="24"/>
                <w:lang w:val="en-US" w:eastAsia="zh-CN"/>
              </w:rPr>
              <w:t>氨氮、</w:t>
            </w:r>
            <w:r>
              <w:rPr>
                <w:rFonts w:hint="default"/>
                <w:color w:val="auto"/>
                <w:sz w:val="24"/>
                <w:szCs w:val="24"/>
                <w:lang w:val="en-US" w:eastAsia="zh-CN"/>
              </w:rPr>
              <w:t>SS。生活污水</w:t>
            </w:r>
            <w:r>
              <w:rPr>
                <w:rFonts w:hint="eastAsia"/>
                <w:color w:val="auto"/>
                <w:sz w:val="24"/>
                <w:szCs w:val="24"/>
                <w:lang w:val="en-US" w:eastAsia="zh-CN"/>
              </w:rPr>
              <w:t>及食堂废水</w:t>
            </w:r>
            <w:r>
              <w:rPr>
                <w:rFonts w:hint="default"/>
                <w:color w:val="auto"/>
                <w:sz w:val="24"/>
                <w:szCs w:val="24"/>
                <w:lang w:val="en-US" w:eastAsia="zh-CN"/>
              </w:rPr>
              <w:t>主要污染物为COD、BOD、SS、NH</w:t>
            </w:r>
            <w:r>
              <w:rPr>
                <w:rFonts w:hint="default"/>
                <w:color w:val="auto"/>
                <w:sz w:val="24"/>
                <w:szCs w:val="24"/>
                <w:vertAlign w:val="subscript"/>
                <w:lang w:val="en-US" w:eastAsia="zh-CN"/>
              </w:rPr>
              <w:t>3</w:t>
            </w:r>
            <w:r>
              <w:rPr>
                <w:rFonts w:hint="default"/>
                <w:color w:val="auto"/>
                <w:sz w:val="24"/>
                <w:szCs w:val="24"/>
                <w:lang w:val="en-US" w:eastAsia="zh-CN"/>
              </w:rPr>
              <w:t>-N</w:t>
            </w:r>
            <w:r>
              <w:rPr>
                <w:rFonts w:hint="eastAsia"/>
                <w:color w:val="auto"/>
                <w:sz w:val="24"/>
                <w:szCs w:val="24"/>
                <w:lang w:val="en-US" w:eastAsia="zh-CN"/>
              </w:rPr>
              <w:t>、动植物油</w:t>
            </w:r>
            <w:r>
              <w:rPr>
                <w:rFonts w:hint="default"/>
                <w:color w:val="auto"/>
                <w:sz w:val="24"/>
                <w:szCs w:val="24"/>
                <w:lang w:val="en-US" w:eastAsia="zh-CN"/>
              </w:rPr>
              <w:t>。</w:t>
            </w:r>
          </w:p>
          <w:p>
            <w:pPr>
              <w:widowControl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储</w:t>
            </w:r>
            <w:r>
              <w:rPr>
                <w:rFonts w:hint="default"/>
                <w:color w:val="auto"/>
                <w:sz w:val="24"/>
                <w:szCs w:val="24"/>
                <w:lang w:val="en-US" w:eastAsia="zh-CN"/>
              </w:rPr>
              <w:t>罐区初期雨水为含油污水，收集至库区含油废水处理系统，后期雨水实行雨污分流，收集至库区排水沟后进入工业园雨水管网，含油污水经处理后排放。</w:t>
            </w:r>
          </w:p>
          <w:p>
            <w:pPr>
              <w:widowControl w:val="0"/>
              <w:autoSpaceDE w:val="0"/>
              <w:autoSpaceDN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根据建设单位提供的资料，夏季罐体降温喷淋水与初期雨水不会同时产生。因此，初期雨水、</w:t>
            </w:r>
            <w:r>
              <w:rPr>
                <w:rFonts w:hint="eastAsia"/>
                <w:color w:val="auto"/>
                <w:sz w:val="24"/>
                <w:szCs w:val="24"/>
                <w:lang w:val="en-US" w:eastAsia="zh-CN"/>
              </w:rPr>
              <w:t>夏季罐体降温</w:t>
            </w:r>
            <w:r>
              <w:rPr>
                <w:rFonts w:hint="default"/>
                <w:color w:val="auto"/>
                <w:sz w:val="24"/>
                <w:szCs w:val="24"/>
                <w:lang w:val="en-US" w:eastAsia="zh-CN"/>
              </w:rPr>
              <w:t>喷淋水不会同时产生。</w:t>
            </w:r>
          </w:p>
          <w:p>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1）生产废水：</w:t>
            </w:r>
          </w:p>
          <w:p>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①装卸区地面冲洗</w:t>
            </w:r>
            <w:r>
              <w:rPr>
                <w:rFonts w:hint="eastAsia"/>
                <w:color w:val="auto"/>
                <w:sz w:val="24"/>
                <w:szCs w:val="24"/>
                <w:lang w:val="en-US" w:eastAsia="zh-CN"/>
              </w:rPr>
              <w:t>废</w:t>
            </w:r>
            <w:r>
              <w:rPr>
                <w:rFonts w:hint="default"/>
                <w:color w:val="auto"/>
                <w:sz w:val="24"/>
                <w:szCs w:val="24"/>
              </w:rPr>
              <w:t>水</w:t>
            </w:r>
          </w:p>
          <w:p>
            <w:pPr>
              <w:widowControl/>
              <w:adjustRightInd w:val="0"/>
              <w:snapToGrid w:val="0"/>
              <w:spacing w:line="440" w:lineRule="exact"/>
              <w:ind w:firstLine="480" w:firstLineChars="200"/>
              <w:textAlignment w:val="baseline"/>
              <w:rPr>
                <w:rFonts w:hint="default"/>
                <w:color w:val="auto"/>
                <w:sz w:val="24"/>
                <w:szCs w:val="24"/>
              </w:rPr>
            </w:pPr>
            <w:r>
              <w:rPr>
                <w:rFonts w:hint="eastAsia"/>
                <w:color w:val="auto"/>
                <w:sz w:val="24"/>
                <w:szCs w:val="24"/>
                <w:lang w:val="en-US" w:eastAsia="zh-CN"/>
              </w:rPr>
              <w:t>根据水平衡，本项目装卸区地面冲洗废水产生量为0.186m</w:t>
            </w:r>
            <w:r>
              <w:rPr>
                <w:rFonts w:hint="eastAsia"/>
                <w:color w:val="auto"/>
                <w:sz w:val="24"/>
                <w:szCs w:val="24"/>
                <w:vertAlign w:val="superscript"/>
                <w:lang w:val="en-US" w:eastAsia="zh-CN"/>
              </w:rPr>
              <w:t>3</w:t>
            </w:r>
            <w:r>
              <w:rPr>
                <w:rFonts w:hint="eastAsia"/>
                <w:color w:val="auto"/>
                <w:sz w:val="24"/>
                <w:szCs w:val="24"/>
                <w:lang w:val="en-US" w:eastAsia="zh-CN"/>
              </w:rPr>
              <w:t>/d，每年以350天计，</w:t>
            </w:r>
            <w:r>
              <w:rPr>
                <w:rFonts w:hint="default"/>
                <w:color w:val="auto"/>
                <w:sz w:val="24"/>
                <w:szCs w:val="24"/>
              </w:rPr>
              <w:t>即</w:t>
            </w:r>
            <w:r>
              <w:rPr>
                <w:rFonts w:hint="eastAsia"/>
                <w:color w:val="auto"/>
                <w:sz w:val="24"/>
                <w:szCs w:val="24"/>
                <w:lang w:val="en-US" w:eastAsia="zh-CN"/>
              </w:rPr>
              <w:t>65.1m</w:t>
            </w:r>
            <w:r>
              <w:rPr>
                <w:rFonts w:hint="default"/>
                <w:color w:val="auto"/>
                <w:sz w:val="24"/>
                <w:szCs w:val="24"/>
                <w:vertAlign w:val="superscript"/>
              </w:rPr>
              <w:t>3</w:t>
            </w:r>
            <w:r>
              <w:rPr>
                <w:rFonts w:hint="default"/>
                <w:color w:val="auto"/>
                <w:sz w:val="24"/>
                <w:szCs w:val="24"/>
              </w:rPr>
              <w:t>/a。</w:t>
            </w:r>
          </w:p>
          <w:p>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②夏季罐体降温喷淋水</w:t>
            </w:r>
          </w:p>
          <w:p>
            <w:pPr>
              <w:widowControl/>
              <w:adjustRightInd w:val="0"/>
              <w:snapToGrid w:val="0"/>
              <w:spacing w:line="440" w:lineRule="exact"/>
              <w:ind w:firstLine="480" w:firstLineChars="200"/>
              <w:textAlignment w:val="baseline"/>
              <w:rPr>
                <w:rFonts w:hint="default"/>
                <w:color w:val="auto"/>
                <w:sz w:val="24"/>
                <w:szCs w:val="24"/>
              </w:rPr>
            </w:pPr>
            <w:r>
              <w:rPr>
                <w:rFonts w:hint="eastAsia"/>
                <w:color w:val="auto"/>
                <w:sz w:val="24"/>
                <w:szCs w:val="24"/>
                <w:lang w:val="en-US" w:eastAsia="zh-CN"/>
              </w:rPr>
              <w:t>根据水平衡，本项目夏季罐体降温喷淋水产生量为26.995m</w:t>
            </w:r>
            <w:r>
              <w:rPr>
                <w:rFonts w:hint="eastAsia"/>
                <w:color w:val="auto"/>
                <w:sz w:val="24"/>
                <w:szCs w:val="24"/>
                <w:vertAlign w:val="superscript"/>
                <w:lang w:val="en-US" w:eastAsia="zh-CN"/>
              </w:rPr>
              <w:t>3</w:t>
            </w:r>
            <w:r>
              <w:rPr>
                <w:rFonts w:hint="eastAsia"/>
                <w:color w:val="auto"/>
                <w:sz w:val="24"/>
                <w:szCs w:val="24"/>
                <w:lang w:val="en-US" w:eastAsia="zh-CN"/>
              </w:rPr>
              <w:t>/d（折350天），每年以350天计，</w:t>
            </w:r>
            <w:r>
              <w:rPr>
                <w:rFonts w:hint="default"/>
                <w:color w:val="auto"/>
                <w:sz w:val="24"/>
                <w:szCs w:val="24"/>
              </w:rPr>
              <w:t>即</w:t>
            </w:r>
            <w:r>
              <w:rPr>
                <w:rFonts w:hint="eastAsia"/>
                <w:color w:val="auto"/>
                <w:sz w:val="24"/>
                <w:szCs w:val="24"/>
                <w:lang w:val="en-US" w:eastAsia="zh-CN"/>
              </w:rPr>
              <w:t>9448.32m</w:t>
            </w:r>
            <w:r>
              <w:rPr>
                <w:rFonts w:hint="default"/>
                <w:color w:val="auto"/>
                <w:sz w:val="24"/>
                <w:szCs w:val="24"/>
                <w:vertAlign w:val="superscript"/>
              </w:rPr>
              <w:t>3</w:t>
            </w:r>
            <w:r>
              <w:rPr>
                <w:rFonts w:hint="default"/>
                <w:color w:val="auto"/>
                <w:sz w:val="24"/>
                <w:szCs w:val="24"/>
              </w:rPr>
              <w:t>/a。</w:t>
            </w:r>
          </w:p>
          <w:p>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2）生活污水</w:t>
            </w:r>
          </w:p>
          <w:p>
            <w:pPr>
              <w:widowControl w:val="0"/>
              <w:adjustRightInd w:val="0"/>
              <w:snapToGrid w:val="0"/>
              <w:spacing w:after="0" w:line="440" w:lineRule="exact"/>
              <w:ind w:firstLine="480" w:firstLineChars="200"/>
              <w:jc w:val="both"/>
              <w:textAlignment w:val="auto"/>
              <w:rPr>
                <w:rFonts w:hint="eastAsia"/>
                <w:color w:val="auto"/>
                <w:sz w:val="24"/>
                <w:szCs w:val="24"/>
                <w:lang w:val="en-US" w:eastAsia="zh-CN"/>
              </w:rPr>
            </w:pPr>
            <w:r>
              <w:rPr>
                <w:rFonts w:hint="default"/>
                <w:color w:val="auto"/>
                <w:sz w:val="24"/>
                <w:szCs w:val="24"/>
                <w:lang w:val="en-US" w:eastAsia="zh-CN"/>
              </w:rPr>
              <w:t>①</w:t>
            </w:r>
            <w:r>
              <w:rPr>
                <w:rFonts w:hint="eastAsia"/>
                <w:color w:val="auto"/>
                <w:sz w:val="24"/>
                <w:szCs w:val="24"/>
                <w:lang w:val="en-US" w:eastAsia="zh-CN"/>
              </w:rPr>
              <w:t>生活污水</w:t>
            </w:r>
          </w:p>
          <w:p>
            <w:pPr>
              <w:widowControl w:val="0"/>
              <w:adjustRightInd w:val="0"/>
              <w:snapToGrid w:val="0"/>
              <w:spacing w:after="0"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color w:val="auto"/>
                <w:sz w:val="24"/>
                <w:szCs w:val="24"/>
                <w:lang w:val="en-US" w:eastAsia="zh-CN"/>
              </w:rPr>
              <w:t>本项目劳动定员为</w:t>
            </w:r>
            <w:r>
              <w:rPr>
                <w:rFonts w:hint="eastAsia"/>
                <w:color w:val="auto"/>
                <w:sz w:val="24"/>
                <w:szCs w:val="24"/>
                <w:lang w:val="en-US" w:eastAsia="zh-CN"/>
              </w:rPr>
              <w:t>28</w:t>
            </w:r>
            <w:r>
              <w:rPr>
                <w:rFonts w:hint="default"/>
                <w:color w:val="auto"/>
                <w:sz w:val="24"/>
                <w:szCs w:val="24"/>
                <w:lang w:val="en-US" w:eastAsia="zh-CN"/>
              </w:rPr>
              <w:t>人，</w:t>
            </w:r>
            <w:r>
              <w:rPr>
                <w:rFonts w:hint="eastAsia"/>
                <w:color w:val="auto"/>
                <w:sz w:val="24"/>
                <w:szCs w:val="24"/>
                <w:lang w:val="en-US" w:eastAsia="zh-CN"/>
              </w:rPr>
              <w:t>生活污水产生量为2.69m</w:t>
            </w:r>
            <w:r>
              <w:rPr>
                <w:rFonts w:hint="eastAsia"/>
                <w:color w:val="auto"/>
                <w:sz w:val="24"/>
                <w:szCs w:val="24"/>
                <w:vertAlign w:val="superscript"/>
                <w:lang w:val="en-US" w:eastAsia="zh-CN"/>
              </w:rPr>
              <w:t>3</w:t>
            </w:r>
            <w:r>
              <w:rPr>
                <w:rFonts w:hint="eastAsia"/>
                <w:color w:val="auto"/>
                <w:sz w:val="24"/>
                <w:szCs w:val="24"/>
                <w:lang w:val="en-US" w:eastAsia="zh-CN"/>
              </w:rPr>
              <w:t>/d，每年以350天计，</w:t>
            </w:r>
            <w:r>
              <w:rPr>
                <w:rFonts w:hint="default"/>
                <w:color w:val="auto"/>
                <w:sz w:val="24"/>
                <w:szCs w:val="24"/>
              </w:rPr>
              <w:t>即</w:t>
            </w:r>
            <w:r>
              <w:rPr>
                <w:rFonts w:hint="eastAsia"/>
                <w:color w:val="auto"/>
                <w:sz w:val="24"/>
                <w:szCs w:val="24"/>
                <w:lang w:val="en-US" w:eastAsia="zh-CN"/>
              </w:rPr>
              <w:t>941.5m</w:t>
            </w:r>
            <w:r>
              <w:rPr>
                <w:rFonts w:hint="default"/>
                <w:color w:val="auto"/>
                <w:sz w:val="24"/>
                <w:szCs w:val="24"/>
                <w:vertAlign w:val="superscript"/>
              </w:rPr>
              <w:t>3</w:t>
            </w:r>
            <w:r>
              <w:rPr>
                <w:rFonts w:hint="default"/>
                <w:color w:val="auto"/>
                <w:sz w:val="24"/>
                <w:szCs w:val="24"/>
              </w:rPr>
              <w:t>/a。</w:t>
            </w:r>
          </w:p>
          <w:p>
            <w:pPr>
              <w:widowControl w:val="0"/>
              <w:adjustRightInd w:val="0"/>
              <w:snapToGrid w:val="0"/>
              <w:spacing w:after="0" w:line="440" w:lineRule="exact"/>
              <w:ind w:firstLine="480" w:firstLineChars="200"/>
              <w:jc w:val="both"/>
              <w:textAlignment w:val="auto"/>
              <w:rPr>
                <w:rFonts w:hint="eastAsia"/>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食堂废水</w:t>
            </w:r>
          </w:p>
          <w:p>
            <w:pPr>
              <w:widowControl w:val="0"/>
              <w:adjustRightInd w:val="0"/>
              <w:snapToGrid w:val="0"/>
              <w:spacing w:after="0"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本项目食堂废水产生量为1.68m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eastAsia"/>
                <w:color w:val="auto"/>
                <w:sz w:val="24"/>
                <w:szCs w:val="24"/>
                <w:lang w:val="en-US" w:eastAsia="zh-CN"/>
              </w:rPr>
              <w:t>，每年以350天计，</w:t>
            </w:r>
            <w:r>
              <w:rPr>
                <w:rFonts w:hint="default"/>
                <w:color w:val="auto"/>
                <w:sz w:val="24"/>
                <w:szCs w:val="24"/>
              </w:rPr>
              <w:t>即</w:t>
            </w:r>
            <w:r>
              <w:rPr>
                <w:rFonts w:hint="eastAsia"/>
                <w:color w:val="auto"/>
                <w:sz w:val="24"/>
                <w:szCs w:val="24"/>
                <w:lang w:val="en-US" w:eastAsia="zh-CN"/>
              </w:rPr>
              <w:t>588m</w:t>
            </w:r>
            <w:r>
              <w:rPr>
                <w:rFonts w:hint="default"/>
                <w:color w:val="auto"/>
                <w:sz w:val="24"/>
                <w:szCs w:val="24"/>
                <w:vertAlign w:val="superscript"/>
              </w:rPr>
              <w:t>3</w:t>
            </w:r>
            <w:r>
              <w:rPr>
                <w:rFonts w:hint="default"/>
                <w:color w:val="auto"/>
                <w:sz w:val="24"/>
                <w:szCs w:val="24"/>
              </w:rPr>
              <w:t>/a。</w:t>
            </w:r>
          </w:p>
          <w:p>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3）初期雨水</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rPr>
            </w:pPr>
            <w:r>
              <w:rPr>
                <w:rFonts w:hint="eastAsia"/>
                <w:color w:val="auto"/>
                <w:sz w:val="24"/>
                <w:szCs w:val="24"/>
                <w:lang w:val="en-US" w:eastAsia="zh-CN"/>
              </w:rPr>
              <w:t>项目初期雨水产生量为6.194m</w:t>
            </w:r>
            <w:r>
              <w:rPr>
                <w:rFonts w:hint="eastAsia"/>
                <w:color w:val="auto"/>
                <w:sz w:val="24"/>
                <w:szCs w:val="24"/>
                <w:vertAlign w:val="superscript"/>
                <w:lang w:val="en-US" w:eastAsia="zh-CN"/>
              </w:rPr>
              <w:t>3</w:t>
            </w:r>
            <w:r>
              <w:rPr>
                <w:rFonts w:hint="eastAsia"/>
                <w:color w:val="auto"/>
                <w:sz w:val="24"/>
                <w:szCs w:val="24"/>
                <w:lang w:val="en-US" w:eastAsia="zh-CN"/>
              </w:rPr>
              <w:t>/d（折350天），每年以350天计，</w:t>
            </w:r>
            <w:r>
              <w:rPr>
                <w:rFonts w:hint="default"/>
                <w:color w:val="auto"/>
                <w:sz w:val="24"/>
                <w:szCs w:val="24"/>
              </w:rPr>
              <w:t>即</w:t>
            </w:r>
            <w:r>
              <w:rPr>
                <w:rFonts w:hint="eastAsia"/>
                <w:color w:val="auto"/>
                <w:sz w:val="24"/>
                <w:szCs w:val="24"/>
                <w:lang w:val="en-US" w:eastAsia="zh-CN"/>
              </w:rPr>
              <w:t>2168m</w:t>
            </w:r>
            <w:r>
              <w:rPr>
                <w:rFonts w:hint="default"/>
                <w:color w:val="auto"/>
                <w:sz w:val="24"/>
                <w:szCs w:val="24"/>
                <w:vertAlign w:val="superscript"/>
              </w:rPr>
              <w:t>3</w:t>
            </w:r>
            <w:r>
              <w:rPr>
                <w:rFonts w:hint="default"/>
                <w:color w:val="auto"/>
                <w:sz w:val="24"/>
                <w:szCs w:val="24"/>
              </w:rPr>
              <w:t>/a。</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b w:val="0"/>
                <w:bCs w:val="0"/>
                <w:color w:val="auto"/>
                <w:sz w:val="24"/>
                <w:szCs w:val="24"/>
                <w:lang w:val="en-US" w:eastAsia="zh-CN"/>
              </w:rPr>
            </w:pPr>
            <w:r>
              <w:rPr>
                <w:rFonts w:hint="default"/>
                <w:b w:val="0"/>
                <w:bCs w:val="0"/>
                <w:color w:val="auto"/>
                <w:sz w:val="24"/>
                <w:szCs w:val="24"/>
                <w:lang w:val="en-US" w:eastAsia="zh-CN"/>
              </w:rPr>
              <w:t>项目废水</w:t>
            </w:r>
            <w:r>
              <w:rPr>
                <w:rFonts w:hint="eastAsia"/>
                <w:b w:val="0"/>
                <w:bCs w:val="0"/>
                <w:color w:val="auto"/>
                <w:sz w:val="24"/>
                <w:szCs w:val="24"/>
                <w:lang w:val="en-US" w:eastAsia="zh-CN"/>
              </w:rPr>
              <w:t>产生</w:t>
            </w:r>
            <w:r>
              <w:rPr>
                <w:rFonts w:hint="default"/>
                <w:b w:val="0"/>
                <w:bCs w:val="0"/>
                <w:color w:val="auto"/>
                <w:sz w:val="24"/>
                <w:szCs w:val="24"/>
                <w:lang w:val="en-US" w:eastAsia="zh-CN"/>
              </w:rPr>
              <w:t>情况见表</w:t>
            </w:r>
            <w:r>
              <w:rPr>
                <w:rFonts w:hint="eastAsia"/>
                <w:b w:val="0"/>
                <w:bCs w:val="0"/>
                <w:color w:val="auto"/>
                <w:sz w:val="24"/>
                <w:szCs w:val="24"/>
                <w:lang w:val="en-US" w:eastAsia="zh-CN"/>
              </w:rPr>
              <w:t>4-13</w:t>
            </w:r>
            <w:r>
              <w:rPr>
                <w:rFonts w:hint="default"/>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 xml:space="preserve">4-13  </w:t>
            </w:r>
            <w:r>
              <w:rPr>
                <w:rFonts w:hint="eastAsia"/>
                <w:b/>
                <w:color w:val="auto"/>
                <w:sz w:val="24"/>
                <w:szCs w:val="24"/>
                <w:highlight w:val="none"/>
              </w:rPr>
              <w:t xml:space="preserve">  拟建项目废水水质情况一览表  单位：mg/L</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47"/>
              <w:gridCol w:w="679"/>
              <w:gridCol w:w="521"/>
              <w:gridCol w:w="560"/>
              <w:gridCol w:w="521"/>
              <w:gridCol w:w="677"/>
              <w:gridCol w:w="741"/>
              <w:gridCol w:w="901"/>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pPr>
                    <w:pStyle w:val="51"/>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ascii="Times New Roman"/>
                      <w:b w:val="0"/>
                      <w:bCs w:val="0"/>
                      <w:color w:val="auto"/>
                      <w:sz w:val="21"/>
                      <w:szCs w:val="21"/>
                      <w:highlight w:val="none"/>
                    </w:rPr>
                  </w:pPr>
                  <w:r>
                    <w:rPr>
                      <w:rFonts w:ascii="Times New Roman" w:hAnsi="宋体"/>
                      <w:b w:val="0"/>
                      <w:bCs w:val="0"/>
                      <w:color w:val="auto"/>
                      <w:sz w:val="21"/>
                      <w:szCs w:val="21"/>
                      <w:highlight w:val="none"/>
                    </w:rPr>
                    <w:t>废水种类</w:t>
                  </w:r>
                </w:p>
              </w:tc>
              <w:tc>
                <w:tcPr>
                  <w:tcW w:w="40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default"/>
                      <w:b w:val="0"/>
                      <w:bCs w:val="0"/>
                      <w:color w:val="auto"/>
                      <w:sz w:val="21"/>
                      <w:szCs w:val="21"/>
                      <w:highlight w:val="none"/>
                    </w:rPr>
                    <w:t>水量m</w:t>
                  </w:r>
                  <w:r>
                    <w:rPr>
                      <w:rFonts w:hint="default"/>
                      <w:b w:val="0"/>
                      <w:bCs w:val="0"/>
                      <w:color w:val="auto"/>
                      <w:sz w:val="21"/>
                      <w:szCs w:val="21"/>
                      <w:highlight w:val="none"/>
                      <w:vertAlign w:val="superscript"/>
                    </w:rPr>
                    <w:t>3</w:t>
                  </w:r>
                  <w:r>
                    <w:rPr>
                      <w:rFonts w:hint="default"/>
                      <w:b w:val="0"/>
                      <w:bCs w:val="0"/>
                      <w:color w:val="auto"/>
                      <w:sz w:val="21"/>
                      <w:szCs w:val="21"/>
                      <w:highlight w:val="none"/>
                    </w:rPr>
                    <w:t>/</w:t>
                  </w:r>
                  <w:r>
                    <w:rPr>
                      <w:rFonts w:hint="eastAsia"/>
                      <w:b w:val="0"/>
                      <w:bCs w:val="0"/>
                      <w:color w:val="auto"/>
                      <w:sz w:val="21"/>
                      <w:szCs w:val="21"/>
                      <w:highlight w:val="none"/>
                      <w:lang w:val="en-US" w:eastAsia="zh-CN"/>
                    </w:rPr>
                    <w:t>d</w:t>
                  </w:r>
                </w:p>
              </w:tc>
              <w:tc>
                <w:tcPr>
                  <w:tcW w:w="311"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COD</w:t>
                  </w:r>
                </w:p>
              </w:tc>
              <w:tc>
                <w:tcPr>
                  <w:tcW w:w="334" w:type="pct"/>
                  <w:noWrap w:val="0"/>
                  <w:vAlign w:val="center"/>
                </w:tcPr>
                <w:p>
                  <w:pPr>
                    <w:pStyle w:val="52"/>
                    <w:keepNext w:val="0"/>
                    <w:keepLines w:val="0"/>
                    <w:pageBreakBefore w:val="0"/>
                    <w:suppressLineNumbers w:val="0"/>
                    <w:kinsoku/>
                    <w:wordWrap/>
                    <w:overflowPunct/>
                    <w:topLinePunct w:val="0"/>
                    <w:autoSpaceDE/>
                    <w:autoSpaceDN/>
                    <w:bidi w:val="0"/>
                    <w:spacing w:beforeLines="0" w:beforeAutospacing="0" w:afterLines="0" w:afterAutospacing="0" w:line="360" w:lineRule="exact"/>
                    <w:ind w:left="0" w:right="0" w:firstLine="0" w:firstLineChars="0"/>
                    <w:jc w:val="center"/>
                    <w:textAlignment w:val="auto"/>
                    <w:rPr>
                      <w:rFonts w:hint="default" w:ascii="Times New Roman"/>
                      <w:b w:val="0"/>
                      <w:bCs w:val="0"/>
                      <w:color w:val="auto"/>
                      <w:sz w:val="21"/>
                      <w:szCs w:val="21"/>
                      <w:highlight w:val="none"/>
                    </w:rPr>
                  </w:pPr>
                  <w:r>
                    <w:rPr>
                      <w:rFonts w:hint="default" w:ascii="Times New Roman"/>
                      <w:b w:val="0"/>
                      <w:bCs w:val="0"/>
                      <w:color w:val="auto"/>
                      <w:sz w:val="21"/>
                      <w:szCs w:val="21"/>
                      <w:highlight w:val="none"/>
                    </w:rPr>
                    <w:t>BOD</w:t>
                  </w:r>
                  <w:r>
                    <w:rPr>
                      <w:rFonts w:hint="default" w:ascii="Times New Roman"/>
                      <w:b w:val="0"/>
                      <w:bCs w:val="0"/>
                      <w:color w:val="auto"/>
                      <w:sz w:val="21"/>
                      <w:szCs w:val="21"/>
                      <w:highlight w:val="none"/>
                      <w:vertAlign w:val="subscript"/>
                    </w:rPr>
                    <w:t>5</w:t>
                  </w:r>
                </w:p>
              </w:tc>
              <w:tc>
                <w:tcPr>
                  <w:tcW w:w="311"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SS</w:t>
                  </w:r>
                </w:p>
              </w:tc>
              <w:tc>
                <w:tcPr>
                  <w:tcW w:w="404"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氨氮</w:t>
                  </w:r>
                </w:p>
              </w:tc>
              <w:tc>
                <w:tcPr>
                  <w:tcW w:w="442"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石油类</w:t>
                  </w:r>
                </w:p>
              </w:tc>
              <w:tc>
                <w:tcPr>
                  <w:tcW w:w="538"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动植物油</w:t>
                  </w:r>
                </w:p>
              </w:tc>
              <w:tc>
                <w:tcPr>
                  <w:tcW w:w="1566"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8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eastAsia="zh-CN"/>
                    </w:rPr>
                    <w:t>初期雨水</w:t>
                  </w:r>
                </w:p>
              </w:tc>
              <w:tc>
                <w:tcPr>
                  <w:tcW w:w="4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6.194</w:t>
                  </w:r>
                </w:p>
              </w:tc>
              <w:tc>
                <w:tcPr>
                  <w:tcW w:w="3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70</w:t>
                  </w:r>
                </w:p>
              </w:tc>
              <w:tc>
                <w:tcPr>
                  <w:tcW w:w="3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21</w:t>
                  </w:r>
                </w:p>
              </w:tc>
              <w:tc>
                <w:tcPr>
                  <w:tcW w:w="3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500</w:t>
                  </w:r>
                </w:p>
              </w:tc>
              <w:tc>
                <w:tcPr>
                  <w:tcW w:w="404"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20</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r>
                    <w:rPr>
                      <w:rFonts w:hint="eastAsia"/>
                      <w:color w:val="auto"/>
                      <w:lang w:val="en-US" w:eastAsia="zh-CN"/>
                    </w:rPr>
                    <w:t>--</w:t>
                  </w:r>
                </w:p>
              </w:tc>
              <w:tc>
                <w:tcPr>
                  <w:tcW w:w="156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eastAsia="宋体"/>
                      <w:color w:val="auto"/>
                      <w:lang w:val="en-US" w:eastAsia="zh-CN"/>
                    </w:rPr>
                  </w:pPr>
                  <w:r>
                    <w:rPr>
                      <w:rFonts w:hint="eastAsia"/>
                      <w:color w:val="auto"/>
                      <w:lang w:val="en-US" w:eastAsia="zh-CN"/>
                    </w:rPr>
                    <w:t>双龙镇污水处理厂扩建完成前，经库内废水处理站处理后用于库内绿化、泼洒抑尘；双龙镇污水处理厂扩建完成后，经库内废水处理站处理后，排入双龙镇污水处理厂进一步处理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8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eastAsia" w:eastAsia="宋体"/>
                      <w:b w:val="0"/>
                      <w:bCs w:val="0"/>
                      <w:color w:val="auto"/>
                      <w:sz w:val="21"/>
                      <w:szCs w:val="21"/>
                      <w:highlight w:val="none"/>
                      <w:lang w:eastAsia="zh-CN"/>
                    </w:rPr>
                    <w:t>降温喷淋水</w:t>
                  </w:r>
                </w:p>
              </w:tc>
              <w:tc>
                <w:tcPr>
                  <w:tcW w:w="405" w:type="pct"/>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26.995</w:t>
                  </w:r>
                </w:p>
              </w:tc>
              <w:tc>
                <w:tcPr>
                  <w:tcW w:w="3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150</w:t>
                  </w:r>
                </w:p>
              </w:tc>
              <w:tc>
                <w:tcPr>
                  <w:tcW w:w="3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p>
              </w:tc>
              <w:tc>
                <w:tcPr>
                  <w:tcW w:w="3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100</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20</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r>
                    <w:rPr>
                      <w:rFonts w:hint="eastAsia"/>
                      <w:color w:val="auto"/>
                      <w:lang w:val="en-US" w:eastAsia="zh-CN"/>
                    </w:rPr>
                    <w:t>--</w:t>
                  </w:r>
                </w:p>
              </w:tc>
              <w:tc>
                <w:tcPr>
                  <w:tcW w:w="15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8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地面冲洗废水</w:t>
                  </w:r>
                </w:p>
              </w:tc>
              <w:tc>
                <w:tcPr>
                  <w:tcW w:w="405" w:type="pct"/>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0.168</w:t>
                  </w:r>
                </w:p>
              </w:tc>
              <w:tc>
                <w:tcPr>
                  <w:tcW w:w="3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300</w:t>
                  </w:r>
                </w:p>
              </w:tc>
              <w:tc>
                <w:tcPr>
                  <w:tcW w:w="3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500</w:t>
                  </w:r>
                </w:p>
              </w:tc>
              <w:tc>
                <w:tcPr>
                  <w:tcW w:w="4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30</w:t>
                  </w:r>
                </w:p>
              </w:tc>
              <w:tc>
                <w:tcPr>
                  <w:tcW w:w="53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r>
                    <w:rPr>
                      <w:rFonts w:hint="eastAsia"/>
                      <w:color w:val="auto"/>
                      <w:lang w:val="en-US" w:eastAsia="zh-CN"/>
                    </w:rPr>
                    <w:t>--</w:t>
                  </w:r>
                </w:p>
              </w:tc>
              <w:tc>
                <w:tcPr>
                  <w:tcW w:w="15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小计</w:t>
                  </w:r>
                </w:p>
              </w:tc>
              <w:tc>
                <w:tcPr>
                  <w:tcW w:w="4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33.357</w:t>
                  </w:r>
                </w:p>
              </w:tc>
              <w:tc>
                <w:tcPr>
                  <w:tcW w:w="3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135.9 </w:t>
                  </w:r>
                </w:p>
              </w:tc>
              <w:tc>
                <w:tcPr>
                  <w:tcW w:w="334"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2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311" w:type="pct"/>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spacing w:val="-2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176.3 </w:t>
                  </w:r>
                </w:p>
              </w:tc>
              <w:tc>
                <w:tcPr>
                  <w:tcW w:w="404" w:type="pct"/>
                  <w:noWrap w:val="0"/>
                  <w:vAlign w:val="center"/>
                </w:tcPr>
                <w:p>
                  <w:pPr>
                    <w:keepNext w:val="0"/>
                    <w:keepLines w:val="0"/>
                    <w:widowControl/>
                    <w:suppressLineNumbers w:val="0"/>
                    <w:jc w:val="center"/>
                    <w:textAlignment w:val="center"/>
                    <w:rPr>
                      <w:rFonts w:hint="default"/>
                      <w:b w:val="0"/>
                      <w:bCs w:val="0"/>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442" w:type="pct"/>
                  <w:noWrap w:val="0"/>
                  <w:vAlign w:val="center"/>
                </w:tcPr>
                <w:p>
                  <w:pPr>
                    <w:keepNext w:val="0"/>
                    <w:keepLines w:val="0"/>
                    <w:widowControl/>
                    <w:suppressLineNumbers w:val="0"/>
                    <w:jc w:val="center"/>
                    <w:textAlignment w:val="center"/>
                    <w:rPr>
                      <w:rFonts w:hint="default"/>
                      <w:b w:val="0"/>
                      <w:bCs w:val="0"/>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9.2 </w:t>
                  </w:r>
                </w:p>
              </w:tc>
              <w:tc>
                <w:tcPr>
                  <w:tcW w:w="53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32"/>
                      <w:sz w:val="21"/>
                      <w:szCs w:val="21"/>
                      <w:u w:val="none"/>
                      <w:lang w:val="en-US" w:eastAsia="zh-CN"/>
                    </w:rPr>
                  </w:pPr>
                  <w:r>
                    <w:rPr>
                      <w:rFonts w:hint="eastAsia" w:cs="Times New Roman"/>
                      <w:color w:val="auto"/>
                      <w:kern w:val="32"/>
                      <w:sz w:val="21"/>
                      <w:szCs w:val="21"/>
                      <w:u w:val="none"/>
                      <w:lang w:val="en-US" w:eastAsia="zh-CN"/>
                    </w:rPr>
                    <w:t>--</w:t>
                  </w:r>
                </w:p>
              </w:tc>
              <w:tc>
                <w:tcPr>
                  <w:tcW w:w="156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32"/>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pacing w:val="-10"/>
                      <w:sz w:val="21"/>
                      <w:szCs w:val="21"/>
                      <w:highlight w:val="none"/>
                      <w:lang w:eastAsia="zh-CN"/>
                    </w:rPr>
                  </w:pPr>
                  <w:r>
                    <w:rPr>
                      <w:rFonts w:hint="eastAsia"/>
                      <w:b w:val="0"/>
                      <w:bCs w:val="0"/>
                      <w:color w:val="auto"/>
                      <w:spacing w:val="-10"/>
                      <w:sz w:val="21"/>
                      <w:szCs w:val="21"/>
                      <w:highlight w:val="none"/>
                      <w:lang w:eastAsia="zh-CN"/>
                    </w:rPr>
                    <w:t>生活污水</w:t>
                  </w:r>
                </w:p>
              </w:tc>
              <w:tc>
                <w:tcPr>
                  <w:tcW w:w="4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lang w:val="en-US" w:eastAsia="zh-CN"/>
                    </w:rPr>
                  </w:pPr>
                  <w:r>
                    <w:rPr>
                      <w:rFonts w:hint="eastAsia" w:cs="Times New Roman"/>
                      <w:b w:val="0"/>
                      <w:bCs w:val="0"/>
                      <w:color w:val="auto"/>
                      <w:spacing w:val="-10"/>
                      <w:sz w:val="21"/>
                      <w:szCs w:val="21"/>
                      <w:highlight w:val="none"/>
                      <w:lang w:val="en-US" w:eastAsia="zh-CN"/>
                    </w:rPr>
                    <w:t>2.69</w:t>
                  </w:r>
                </w:p>
              </w:tc>
              <w:tc>
                <w:tcPr>
                  <w:tcW w:w="311"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color w:val="auto"/>
                      <w:lang w:val="en-US" w:eastAsia="zh-CN"/>
                    </w:rPr>
                    <w:t>350</w:t>
                  </w:r>
                </w:p>
              </w:tc>
              <w:tc>
                <w:tcPr>
                  <w:tcW w:w="334"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cs="Times New Roman"/>
                      <w:b w:val="0"/>
                      <w:bCs w:val="0"/>
                      <w:color w:val="auto"/>
                      <w:spacing w:val="-10"/>
                      <w:sz w:val="21"/>
                      <w:szCs w:val="21"/>
                      <w:highlight w:val="none"/>
                      <w:lang w:val="en-US"/>
                    </w:rPr>
                  </w:pPr>
                  <w:r>
                    <w:rPr>
                      <w:rFonts w:hint="eastAsia"/>
                      <w:color w:val="auto"/>
                      <w:lang w:val="en-US" w:eastAsia="zh-CN"/>
                    </w:rPr>
                    <w:t>250</w:t>
                  </w:r>
                </w:p>
              </w:tc>
              <w:tc>
                <w:tcPr>
                  <w:tcW w:w="311"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cs="Times New Roman"/>
                      <w:b w:val="0"/>
                      <w:bCs w:val="0"/>
                      <w:color w:val="auto"/>
                      <w:spacing w:val="-10"/>
                      <w:sz w:val="21"/>
                      <w:szCs w:val="21"/>
                      <w:highlight w:val="none"/>
                      <w:lang w:val="en-US"/>
                    </w:rPr>
                  </w:pPr>
                  <w:r>
                    <w:rPr>
                      <w:rFonts w:hint="eastAsia"/>
                      <w:color w:val="auto"/>
                      <w:lang w:val="en-US" w:eastAsia="zh-CN"/>
                    </w:rPr>
                    <w:t>200</w:t>
                  </w:r>
                </w:p>
              </w:tc>
              <w:tc>
                <w:tcPr>
                  <w:tcW w:w="404"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40</w:t>
                  </w:r>
                </w:p>
              </w:tc>
              <w:tc>
                <w:tcPr>
                  <w:tcW w:w="442"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val="0"/>
                      <w:bCs w:val="0"/>
                      <w:color w:val="auto"/>
                      <w:sz w:val="21"/>
                      <w:szCs w:val="21"/>
                      <w:highlight w:val="none"/>
                      <w:lang w:val="en-US"/>
                    </w:rPr>
                  </w:pPr>
                  <w:r>
                    <w:rPr>
                      <w:rFonts w:hint="eastAsia"/>
                      <w:color w:val="auto"/>
                      <w:lang w:val="en-US" w:eastAsia="zh-CN"/>
                    </w:rPr>
                    <w:t>--</w:t>
                  </w:r>
                </w:p>
              </w:tc>
              <w:tc>
                <w:tcPr>
                  <w:tcW w:w="538"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60</w:t>
                  </w:r>
                </w:p>
              </w:tc>
              <w:tc>
                <w:tcPr>
                  <w:tcW w:w="1566" w:type="pct"/>
                  <w:vMerge w:val="restar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双龙镇污水处理厂扩建完成前，经库内化粪池（食堂废水经隔油池处理）处理后定期清掏；双龙镇污水处理厂扩建完成后，经库内化粪池（食堂废水经隔油池处理）+地埋式生活污水处理站处理后，排入双龙镇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pacing w:val="-10"/>
                      <w:sz w:val="21"/>
                      <w:szCs w:val="21"/>
                      <w:highlight w:val="none"/>
                      <w:lang w:val="en-US" w:eastAsia="zh-CN"/>
                    </w:rPr>
                  </w:pPr>
                  <w:r>
                    <w:rPr>
                      <w:rFonts w:hint="eastAsia"/>
                      <w:b w:val="0"/>
                      <w:bCs w:val="0"/>
                      <w:color w:val="auto"/>
                      <w:spacing w:val="-10"/>
                      <w:sz w:val="21"/>
                      <w:szCs w:val="21"/>
                      <w:highlight w:val="none"/>
                      <w:lang w:val="en-US" w:eastAsia="zh-CN"/>
                    </w:rPr>
                    <w:t>食堂废水</w:t>
                  </w:r>
                </w:p>
              </w:tc>
              <w:tc>
                <w:tcPr>
                  <w:tcW w:w="4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lang w:val="en-US" w:eastAsia="zh-CN"/>
                    </w:rPr>
                  </w:pPr>
                  <w:r>
                    <w:rPr>
                      <w:rFonts w:hint="eastAsia" w:cs="Times New Roman"/>
                      <w:b w:val="0"/>
                      <w:bCs w:val="0"/>
                      <w:color w:val="auto"/>
                      <w:spacing w:val="-10"/>
                      <w:sz w:val="21"/>
                      <w:szCs w:val="21"/>
                      <w:highlight w:val="none"/>
                      <w:lang w:val="en-US" w:eastAsia="zh-CN"/>
                    </w:rPr>
                    <w:t>1.68</w:t>
                  </w:r>
                </w:p>
              </w:tc>
              <w:tc>
                <w:tcPr>
                  <w:tcW w:w="311"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800</w:t>
                  </w:r>
                </w:p>
              </w:tc>
              <w:tc>
                <w:tcPr>
                  <w:tcW w:w="334"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250</w:t>
                  </w:r>
                </w:p>
              </w:tc>
              <w:tc>
                <w:tcPr>
                  <w:tcW w:w="311"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200</w:t>
                  </w:r>
                </w:p>
              </w:tc>
              <w:tc>
                <w:tcPr>
                  <w:tcW w:w="404"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10</w:t>
                  </w:r>
                </w:p>
              </w:tc>
              <w:tc>
                <w:tcPr>
                  <w:tcW w:w="442"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w:t>
                  </w:r>
                </w:p>
              </w:tc>
              <w:tc>
                <w:tcPr>
                  <w:tcW w:w="538" w:type="pct"/>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eastAsia="宋体"/>
                      <w:color w:val="auto"/>
                      <w:lang w:val="en-US" w:eastAsia="zh-CN"/>
                    </w:rPr>
                  </w:pPr>
                  <w:r>
                    <w:rPr>
                      <w:rFonts w:hint="eastAsia"/>
                      <w:color w:val="auto"/>
                      <w:lang w:val="en-US" w:eastAsia="zh-CN"/>
                    </w:rPr>
                    <w:t>120</w:t>
                  </w:r>
                </w:p>
              </w:tc>
              <w:tc>
                <w:tcPr>
                  <w:tcW w:w="1566"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pacing w:val="-10"/>
                      <w:sz w:val="21"/>
                      <w:szCs w:val="21"/>
                      <w:highlight w:val="none"/>
                      <w:lang w:val="en-US" w:eastAsia="zh-CN"/>
                    </w:rPr>
                  </w:pPr>
                  <w:r>
                    <w:rPr>
                      <w:rFonts w:hint="eastAsia"/>
                      <w:b w:val="0"/>
                      <w:bCs w:val="0"/>
                      <w:color w:val="auto"/>
                      <w:spacing w:val="-10"/>
                      <w:sz w:val="21"/>
                      <w:szCs w:val="21"/>
                      <w:highlight w:val="none"/>
                      <w:lang w:val="en-US" w:eastAsia="zh-CN"/>
                    </w:rPr>
                    <w:t>小计</w:t>
                  </w:r>
                </w:p>
              </w:tc>
              <w:tc>
                <w:tcPr>
                  <w:tcW w:w="40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lang w:val="en-US" w:eastAsia="zh-CN"/>
                    </w:rPr>
                  </w:pPr>
                  <w:r>
                    <w:rPr>
                      <w:rFonts w:hint="eastAsia" w:cs="Times New Roman"/>
                      <w:i w:val="0"/>
                      <w:iCs w:val="0"/>
                      <w:color w:val="auto"/>
                      <w:kern w:val="0"/>
                      <w:sz w:val="21"/>
                      <w:szCs w:val="21"/>
                      <w:u w:val="none"/>
                      <w:lang w:val="en-US" w:eastAsia="zh-CN" w:bidi="ar"/>
                    </w:rPr>
                    <w:t>4.37</w:t>
                  </w:r>
                </w:p>
              </w:tc>
              <w:tc>
                <w:tcPr>
                  <w:tcW w:w="311" w:type="pct"/>
                  <w:noWrap w:val="0"/>
                  <w:vAlign w:val="center"/>
                </w:tcPr>
                <w:p>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369.2 </w:t>
                  </w:r>
                </w:p>
              </w:tc>
              <w:tc>
                <w:tcPr>
                  <w:tcW w:w="334" w:type="pct"/>
                  <w:noWrap w:val="0"/>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250.0 </w:t>
                  </w:r>
                </w:p>
              </w:tc>
              <w:tc>
                <w:tcPr>
                  <w:tcW w:w="311" w:type="pct"/>
                  <w:noWrap w:val="0"/>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200.0 </w:t>
                  </w:r>
                </w:p>
              </w:tc>
              <w:tc>
                <w:tcPr>
                  <w:tcW w:w="404" w:type="pct"/>
                  <w:noWrap w:val="0"/>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28.5 </w:t>
                  </w:r>
                </w:p>
              </w:tc>
              <w:tc>
                <w:tcPr>
                  <w:tcW w:w="442" w:type="pct"/>
                  <w:noWrap w:val="0"/>
                  <w:vAlign w:val="center"/>
                </w:tcPr>
                <w:p>
                  <w:pPr>
                    <w:keepNext w:val="0"/>
                    <w:keepLines w:val="0"/>
                    <w:widowControl/>
                    <w:suppressLineNumbers w:val="0"/>
                    <w:jc w:val="center"/>
                    <w:textAlignment w:val="center"/>
                    <w:rPr>
                      <w:rFonts w:hint="default"/>
                      <w:color w:va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p>
              </w:tc>
              <w:tc>
                <w:tcPr>
                  <w:tcW w:w="538" w:type="pct"/>
                  <w:noWrap w:val="0"/>
                  <w:vAlign w:val="center"/>
                </w:tcPr>
                <w:p>
                  <w:pPr>
                    <w:keepNext w:val="0"/>
                    <w:keepLines w:val="0"/>
                    <w:widowControl/>
                    <w:suppressLineNumbers w:val="0"/>
                    <w:jc w:val="center"/>
                    <w:textAlignment w:val="center"/>
                    <w:rPr>
                      <w:rFonts w:hint="default" w:eastAsia="宋体"/>
                      <w:color w:val="auto"/>
                      <w:lang w:val="en-US" w:eastAsia="zh-CN"/>
                    </w:rPr>
                  </w:pPr>
                  <w:r>
                    <w:rPr>
                      <w:rFonts w:hint="eastAsia"/>
                      <w:color w:val="auto"/>
                      <w:lang w:val="en-US" w:eastAsia="zh-CN"/>
                    </w:rPr>
                    <w:t>83.1</w:t>
                  </w:r>
                </w:p>
              </w:tc>
              <w:tc>
                <w:tcPr>
                  <w:tcW w:w="1566" w:type="pct"/>
                  <w:vMerge w:val="continue"/>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rPr>
                  </w:pPr>
                </w:p>
              </w:tc>
            </w:tr>
          </w:tbl>
          <w:p>
            <w:pPr>
              <w:keepNext w:val="0"/>
              <w:keepLines w:val="0"/>
              <w:pageBreakBefore w:val="0"/>
              <w:widowControl/>
              <w:wordWrap/>
              <w:topLinePunct w:val="0"/>
              <w:bidi w:val="0"/>
              <w:adjustRightInd w:val="0"/>
              <w:snapToGrid w:val="0"/>
              <w:spacing w:line="440" w:lineRule="exact"/>
              <w:ind w:firstLine="480" w:firstLineChars="200"/>
              <w:textAlignment w:val="baseline"/>
              <w:rPr>
                <w:rFonts w:hint="eastAsia" w:eastAsia="宋体"/>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）厂内废水处理措施可行性分析</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eastAsia" w:ascii="Times New Roman" w:hAnsi="Times New Roman" w:eastAsia="宋体"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本项目废水采用请污分流、雨污分流制，生产废水和生活污水进行</w:t>
            </w:r>
            <w:r>
              <w:rPr>
                <w:rFonts w:hint="default" w:ascii="Times New Roman" w:hAnsi="Times New Roman" w:eastAsia="宋体" w:cs="Times New Roman"/>
                <w:color w:val="auto"/>
                <w:kern w:val="2"/>
                <w:sz w:val="24"/>
                <w:szCs w:val="24"/>
                <w:u w:val="none"/>
                <w:lang w:val="en-US" w:eastAsia="zh-CN" w:bidi="ar-SA"/>
              </w:rPr>
              <w:t>分类收集、分类处理</w:t>
            </w:r>
            <w:r>
              <w:rPr>
                <w:rFonts w:hint="eastAsia" w:ascii="Times New Roman" w:hAnsi="Times New Roman" w:eastAsia="宋体" w:cs="Times New Roman"/>
                <w:color w:val="auto"/>
                <w:kern w:val="2"/>
                <w:sz w:val="24"/>
                <w:szCs w:val="24"/>
                <w:u w:val="none"/>
                <w:lang w:val="en-US" w:eastAsia="zh-CN" w:bidi="ar-SA"/>
              </w:rPr>
              <w:t>。</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1）双龙镇污水处理厂扩建完成前库内废水处理措施可行性分析</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①生活污水</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s="Times New Roman"/>
                <w:color w:val="auto"/>
                <w:sz w:val="24"/>
                <w:szCs w:val="24"/>
                <w:u w:val="none"/>
                <w:lang w:val="en-US" w:eastAsia="zh-CN" w:bidi="ar-SA"/>
              </w:rPr>
              <w:t>本项目</w:t>
            </w:r>
            <w:r>
              <w:rPr>
                <w:rFonts w:hint="default" w:ascii="Times New Roman" w:hAnsi="Times New Roman" w:eastAsia="宋体" w:cs="Times New Roman"/>
                <w:color w:val="auto"/>
                <w:sz w:val="24"/>
                <w:szCs w:val="24"/>
                <w:u w:val="none"/>
                <w:lang w:val="en-US" w:eastAsia="zh-CN" w:bidi="ar-SA"/>
              </w:rPr>
              <w:t>生活污水</w:t>
            </w:r>
            <w:r>
              <w:rPr>
                <w:rFonts w:hint="eastAsia" w:ascii="Times New Roman" w:hAnsi="Times New Roman" w:cs="Times New Roman"/>
                <w:color w:val="auto"/>
                <w:sz w:val="24"/>
                <w:szCs w:val="24"/>
                <w:u w:val="none"/>
                <w:lang w:val="en-US" w:eastAsia="zh-CN" w:bidi="ar-SA"/>
              </w:rPr>
              <w:t>产生量为</w:t>
            </w:r>
            <w:r>
              <w:rPr>
                <w:rFonts w:hint="eastAsia" w:cs="Times New Roman"/>
                <w:color w:val="auto"/>
                <w:sz w:val="24"/>
                <w:szCs w:val="24"/>
                <w:u w:val="none"/>
                <w:lang w:val="en-US" w:eastAsia="zh-CN" w:bidi="ar-SA"/>
              </w:rPr>
              <w:t>2.69</w:t>
            </w:r>
            <w:r>
              <w:rPr>
                <w:rFonts w:hint="eastAsia" w:ascii="Times New Roman" w:hAnsi="Times New Roman" w:cs="Times New Roman"/>
                <w:color w:val="auto"/>
                <w:sz w:val="24"/>
                <w:szCs w:val="24"/>
                <w:u w:val="none"/>
                <w:lang w:val="en-US" w:eastAsia="zh-CN" w:bidi="ar-SA"/>
              </w:rPr>
              <w:t>m</w:t>
            </w:r>
            <w:r>
              <w:rPr>
                <w:rFonts w:hint="eastAsia" w:ascii="Times New Roman" w:hAnsi="Times New Roman" w:cs="Times New Roman"/>
                <w:color w:val="auto"/>
                <w:sz w:val="24"/>
                <w:szCs w:val="24"/>
                <w:u w:val="none"/>
                <w:vertAlign w:val="superscript"/>
                <w:lang w:val="en-US" w:eastAsia="zh-CN" w:bidi="ar-SA"/>
              </w:rPr>
              <w:t>3</w:t>
            </w:r>
            <w:r>
              <w:rPr>
                <w:rFonts w:hint="eastAsia" w:ascii="Times New Roman" w:hAnsi="Times New Roman" w:cs="Times New Roman"/>
                <w:color w:val="auto"/>
                <w:sz w:val="24"/>
                <w:szCs w:val="24"/>
                <w:u w:val="none"/>
                <w:lang w:val="en-US" w:eastAsia="zh-CN" w:bidi="ar-SA"/>
              </w:rPr>
              <w:t>/d，</w:t>
            </w:r>
            <w:r>
              <w:rPr>
                <w:rFonts w:hint="eastAsia" w:cs="Times New Roman"/>
                <w:color w:val="auto"/>
                <w:sz w:val="24"/>
                <w:szCs w:val="24"/>
                <w:u w:val="none"/>
                <w:lang w:val="en-US" w:eastAsia="zh-CN" w:bidi="ar-SA"/>
              </w:rPr>
              <w:t>食堂废水产生量为1.68m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/d。</w:t>
            </w: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”处理后定期清掏外运</w:t>
            </w:r>
            <w:r>
              <w:rPr>
                <w:rFonts w:hint="eastAsia" w:ascii="Times New Roman" w:hAnsi="Times New Roman" w:cs="Times New Roman"/>
                <w:color w:val="auto"/>
                <w:sz w:val="24"/>
                <w:szCs w:val="24"/>
                <w:u w:val="none"/>
                <w:lang w:val="en-US" w:eastAsia="zh-CN" w:bidi="ar-SA"/>
              </w:rPr>
              <w:t>。</w:t>
            </w:r>
          </w:p>
          <w:p>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eastAsia" w:cs="Times New Roman"/>
                <w:color w:val="auto"/>
                <w:sz w:val="24"/>
                <w:szCs w:val="24"/>
                <w:u w:val="none"/>
                <w:lang w:val="en-US" w:eastAsia="zh-CN" w:bidi="ar-SA"/>
              </w:rPr>
              <w:t>本项目化粪池容积为15m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，可容纳本项目生活污水。本项目</w:t>
            </w:r>
            <w:r>
              <w:rPr>
                <w:rFonts w:hint="eastAsia"/>
                <w:color w:val="auto"/>
                <w:sz w:val="24"/>
                <w:szCs w:val="24"/>
                <w:lang w:val="en-US" w:eastAsia="zh-CN"/>
              </w:rPr>
              <w:t>生活</w:t>
            </w:r>
            <w:r>
              <w:rPr>
                <w:rFonts w:hint="default"/>
                <w:color w:val="auto"/>
                <w:sz w:val="24"/>
                <w:szCs w:val="24"/>
                <w:lang w:val="en-US" w:eastAsia="zh-CN"/>
              </w:rPr>
              <w:t>污水处理工艺流程图如下：</w:t>
            </w:r>
          </w:p>
          <w:p>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default"/>
                <w:color w:val="auto"/>
              </w:rPr>
            </w:pPr>
            <w:r>
              <w:rPr>
                <w:rFonts w:hint="eastAsia" w:cs="Times New Roman"/>
                <w:color w:val="auto"/>
                <w:highlight w:val="none"/>
              </w:rPr>
              <w:object>
                <v:shape id="_x0000_i1028" o:spt="75" type="#_x0000_t75" style="height:78.15pt;width:215.55pt;" o:ole="t" filled="f" o:preferrelative="t" stroked="f" coordsize="21600,21600">
                  <v:path/>
                  <v:fill on="f" focussize="0,0"/>
                  <v:stroke on="f"/>
                  <v:imagedata r:id="rId37" o:title=""/>
                  <o:lock v:ext="edit" aspectratio="f"/>
                  <w10:wrap type="none"/>
                  <w10:anchorlock/>
                </v:shape>
                <o:OLEObject Type="Embed" ProgID="Visio.Drawing.11" ShapeID="_x0000_i1028" DrawAspect="Content" ObjectID="_1468075728" r:id="rId36">
                  <o:LockedField>false</o:LockedField>
                </o:OLEObject>
              </w:object>
            </w:r>
          </w:p>
          <w:p>
            <w:pPr>
              <w:keepNext w:val="0"/>
              <w:keepLines w:val="0"/>
              <w:pageBreakBefore w:val="0"/>
              <w:widowControl/>
              <w:wordWrap/>
              <w:topLinePunct w:val="0"/>
              <w:bidi w:val="0"/>
              <w:adjustRightInd w:val="0"/>
              <w:snapToGrid w:val="0"/>
              <w:spacing w:line="440" w:lineRule="exact"/>
              <w:ind w:firstLine="482" w:firstLineChars="200"/>
              <w:jc w:val="center"/>
              <w:textAlignment w:val="baseline"/>
              <w:rPr>
                <w:rFonts w:hint="default" w:cs="Times New Roman"/>
                <w:color w:val="auto"/>
                <w:sz w:val="24"/>
                <w:szCs w:val="24"/>
                <w:u w:val="none"/>
                <w:lang w:val="en-US" w:eastAsia="zh-CN" w:bidi="ar-SA"/>
              </w:rPr>
            </w:pP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2</w:t>
            </w:r>
            <w:r>
              <w:rPr>
                <w:rFonts w:hint="default" w:ascii="Times New Roman" w:hAnsi="Times New Roman" w:eastAsia="宋体" w:cs="Times New Roman"/>
                <w:b/>
                <w:bCs/>
                <w:snapToGrid w:val="0"/>
                <w:color w:val="auto"/>
                <w:sz w:val="24"/>
                <w:szCs w:val="24"/>
                <w:u w:val="none"/>
                <w:lang w:val="en-US" w:eastAsia="zh-CN" w:bidi="ar-SA"/>
              </w:rPr>
              <w:t xml:space="preserve">    </w:t>
            </w:r>
            <w:r>
              <w:rPr>
                <w:rFonts w:hint="eastAsia" w:cs="Times New Roman"/>
                <w:b/>
                <w:bCs/>
                <w:snapToGrid w:val="0"/>
                <w:color w:val="auto"/>
                <w:sz w:val="24"/>
                <w:szCs w:val="24"/>
                <w:u w:val="none"/>
                <w:lang w:val="en-US" w:eastAsia="zh-CN" w:bidi="ar-SA"/>
              </w:rPr>
              <w:t>生活污水</w:t>
            </w:r>
            <w:r>
              <w:rPr>
                <w:rFonts w:hint="default" w:ascii="Times New Roman" w:hAnsi="Times New Roman" w:eastAsia="宋体" w:cs="Times New Roman"/>
                <w:b/>
                <w:bCs/>
                <w:snapToGrid w:val="0"/>
                <w:color w:val="auto"/>
                <w:sz w:val="24"/>
                <w:szCs w:val="24"/>
                <w:u w:val="none"/>
                <w:lang w:val="en-US" w:eastAsia="zh-CN" w:bidi="ar-SA"/>
              </w:rPr>
              <w:t>处理工艺流程图</w:t>
            </w:r>
          </w:p>
          <w:p>
            <w:pPr>
              <w:keepNext w:val="0"/>
              <w:keepLines w:val="0"/>
              <w:pageBreakBefore w:val="0"/>
              <w:widowControl/>
              <w:wordWrap/>
              <w:topLinePunct w:val="0"/>
              <w:bidi w:val="0"/>
              <w:adjustRightInd w:val="0"/>
              <w:snapToGrid w:val="0"/>
              <w:spacing w:line="440" w:lineRule="exact"/>
              <w:ind w:firstLine="480" w:firstLineChars="200"/>
              <w:textAlignment w:val="baseline"/>
              <w:rPr>
                <w:rFonts w:hint="eastAsia"/>
                <w:color w:val="auto"/>
                <w:sz w:val="24"/>
                <w:szCs w:val="24"/>
                <w:lang w:eastAsia="zh-CN"/>
              </w:rPr>
            </w:pPr>
            <w:r>
              <w:rPr>
                <w:rFonts w:hint="eastAsia" w:cs="Times New Roman"/>
                <w:color w:val="auto"/>
                <w:kern w:val="2"/>
                <w:sz w:val="24"/>
                <w:szCs w:val="24"/>
                <w:u w:val="none"/>
                <w:lang w:val="en-US" w:eastAsia="zh-CN" w:bidi="ar-SA"/>
              </w:rPr>
              <w:t>由于双龙镇污水处理厂未扩建完成，故采用上述污水处理工艺处理后定期清掏外运可行。</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②含油废水</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baseline"/>
              <w:rPr>
                <w:rFonts w:hint="eastAsia"/>
                <w:color w:val="auto"/>
                <w:sz w:val="24"/>
                <w:szCs w:val="24"/>
                <w:lang w:eastAsia="zh-CN"/>
              </w:rPr>
            </w:pPr>
            <w:r>
              <w:rPr>
                <w:rFonts w:hint="default"/>
                <w:color w:val="auto"/>
                <w:sz w:val="24"/>
                <w:szCs w:val="24"/>
              </w:rPr>
              <w:t>夏季罐体降温喷淋水、油品装卸区地面冲洗水、初期雨水经厂区内污水管网收集至</w:t>
            </w:r>
            <w:r>
              <w:rPr>
                <w:rFonts w:hint="eastAsia"/>
                <w:color w:val="auto"/>
                <w:sz w:val="24"/>
                <w:szCs w:val="24"/>
                <w:lang w:eastAsia="zh-CN"/>
              </w:rPr>
              <w:t>废水处理站</w:t>
            </w:r>
            <w:r>
              <w:rPr>
                <w:rFonts w:hint="default"/>
                <w:color w:val="auto"/>
                <w:sz w:val="24"/>
                <w:szCs w:val="24"/>
              </w:rPr>
              <w:t>处理达标后</w:t>
            </w:r>
            <w:r>
              <w:rPr>
                <w:rFonts w:hint="eastAsia"/>
                <w:color w:val="auto"/>
                <w:sz w:val="24"/>
                <w:szCs w:val="24"/>
                <w:lang w:val="en-US" w:eastAsia="zh-CN"/>
              </w:rPr>
              <w:t>用于库区绿化、泼洒抑尘</w:t>
            </w:r>
            <w:r>
              <w:rPr>
                <w:rFonts w:hint="eastAsia"/>
                <w:color w:val="auto"/>
                <w:sz w:val="24"/>
                <w:szCs w:val="24"/>
                <w:lang w:eastAsia="zh-CN"/>
              </w:rPr>
              <w:t>，废水处理站处理工艺为“</w:t>
            </w:r>
            <w:r>
              <w:rPr>
                <w:rFonts w:hint="eastAsia"/>
                <w:color w:val="auto"/>
                <w:sz w:val="24"/>
                <w:szCs w:val="24"/>
                <w:lang w:val="en-US" w:eastAsia="zh-CN"/>
              </w:rPr>
              <w:t>调节池+油水分离器+气浮+A/O+MBR膜池+检测池</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u w:val="none"/>
                <w:lang w:val="en-US" w:eastAsia="zh-CN" w:bidi="ar-SA"/>
              </w:rPr>
            </w:pPr>
            <w:r>
              <w:rPr>
                <w:rFonts w:hint="default" w:ascii="Times New Roman" w:hAnsi="Times New Roman" w:eastAsia="宋体" w:cs="Times New Roman"/>
                <w:color w:val="auto"/>
                <w:sz w:val="24"/>
                <w:szCs w:val="24"/>
                <w:u w:val="none"/>
                <w:lang w:val="en-US" w:eastAsia="zh-CN" w:bidi="ar-SA"/>
              </w:rPr>
              <w:t>本工程含油</w:t>
            </w:r>
            <w:r>
              <w:rPr>
                <w:rFonts w:hint="eastAsia" w:ascii="Times New Roman" w:hAnsi="Times New Roman" w:eastAsia="宋体"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处理规模为</w:t>
            </w:r>
            <w:r>
              <w:rPr>
                <w:rFonts w:hint="eastAsia" w:cs="Times New Roman"/>
                <w:color w:val="auto"/>
                <w:sz w:val="24"/>
                <w:szCs w:val="24"/>
                <w:u w:val="none"/>
                <w:lang w:val="en-US" w:eastAsia="zh-CN" w:bidi="ar-SA"/>
              </w:rPr>
              <w:t>10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h</w:t>
            </w:r>
            <w:r>
              <w:rPr>
                <w:rFonts w:hint="default" w:ascii="Times New Roman" w:hAnsi="Times New Roman" w:eastAsia="宋体" w:cs="Times New Roman"/>
                <w:color w:val="auto"/>
                <w:sz w:val="24"/>
                <w:szCs w:val="24"/>
                <w:u w:val="none"/>
                <w:lang w:val="en-US" w:eastAsia="zh-CN" w:bidi="ar-SA"/>
              </w:rPr>
              <w:t>，含油废水</w:t>
            </w:r>
            <w:r>
              <w:rPr>
                <w:rFonts w:hint="eastAsia" w:ascii="Times New Roman" w:hAnsi="Times New Roman" w:eastAsia="宋体" w:cs="Times New Roman"/>
                <w:color w:val="auto"/>
                <w:sz w:val="24"/>
                <w:szCs w:val="24"/>
                <w:u w:val="none"/>
                <w:lang w:val="en-US" w:eastAsia="zh-CN" w:bidi="ar-SA"/>
              </w:rPr>
              <w:t>排</w:t>
            </w:r>
            <w:r>
              <w:rPr>
                <w:rFonts w:hint="default" w:ascii="Times New Roman" w:hAnsi="Times New Roman" w:eastAsia="宋体" w:cs="Times New Roman"/>
                <w:color w:val="auto"/>
                <w:sz w:val="24"/>
                <w:szCs w:val="24"/>
                <w:u w:val="none"/>
                <w:lang w:val="en-US" w:eastAsia="zh-CN" w:bidi="ar-SA"/>
              </w:rPr>
              <w:t>入</w:t>
            </w:r>
            <w:r>
              <w:rPr>
                <w:rFonts w:hint="eastAsia" w:cs="Times New Roman"/>
                <w:color w:val="auto"/>
                <w:sz w:val="24"/>
                <w:szCs w:val="24"/>
                <w:u w:val="none"/>
                <w:lang w:val="en-US" w:eastAsia="zh-CN" w:bidi="ar-SA"/>
              </w:rPr>
              <w:t>“</w:t>
            </w:r>
            <w:r>
              <w:rPr>
                <w:rFonts w:hint="eastAsia"/>
                <w:color w:val="auto"/>
                <w:sz w:val="24"/>
                <w:szCs w:val="24"/>
                <w:lang w:val="en-US" w:eastAsia="zh-CN"/>
              </w:rPr>
              <w:t>调节池+油水分离器+气浮+A/O+MBR膜池+检测池</w:t>
            </w:r>
            <w:r>
              <w:rPr>
                <w:rFonts w:hint="eastAsia" w:cs="Times New Roman"/>
                <w:color w:val="auto"/>
                <w:sz w:val="24"/>
                <w:szCs w:val="24"/>
                <w:u w:val="none"/>
                <w:lang w:val="en-US" w:eastAsia="zh-CN" w:bidi="ar-SA"/>
              </w:rPr>
              <w:t>”</w:t>
            </w:r>
            <w:r>
              <w:rPr>
                <w:rFonts w:hint="default" w:ascii="Times New Roman" w:hAnsi="Times New Roman" w:eastAsia="宋体" w:cs="Times New Roman"/>
                <w:color w:val="auto"/>
                <w:sz w:val="24"/>
                <w:szCs w:val="24"/>
                <w:u w:val="none"/>
                <w:lang w:val="en-US" w:eastAsia="zh-CN" w:bidi="ar-SA"/>
              </w:rPr>
              <w:t>处理。根据前述分析，初期雨水、降温喷淋水不会同时产生。初期雨水一次产生量为</w:t>
            </w:r>
            <w:r>
              <w:rPr>
                <w:rFonts w:hint="eastAsia" w:cs="Times New Roman"/>
                <w:color w:val="auto"/>
                <w:sz w:val="24"/>
                <w:szCs w:val="24"/>
                <w:u w:val="none"/>
                <w:lang w:val="en-US" w:eastAsia="zh-CN" w:bidi="ar-SA"/>
              </w:rPr>
              <w:t>216.8m</w:t>
            </w:r>
            <w:r>
              <w:rPr>
                <w:rFonts w:hint="eastAsia"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夏季</w:t>
            </w:r>
            <w:r>
              <w:rPr>
                <w:rFonts w:hint="default" w:ascii="Times New Roman" w:hAnsi="Times New Roman" w:eastAsia="宋体" w:cs="Times New Roman"/>
                <w:color w:val="auto"/>
                <w:sz w:val="24"/>
                <w:szCs w:val="24"/>
                <w:u w:val="none"/>
                <w:lang w:val="en-US" w:eastAsia="zh-CN" w:bidi="ar-SA"/>
              </w:rPr>
              <w:t>降温喷淋水一天的产生量为</w:t>
            </w:r>
            <w:r>
              <w:rPr>
                <w:rFonts w:hint="eastAsia" w:cs="Times New Roman"/>
                <w:color w:val="auto"/>
                <w:sz w:val="24"/>
                <w:szCs w:val="24"/>
                <w:u w:val="none"/>
                <w:lang w:val="en-US" w:eastAsia="zh-CN" w:bidi="ar-SA"/>
              </w:rPr>
              <w:t>157.472m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（夏季按60天计）</w:t>
            </w:r>
            <w:r>
              <w:rPr>
                <w:rFonts w:hint="default" w:ascii="Times New Roman" w:hAnsi="Times New Roman" w:eastAsia="宋体" w:cs="Times New Roman"/>
                <w:color w:val="auto"/>
                <w:sz w:val="24"/>
                <w:szCs w:val="24"/>
                <w:u w:val="none"/>
                <w:lang w:val="en-US" w:eastAsia="zh-CN" w:bidi="ar-SA"/>
              </w:rPr>
              <w:t>，地面冲洗废水一天的产生量为</w:t>
            </w:r>
            <w:r>
              <w:rPr>
                <w:rFonts w:hint="eastAsia" w:cs="Times New Roman"/>
                <w:color w:val="auto"/>
                <w:sz w:val="24"/>
                <w:szCs w:val="24"/>
                <w:u w:val="none"/>
                <w:lang w:val="en-US" w:eastAsia="zh-CN" w:bidi="ar-SA"/>
              </w:rPr>
              <w:t>0.186m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w:t>
            </w:r>
            <w:r>
              <w:rPr>
                <w:rFonts w:hint="default" w:ascii="Times New Roman" w:hAnsi="Times New Roman" w:eastAsia="宋体" w:cs="Times New Roman"/>
                <w:color w:val="auto"/>
                <w:sz w:val="24"/>
                <w:szCs w:val="24"/>
                <w:u w:val="none"/>
                <w:lang w:val="en-US" w:eastAsia="zh-CN" w:bidi="ar-SA"/>
              </w:rPr>
              <w:t>项目初期雨水</w:t>
            </w:r>
            <w:r>
              <w:rPr>
                <w:rFonts w:hint="eastAsia" w:cs="Times New Roman"/>
                <w:color w:val="auto"/>
                <w:sz w:val="24"/>
                <w:szCs w:val="24"/>
                <w:u w:val="none"/>
                <w:lang w:val="en-US" w:eastAsia="zh-CN" w:bidi="ar-SA"/>
              </w:rPr>
              <w:t>、夏季降温喷淋水</w:t>
            </w:r>
            <w:r>
              <w:rPr>
                <w:rFonts w:hint="default" w:ascii="Times New Roman" w:hAnsi="Times New Roman" w:eastAsia="宋体" w:cs="Times New Roman"/>
                <w:color w:val="auto"/>
                <w:sz w:val="24"/>
                <w:szCs w:val="24"/>
                <w:u w:val="none"/>
                <w:lang w:val="en-US" w:eastAsia="zh-CN" w:bidi="ar-SA"/>
              </w:rPr>
              <w:t>经</w:t>
            </w:r>
            <w:r>
              <w:rPr>
                <w:rFonts w:hint="eastAsia" w:cs="Times New Roman"/>
                <w:color w:val="auto"/>
                <w:sz w:val="24"/>
                <w:szCs w:val="24"/>
                <w:u w:val="none"/>
                <w:lang w:val="en-US" w:eastAsia="zh-CN" w:bidi="ar-SA"/>
              </w:rPr>
              <w:t>库内</w:t>
            </w:r>
            <w:r>
              <w:rPr>
                <w:rFonts w:hint="default" w:ascii="Times New Roman" w:hAnsi="Times New Roman" w:eastAsia="宋体" w:cs="Times New Roman"/>
                <w:color w:val="auto"/>
                <w:sz w:val="24"/>
                <w:szCs w:val="24"/>
                <w:u w:val="none"/>
                <w:lang w:val="en-US" w:eastAsia="zh-CN" w:bidi="ar-SA"/>
              </w:rPr>
              <w:t>的污水管网收集至</w:t>
            </w:r>
            <w:r>
              <w:rPr>
                <w:rFonts w:hint="eastAsia" w:cs="Times New Roman"/>
                <w:color w:val="auto"/>
                <w:sz w:val="24"/>
                <w:szCs w:val="24"/>
                <w:u w:val="none"/>
                <w:lang w:val="en-US" w:eastAsia="zh-CN" w:bidi="ar-SA"/>
              </w:rPr>
              <w:t>250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的</w:t>
            </w:r>
            <w:r>
              <w:rPr>
                <w:rFonts w:hint="eastAsia" w:cs="Times New Roman"/>
                <w:color w:val="auto"/>
                <w:sz w:val="24"/>
                <w:szCs w:val="24"/>
                <w:u w:val="none"/>
                <w:lang w:val="en-US" w:eastAsia="zh-CN" w:bidi="ar-SA"/>
              </w:rPr>
              <w:t>含油污水调节池</w:t>
            </w:r>
            <w:r>
              <w:rPr>
                <w:rFonts w:hint="default" w:ascii="Times New Roman" w:hAnsi="Times New Roman" w:eastAsia="宋体" w:cs="Times New Roman"/>
                <w:color w:val="auto"/>
                <w:sz w:val="24"/>
                <w:szCs w:val="24"/>
                <w:u w:val="none"/>
                <w:lang w:val="en-US" w:eastAsia="zh-CN" w:bidi="ar-SA"/>
              </w:rPr>
              <w:t>，分批次</w:t>
            </w:r>
            <w:r>
              <w:rPr>
                <w:rFonts w:hint="eastAsia" w:cs="Times New Roman"/>
                <w:color w:val="auto"/>
                <w:sz w:val="24"/>
                <w:szCs w:val="24"/>
                <w:u w:val="none"/>
                <w:lang w:val="en-US" w:eastAsia="zh-CN" w:bidi="ar-SA"/>
              </w:rPr>
              <w:t>排入“</w:t>
            </w:r>
            <w:r>
              <w:rPr>
                <w:rFonts w:hint="eastAsia"/>
                <w:color w:val="auto"/>
                <w:sz w:val="24"/>
                <w:szCs w:val="24"/>
                <w:lang w:val="en-US" w:eastAsia="zh-CN"/>
              </w:rPr>
              <w:t>油水分离器+气浮+A/O+MBR膜池</w:t>
            </w:r>
            <w:r>
              <w:rPr>
                <w:rFonts w:hint="eastAsia" w:cs="Times New Roman"/>
                <w:color w:val="auto"/>
                <w:sz w:val="24"/>
                <w:szCs w:val="24"/>
                <w:u w:val="none"/>
                <w:lang w:val="en-US" w:eastAsia="zh-CN" w:bidi="ar-SA"/>
              </w:rPr>
              <w:t>”进行</w:t>
            </w:r>
            <w:r>
              <w:rPr>
                <w:rFonts w:hint="default" w:ascii="Times New Roman" w:hAnsi="Times New Roman" w:eastAsia="宋体" w:cs="Times New Roman"/>
                <w:color w:val="auto"/>
                <w:sz w:val="24"/>
                <w:szCs w:val="24"/>
                <w:u w:val="none"/>
                <w:lang w:val="en-US" w:eastAsia="zh-CN" w:bidi="ar-SA"/>
              </w:rPr>
              <w:t>处理，因此，本项目</w:t>
            </w:r>
            <w:r>
              <w:rPr>
                <w:rFonts w:hint="eastAsia" w:ascii="Times New Roman" w:hAnsi="Times New Roman"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可满足废水处理要求。</w:t>
            </w:r>
          </w:p>
          <w:p>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default"/>
                <w:color w:val="auto"/>
                <w:sz w:val="24"/>
                <w:szCs w:val="24"/>
                <w:lang w:val="en-US" w:eastAsia="zh-CN"/>
              </w:rPr>
              <w:t>含油污水处理工艺流程图如下：</w:t>
            </w:r>
          </w:p>
          <w:p>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eastAsia" w:cs="Times New Roman"/>
                <w:color w:val="auto"/>
                <w:sz w:val="24"/>
                <w:szCs w:val="24"/>
                <w:highlight w:val="none"/>
              </w:rPr>
            </w:pPr>
            <w:r>
              <w:rPr>
                <w:rFonts w:hint="eastAsia" w:cs="Times New Roman"/>
                <w:color w:val="auto"/>
                <w:highlight w:val="none"/>
              </w:rPr>
              <w:object>
                <v:shape id="_x0000_i1029" o:spt="75" type="#_x0000_t75" style="height:122.55pt;width:426.2pt;" o:ole="t" filled="f" o:preferrelative="t" stroked="f" coordsize="21600,21600">
                  <v:path/>
                  <v:fill on="f" focussize="0,0"/>
                  <v:stroke on="f"/>
                  <v:imagedata r:id="rId39" o:title=""/>
                  <o:lock v:ext="edit" aspectratio="f"/>
                  <w10:wrap type="none"/>
                  <w10:anchorlock/>
                </v:shape>
                <o:OLEObject Type="Embed" ProgID="Visio.Drawing.11" ShapeID="_x0000_i1029" DrawAspect="Content" ObjectID="_1468075729" r:id="rId38">
                  <o:LockedField>false</o:LockedField>
                </o:OLEObject>
              </w:object>
            </w: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3</w:t>
            </w:r>
            <w:r>
              <w:rPr>
                <w:rFonts w:hint="default" w:ascii="Times New Roman" w:hAnsi="Times New Roman" w:eastAsia="宋体" w:cs="Times New Roman"/>
                <w:b/>
                <w:bCs/>
                <w:snapToGrid w:val="0"/>
                <w:color w:val="auto"/>
                <w:sz w:val="24"/>
                <w:szCs w:val="24"/>
                <w:u w:val="none"/>
                <w:lang w:val="en-US" w:eastAsia="zh-CN" w:bidi="ar-SA"/>
              </w:rPr>
              <w:t xml:space="preserve">    含油污水处理工艺流程图</w:t>
            </w:r>
          </w:p>
          <w:p>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上述含油废水处理工艺属于《排污许可证申请与核发技术规范  储油库、加油站》（HJ1118-2020）中可行技术，故本项目含油废水可用上述废水处理工艺进行处理。</w:t>
            </w:r>
          </w:p>
          <w:p>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项目针对含油废水和生活污水</w:t>
            </w:r>
            <w:r>
              <w:rPr>
                <w:rFonts w:hint="eastAsia" w:cs="Times New Roman"/>
                <w:color w:val="auto"/>
                <w:kern w:val="2"/>
                <w:sz w:val="24"/>
                <w:szCs w:val="24"/>
                <w:u w:val="none"/>
                <w:lang w:val="en-US" w:eastAsia="zh-CN" w:bidi="ar-SA"/>
              </w:rPr>
              <w:t>进行</w:t>
            </w:r>
            <w:r>
              <w:rPr>
                <w:rFonts w:hint="default" w:ascii="Times New Roman" w:hAnsi="Times New Roman" w:eastAsia="宋体" w:cs="Times New Roman"/>
                <w:color w:val="auto"/>
                <w:kern w:val="2"/>
                <w:sz w:val="24"/>
                <w:szCs w:val="24"/>
                <w:u w:val="none"/>
                <w:lang w:val="en-US" w:eastAsia="zh-CN" w:bidi="ar-SA"/>
              </w:rPr>
              <w:t>分类收集、分类处理</w:t>
            </w:r>
            <w:r>
              <w:rPr>
                <w:rFonts w:hint="eastAsia" w:cs="Times New Roman"/>
                <w:color w:val="auto"/>
                <w:kern w:val="2"/>
                <w:sz w:val="24"/>
                <w:szCs w:val="24"/>
                <w:u w:val="none"/>
                <w:lang w:val="en-US" w:eastAsia="zh-CN" w:bidi="ar-SA"/>
              </w:rPr>
              <w:t>。食堂废水经隔油池处理后与生活污水一并排入化粪池处理后，定期清掏外运；含油生产废水经库内废水处理站处理后用于库区绿化、泼洒抑尘</w:t>
            </w:r>
            <w:r>
              <w:rPr>
                <w:rFonts w:hint="default" w:ascii="Times New Roman" w:hAnsi="Times New Roman" w:eastAsia="宋体" w:cs="Times New Roman"/>
                <w:color w:val="auto"/>
                <w:kern w:val="2"/>
                <w:sz w:val="24"/>
                <w:szCs w:val="24"/>
                <w:u w:val="none"/>
                <w:lang w:val="en-US" w:eastAsia="zh-CN" w:bidi="ar-SA"/>
              </w:rPr>
              <w:t>。</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2）双龙镇污水处理厂扩建完成前库内废水处理措施可行性分析</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①生活污水</w:t>
            </w:r>
          </w:p>
          <w:p>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s="Times New Roman"/>
                <w:color w:val="auto"/>
                <w:sz w:val="24"/>
                <w:szCs w:val="24"/>
                <w:u w:val="none"/>
                <w:lang w:val="en-US" w:eastAsia="zh-CN" w:bidi="ar-SA"/>
              </w:rPr>
              <w:t>本项目</w:t>
            </w:r>
            <w:r>
              <w:rPr>
                <w:rFonts w:hint="default" w:ascii="Times New Roman" w:hAnsi="Times New Roman" w:eastAsia="宋体" w:cs="Times New Roman"/>
                <w:color w:val="auto"/>
                <w:sz w:val="24"/>
                <w:szCs w:val="24"/>
                <w:u w:val="none"/>
                <w:lang w:val="en-US" w:eastAsia="zh-CN" w:bidi="ar-SA"/>
              </w:rPr>
              <w:t>生活污水</w:t>
            </w:r>
            <w:r>
              <w:rPr>
                <w:rFonts w:hint="eastAsia" w:ascii="Times New Roman" w:hAnsi="Times New Roman" w:cs="Times New Roman"/>
                <w:color w:val="auto"/>
                <w:sz w:val="24"/>
                <w:szCs w:val="24"/>
                <w:u w:val="none"/>
                <w:lang w:val="en-US" w:eastAsia="zh-CN" w:bidi="ar-SA"/>
              </w:rPr>
              <w:t>产生量为</w:t>
            </w:r>
            <w:r>
              <w:rPr>
                <w:rFonts w:hint="eastAsia" w:cs="Times New Roman"/>
                <w:color w:val="auto"/>
                <w:sz w:val="24"/>
                <w:szCs w:val="24"/>
                <w:u w:val="none"/>
                <w:lang w:val="en-US" w:eastAsia="zh-CN" w:bidi="ar-SA"/>
              </w:rPr>
              <w:t>2.69</w:t>
            </w:r>
            <w:r>
              <w:rPr>
                <w:rFonts w:hint="eastAsia" w:ascii="Times New Roman" w:hAnsi="Times New Roman" w:cs="Times New Roman"/>
                <w:color w:val="auto"/>
                <w:sz w:val="24"/>
                <w:szCs w:val="24"/>
                <w:u w:val="none"/>
                <w:lang w:val="en-US" w:eastAsia="zh-CN" w:bidi="ar-SA"/>
              </w:rPr>
              <w:t>m</w:t>
            </w:r>
            <w:r>
              <w:rPr>
                <w:rFonts w:hint="eastAsia" w:ascii="Times New Roman" w:hAnsi="Times New Roman" w:cs="Times New Roman"/>
                <w:color w:val="auto"/>
                <w:sz w:val="24"/>
                <w:szCs w:val="24"/>
                <w:u w:val="none"/>
                <w:vertAlign w:val="superscript"/>
                <w:lang w:val="en-US" w:eastAsia="zh-CN" w:bidi="ar-SA"/>
              </w:rPr>
              <w:t>3</w:t>
            </w:r>
            <w:r>
              <w:rPr>
                <w:rFonts w:hint="eastAsia" w:ascii="Times New Roman" w:hAnsi="Times New Roman" w:cs="Times New Roman"/>
                <w:color w:val="auto"/>
                <w:sz w:val="24"/>
                <w:szCs w:val="24"/>
                <w:u w:val="none"/>
                <w:lang w:val="en-US" w:eastAsia="zh-CN" w:bidi="ar-SA"/>
              </w:rPr>
              <w:t>/d，</w:t>
            </w:r>
            <w:r>
              <w:rPr>
                <w:rFonts w:hint="eastAsia" w:cs="Times New Roman"/>
                <w:color w:val="auto"/>
                <w:sz w:val="24"/>
                <w:szCs w:val="24"/>
                <w:u w:val="none"/>
                <w:lang w:val="en-US" w:eastAsia="zh-CN" w:bidi="ar-SA"/>
              </w:rPr>
              <w:t>食堂废水产生量为1.68m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/d。</w:t>
            </w: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+地埋式生活污水处理装置（格栅+调节+A/O+混凝沉淀）”处理后排入</w:t>
            </w:r>
            <w:r>
              <w:rPr>
                <w:rFonts w:hint="default" w:ascii="Times New Roman" w:hAnsi="Times New Roman" w:eastAsia="宋体" w:cs="Times New Roman"/>
                <w:color w:val="auto"/>
                <w:sz w:val="24"/>
                <w:szCs w:val="24"/>
                <w:u w:val="none"/>
                <w:lang w:val="en-US" w:eastAsia="zh-CN" w:bidi="ar-SA"/>
              </w:rPr>
              <w:t>双龙镇污水处理厂处理后</w:t>
            </w:r>
            <w:r>
              <w:rPr>
                <w:rFonts w:hint="eastAsia" w:ascii="Times New Roman" w:hAnsi="Times New Roman" w:cs="Times New Roman"/>
                <w:color w:val="auto"/>
                <w:sz w:val="24"/>
                <w:szCs w:val="24"/>
                <w:u w:val="none"/>
                <w:lang w:val="en-US" w:eastAsia="zh-CN" w:bidi="ar-SA"/>
              </w:rPr>
              <w:t>进一步处理。</w:t>
            </w:r>
          </w:p>
          <w:p>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eastAsia" w:cs="Times New Roman"/>
                <w:color w:val="auto"/>
                <w:sz w:val="24"/>
                <w:szCs w:val="24"/>
                <w:u w:val="none"/>
                <w:lang w:val="en-US" w:eastAsia="zh-CN" w:bidi="ar-SA"/>
              </w:rPr>
              <w:t>本项目生活污水处理装置处理规模为1m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/h，可满足本项目生活污水处理要求。本项目</w:t>
            </w:r>
            <w:r>
              <w:rPr>
                <w:rFonts w:hint="eastAsia"/>
                <w:color w:val="auto"/>
                <w:sz w:val="24"/>
                <w:szCs w:val="24"/>
                <w:lang w:val="en-US" w:eastAsia="zh-CN"/>
              </w:rPr>
              <w:t>生活</w:t>
            </w:r>
            <w:r>
              <w:rPr>
                <w:rFonts w:hint="default"/>
                <w:color w:val="auto"/>
                <w:sz w:val="24"/>
                <w:szCs w:val="24"/>
                <w:lang w:val="en-US" w:eastAsia="zh-CN"/>
              </w:rPr>
              <w:t>污水处理工艺流程图如下：</w:t>
            </w:r>
          </w:p>
          <w:p>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default" w:cs="Times New Roman"/>
                <w:color w:val="auto"/>
                <w:sz w:val="24"/>
                <w:szCs w:val="24"/>
                <w:u w:val="none"/>
                <w:lang w:val="en-US" w:eastAsia="zh-CN" w:bidi="ar-SA"/>
              </w:rPr>
            </w:pPr>
            <w:r>
              <w:rPr>
                <w:rFonts w:hint="eastAsia" w:cs="Times New Roman"/>
                <w:color w:val="auto"/>
                <w:highlight w:val="none"/>
              </w:rPr>
              <w:object>
                <v:shape id="_x0000_i1030" o:spt="75" type="#_x0000_t75" style="height:97.45pt;width:429.85pt;" o:ole="t" filled="f" o:preferrelative="t" stroked="f" coordsize="21600,21600">
                  <v:path/>
                  <v:fill on="f" focussize="0,0"/>
                  <v:stroke on="f"/>
                  <v:imagedata r:id="rId41" o:title=""/>
                  <o:lock v:ext="edit" aspectratio="f"/>
                  <w10:wrap type="none"/>
                  <w10:anchorlock/>
                </v:shape>
                <o:OLEObject Type="Embed" ProgID="Visio.Drawing.11" ShapeID="_x0000_i1030" DrawAspect="Content" ObjectID="_1468075730" r:id="rId40">
                  <o:LockedField>false</o:LockedField>
                </o:OLEObject>
              </w:object>
            </w: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 xml:space="preserve">    </w:t>
            </w:r>
            <w:r>
              <w:rPr>
                <w:rFonts w:hint="eastAsia" w:cs="Times New Roman"/>
                <w:b/>
                <w:bCs/>
                <w:snapToGrid w:val="0"/>
                <w:color w:val="auto"/>
                <w:sz w:val="24"/>
                <w:szCs w:val="24"/>
                <w:u w:val="none"/>
                <w:lang w:val="en-US" w:eastAsia="zh-CN" w:bidi="ar-SA"/>
              </w:rPr>
              <w:t>生活污水</w:t>
            </w:r>
            <w:r>
              <w:rPr>
                <w:rFonts w:hint="default" w:ascii="Times New Roman" w:hAnsi="Times New Roman" w:eastAsia="宋体" w:cs="Times New Roman"/>
                <w:b/>
                <w:bCs/>
                <w:snapToGrid w:val="0"/>
                <w:color w:val="auto"/>
                <w:sz w:val="24"/>
                <w:szCs w:val="24"/>
                <w:u w:val="none"/>
                <w:lang w:val="en-US" w:eastAsia="zh-CN" w:bidi="ar-SA"/>
              </w:rPr>
              <w:t>处理工艺流程图</w:t>
            </w:r>
          </w:p>
          <w:p>
            <w:pPr>
              <w:keepNext w:val="0"/>
              <w:keepLines w:val="0"/>
              <w:pageBreakBefore w:val="0"/>
              <w:widowControl/>
              <w:wordWrap/>
              <w:topLinePunct w:val="0"/>
              <w:bidi w:val="0"/>
              <w:adjustRightInd w:val="0"/>
              <w:snapToGrid w:val="0"/>
              <w:spacing w:line="440" w:lineRule="exact"/>
              <w:ind w:firstLine="480" w:firstLineChars="200"/>
              <w:textAlignment w:val="baseline"/>
              <w:rPr>
                <w:rFonts w:hint="eastAsia"/>
                <w:color w:val="auto"/>
                <w:sz w:val="24"/>
                <w:szCs w:val="24"/>
                <w:lang w:eastAsia="zh-CN"/>
              </w:rPr>
            </w:pPr>
            <w:r>
              <w:rPr>
                <w:rFonts w:hint="eastAsia" w:cs="Times New Roman"/>
                <w:color w:val="auto"/>
                <w:kern w:val="2"/>
                <w:sz w:val="24"/>
                <w:szCs w:val="24"/>
                <w:u w:val="none"/>
                <w:lang w:val="en-US" w:eastAsia="zh-CN" w:bidi="ar-SA"/>
              </w:rPr>
              <w:t>上述生活污水处理工艺属于《排污许可证申请与核发技术规范  储油库、加油站》（HJ1118-2020）中可行技术，故本项目生活污水可用上述废水处理工艺进行处理。</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baseline"/>
              <w:rPr>
                <w:rFonts w:hint="eastAsia"/>
                <w:color w:val="auto"/>
                <w:sz w:val="24"/>
                <w:szCs w:val="24"/>
                <w:lang w:val="en-US" w:eastAsia="zh-CN"/>
              </w:rPr>
            </w:pPr>
            <w:r>
              <w:rPr>
                <w:rFonts w:hint="eastAsia"/>
                <w:color w:val="auto"/>
                <w:sz w:val="24"/>
                <w:szCs w:val="24"/>
                <w:lang w:val="en-US" w:eastAsia="zh-CN"/>
              </w:rPr>
              <w:t>②含油废水</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baseline"/>
              <w:rPr>
                <w:rFonts w:hint="eastAsia"/>
                <w:color w:val="auto"/>
                <w:sz w:val="24"/>
                <w:szCs w:val="24"/>
                <w:lang w:eastAsia="zh-CN"/>
              </w:rPr>
            </w:pPr>
            <w:r>
              <w:rPr>
                <w:rFonts w:hint="default"/>
                <w:color w:val="auto"/>
                <w:sz w:val="24"/>
                <w:szCs w:val="24"/>
              </w:rPr>
              <w:t>夏季罐体降温喷淋水、油品装卸区地面冲洗水、初期雨水经厂区内污水管网收集至</w:t>
            </w:r>
            <w:r>
              <w:rPr>
                <w:rFonts w:hint="eastAsia"/>
                <w:color w:val="auto"/>
                <w:sz w:val="24"/>
                <w:szCs w:val="24"/>
                <w:lang w:eastAsia="zh-CN"/>
              </w:rPr>
              <w:t>废水处理站</w:t>
            </w:r>
            <w:r>
              <w:rPr>
                <w:rFonts w:hint="default"/>
                <w:color w:val="auto"/>
                <w:sz w:val="24"/>
                <w:szCs w:val="24"/>
              </w:rPr>
              <w:t>处理达标后外排园区污水管网</w:t>
            </w:r>
            <w:r>
              <w:rPr>
                <w:rFonts w:hint="eastAsia"/>
                <w:color w:val="auto"/>
                <w:sz w:val="24"/>
                <w:szCs w:val="24"/>
                <w:lang w:eastAsia="zh-CN"/>
              </w:rPr>
              <w:t>，废水处理站处理工艺为“</w:t>
            </w:r>
            <w:r>
              <w:rPr>
                <w:rFonts w:hint="eastAsia"/>
                <w:color w:val="auto"/>
                <w:sz w:val="24"/>
                <w:szCs w:val="24"/>
                <w:lang w:val="en-US" w:eastAsia="zh-CN"/>
              </w:rPr>
              <w:t>调节池+油水分离器+过滤器+检测池</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u w:val="none"/>
                <w:lang w:val="en-US" w:eastAsia="zh-CN" w:bidi="ar-SA"/>
              </w:rPr>
            </w:pPr>
            <w:r>
              <w:rPr>
                <w:rFonts w:hint="default" w:ascii="Times New Roman" w:hAnsi="Times New Roman" w:eastAsia="宋体" w:cs="Times New Roman"/>
                <w:color w:val="auto"/>
                <w:sz w:val="24"/>
                <w:szCs w:val="24"/>
                <w:u w:val="none"/>
                <w:lang w:val="en-US" w:eastAsia="zh-CN" w:bidi="ar-SA"/>
              </w:rPr>
              <w:t>本工程含油</w:t>
            </w:r>
            <w:r>
              <w:rPr>
                <w:rFonts w:hint="eastAsia" w:ascii="Times New Roman" w:hAnsi="Times New Roman" w:eastAsia="宋体"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处理规模为</w:t>
            </w:r>
            <w:r>
              <w:rPr>
                <w:rFonts w:hint="eastAsia" w:cs="Times New Roman"/>
                <w:color w:val="auto"/>
                <w:sz w:val="24"/>
                <w:szCs w:val="24"/>
                <w:u w:val="none"/>
                <w:lang w:val="en-US" w:eastAsia="zh-CN" w:bidi="ar-SA"/>
              </w:rPr>
              <w:t>10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h</w:t>
            </w:r>
            <w:r>
              <w:rPr>
                <w:rFonts w:hint="default" w:ascii="Times New Roman" w:hAnsi="Times New Roman" w:eastAsia="宋体" w:cs="Times New Roman"/>
                <w:color w:val="auto"/>
                <w:sz w:val="24"/>
                <w:szCs w:val="24"/>
                <w:u w:val="none"/>
                <w:lang w:val="en-US" w:eastAsia="zh-CN" w:bidi="ar-SA"/>
              </w:rPr>
              <w:t>，含油废水</w:t>
            </w:r>
            <w:r>
              <w:rPr>
                <w:rFonts w:hint="eastAsia" w:ascii="Times New Roman" w:hAnsi="Times New Roman" w:eastAsia="宋体" w:cs="Times New Roman"/>
                <w:color w:val="auto"/>
                <w:sz w:val="24"/>
                <w:szCs w:val="24"/>
                <w:u w:val="none"/>
                <w:lang w:val="en-US" w:eastAsia="zh-CN" w:bidi="ar-SA"/>
              </w:rPr>
              <w:t>排</w:t>
            </w:r>
            <w:r>
              <w:rPr>
                <w:rFonts w:hint="default" w:ascii="Times New Roman" w:hAnsi="Times New Roman" w:eastAsia="宋体" w:cs="Times New Roman"/>
                <w:color w:val="auto"/>
                <w:sz w:val="24"/>
                <w:szCs w:val="24"/>
                <w:u w:val="none"/>
                <w:lang w:val="en-US" w:eastAsia="zh-CN" w:bidi="ar-SA"/>
              </w:rPr>
              <w:t>入</w:t>
            </w:r>
            <w:r>
              <w:rPr>
                <w:rFonts w:hint="eastAsia" w:cs="Times New Roman"/>
                <w:color w:val="auto"/>
                <w:sz w:val="24"/>
                <w:szCs w:val="24"/>
                <w:u w:val="none"/>
                <w:lang w:val="en-US" w:eastAsia="zh-CN" w:bidi="ar-SA"/>
              </w:rPr>
              <w:t>“调节池+油水分离器+过滤器+检测池”</w:t>
            </w:r>
            <w:r>
              <w:rPr>
                <w:rFonts w:hint="default" w:ascii="Times New Roman" w:hAnsi="Times New Roman" w:eastAsia="宋体" w:cs="Times New Roman"/>
                <w:color w:val="auto"/>
                <w:sz w:val="24"/>
                <w:szCs w:val="24"/>
                <w:u w:val="none"/>
                <w:lang w:val="en-US" w:eastAsia="zh-CN" w:bidi="ar-SA"/>
              </w:rPr>
              <w:t>处理。根据前述分析，初期雨水、降温喷淋水不会同时产生。初期雨水一次产生量为</w:t>
            </w:r>
            <w:r>
              <w:rPr>
                <w:rFonts w:hint="eastAsia" w:cs="Times New Roman"/>
                <w:color w:val="auto"/>
                <w:sz w:val="24"/>
                <w:szCs w:val="24"/>
                <w:u w:val="none"/>
                <w:lang w:val="en-US" w:eastAsia="zh-CN" w:bidi="ar-SA"/>
              </w:rPr>
              <w:t>216.8m</w:t>
            </w:r>
            <w:r>
              <w:rPr>
                <w:rFonts w:hint="eastAsia"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夏季</w:t>
            </w:r>
            <w:r>
              <w:rPr>
                <w:rFonts w:hint="default" w:ascii="Times New Roman" w:hAnsi="Times New Roman" w:eastAsia="宋体" w:cs="Times New Roman"/>
                <w:color w:val="auto"/>
                <w:sz w:val="24"/>
                <w:szCs w:val="24"/>
                <w:u w:val="none"/>
                <w:lang w:val="en-US" w:eastAsia="zh-CN" w:bidi="ar-SA"/>
              </w:rPr>
              <w:t>降温喷淋水一天的产生量为</w:t>
            </w:r>
            <w:r>
              <w:rPr>
                <w:rFonts w:hint="eastAsia" w:cs="Times New Roman"/>
                <w:color w:val="auto"/>
                <w:sz w:val="24"/>
                <w:szCs w:val="24"/>
                <w:u w:val="none"/>
                <w:lang w:val="en-US" w:eastAsia="zh-CN" w:bidi="ar-SA"/>
              </w:rPr>
              <w:t>157.472m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（夏季按60天计）</w:t>
            </w:r>
            <w:r>
              <w:rPr>
                <w:rFonts w:hint="default" w:ascii="Times New Roman" w:hAnsi="Times New Roman" w:eastAsia="宋体" w:cs="Times New Roman"/>
                <w:color w:val="auto"/>
                <w:sz w:val="24"/>
                <w:szCs w:val="24"/>
                <w:u w:val="none"/>
                <w:lang w:val="en-US" w:eastAsia="zh-CN" w:bidi="ar-SA"/>
              </w:rPr>
              <w:t>，地面冲洗废水一天的产生量为</w:t>
            </w:r>
            <w:r>
              <w:rPr>
                <w:rFonts w:hint="eastAsia" w:cs="Times New Roman"/>
                <w:color w:val="auto"/>
                <w:sz w:val="24"/>
                <w:szCs w:val="24"/>
                <w:u w:val="none"/>
                <w:lang w:val="en-US" w:eastAsia="zh-CN" w:bidi="ar-SA"/>
              </w:rPr>
              <w:t>0.186m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w:t>
            </w:r>
            <w:r>
              <w:rPr>
                <w:rFonts w:hint="default" w:ascii="Times New Roman" w:hAnsi="Times New Roman" w:eastAsia="宋体" w:cs="Times New Roman"/>
                <w:color w:val="auto"/>
                <w:sz w:val="24"/>
                <w:szCs w:val="24"/>
                <w:u w:val="none"/>
                <w:lang w:val="en-US" w:eastAsia="zh-CN" w:bidi="ar-SA"/>
              </w:rPr>
              <w:t>项目初期雨水</w:t>
            </w:r>
            <w:r>
              <w:rPr>
                <w:rFonts w:hint="eastAsia" w:cs="Times New Roman"/>
                <w:color w:val="auto"/>
                <w:sz w:val="24"/>
                <w:szCs w:val="24"/>
                <w:u w:val="none"/>
                <w:lang w:val="en-US" w:eastAsia="zh-CN" w:bidi="ar-SA"/>
              </w:rPr>
              <w:t>、夏季降温喷淋水</w:t>
            </w:r>
            <w:r>
              <w:rPr>
                <w:rFonts w:hint="default" w:ascii="Times New Roman" w:hAnsi="Times New Roman" w:eastAsia="宋体" w:cs="Times New Roman"/>
                <w:color w:val="auto"/>
                <w:sz w:val="24"/>
                <w:szCs w:val="24"/>
                <w:u w:val="none"/>
                <w:lang w:val="en-US" w:eastAsia="zh-CN" w:bidi="ar-SA"/>
              </w:rPr>
              <w:t>经</w:t>
            </w:r>
            <w:r>
              <w:rPr>
                <w:rFonts w:hint="eastAsia" w:cs="Times New Roman"/>
                <w:color w:val="auto"/>
                <w:sz w:val="24"/>
                <w:szCs w:val="24"/>
                <w:u w:val="none"/>
                <w:lang w:val="en-US" w:eastAsia="zh-CN" w:bidi="ar-SA"/>
              </w:rPr>
              <w:t>库内</w:t>
            </w:r>
            <w:r>
              <w:rPr>
                <w:rFonts w:hint="default" w:ascii="Times New Roman" w:hAnsi="Times New Roman" w:eastAsia="宋体" w:cs="Times New Roman"/>
                <w:color w:val="auto"/>
                <w:sz w:val="24"/>
                <w:szCs w:val="24"/>
                <w:u w:val="none"/>
                <w:lang w:val="en-US" w:eastAsia="zh-CN" w:bidi="ar-SA"/>
              </w:rPr>
              <w:t>的污水管网收集至</w:t>
            </w:r>
            <w:r>
              <w:rPr>
                <w:rFonts w:hint="eastAsia" w:cs="Times New Roman"/>
                <w:color w:val="auto"/>
                <w:sz w:val="24"/>
                <w:szCs w:val="24"/>
                <w:u w:val="none"/>
                <w:lang w:val="en-US" w:eastAsia="zh-CN" w:bidi="ar-SA"/>
              </w:rPr>
              <w:t>250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的</w:t>
            </w:r>
            <w:r>
              <w:rPr>
                <w:rFonts w:hint="eastAsia" w:cs="Times New Roman"/>
                <w:color w:val="auto"/>
                <w:sz w:val="24"/>
                <w:szCs w:val="24"/>
                <w:u w:val="none"/>
                <w:lang w:val="en-US" w:eastAsia="zh-CN" w:bidi="ar-SA"/>
              </w:rPr>
              <w:t>含油污水调节池</w:t>
            </w:r>
            <w:r>
              <w:rPr>
                <w:rFonts w:hint="default" w:ascii="Times New Roman" w:hAnsi="Times New Roman" w:eastAsia="宋体" w:cs="Times New Roman"/>
                <w:color w:val="auto"/>
                <w:sz w:val="24"/>
                <w:szCs w:val="24"/>
                <w:u w:val="none"/>
                <w:lang w:val="en-US" w:eastAsia="zh-CN" w:bidi="ar-SA"/>
              </w:rPr>
              <w:t>，分批次</w:t>
            </w:r>
            <w:r>
              <w:rPr>
                <w:rFonts w:hint="eastAsia" w:cs="Times New Roman"/>
                <w:color w:val="auto"/>
                <w:sz w:val="24"/>
                <w:szCs w:val="24"/>
                <w:u w:val="none"/>
                <w:lang w:val="en-US" w:eastAsia="zh-CN" w:bidi="ar-SA"/>
              </w:rPr>
              <w:t>排入“油水分离器+过滤器”进行</w:t>
            </w:r>
            <w:r>
              <w:rPr>
                <w:rFonts w:hint="default" w:ascii="Times New Roman" w:hAnsi="Times New Roman" w:eastAsia="宋体" w:cs="Times New Roman"/>
                <w:color w:val="auto"/>
                <w:sz w:val="24"/>
                <w:szCs w:val="24"/>
                <w:u w:val="none"/>
                <w:lang w:val="en-US" w:eastAsia="zh-CN" w:bidi="ar-SA"/>
              </w:rPr>
              <w:t>处理，因此，本项目</w:t>
            </w:r>
            <w:r>
              <w:rPr>
                <w:rFonts w:hint="eastAsia" w:ascii="Times New Roman" w:hAnsi="Times New Roman"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可满足废水处理要求。</w:t>
            </w:r>
          </w:p>
          <w:p>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default"/>
                <w:color w:val="auto"/>
                <w:sz w:val="24"/>
                <w:szCs w:val="24"/>
                <w:lang w:val="en-US" w:eastAsia="zh-CN"/>
              </w:rPr>
              <w:t>含油污水处理工艺流程图如下：</w:t>
            </w:r>
          </w:p>
          <w:p>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default"/>
                <w:color w:val="auto"/>
              </w:rPr>
            </w:pPr>
            <w:r>
              <w:rPr>
                <w:rFonts w:hint="eastAsia" w:cs="Times New Roman"/>
                <w:color w:val="auto"/>
                <w:highlight w:val="none"/>
              </w:rPr>
              <w:object>
                <v:shape id="_x0000_i1031" o:spt="75" type="#_x0000_t75" style="height:97.45pt;width:410.25pt;" o:ole="t" filled="f" o:preferrelative="t" stroked="f" coordsize="21600,21600">
                  <v:path/>
                  <v:fill on="f" focussize="0,0"/>
                  <v:stroke on="f"/>
                  <v:imagedata r:id="rId43" o:title=""/>
                  <o:lock v:ext="edit" aspectratio="f"/>
                  <w10:wrap type="none"/>
                  <w10:anchorlock/>
                </v:shape>
                <o:OLEObject Type="Embed" ProgID="Visio.Drawing.11" ShapeID="_x0000_i1031" DrawAspect="Content" ObjectID="_1468075731" r:id="rId42">
                  <o:LockedField>false</o:LockedField>
                </o:OLEObject>
              </w:objec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eastAsia" w:cs="Times New Roman"/>
                <w:color w:val="auto"/>
                <w:sz w:val="24"/>
                <w:szCs w:val="24"/>
                <w:highlight w:val="none"/>
              </w:rPr>
            </w:pP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5</w:t>
            </w:r>
            <w:r>
              <w:rPr>
                <w:rFonts w:hint="default" w:ascii="Times New Roman" w:hAnsi="Times New Roman" w:eastAsia="宋体" w:cs="Times New Roman"/>
                <w:b/>
                <w:bCs/>
                <w:snapToGrid w:val="0"/>
                <w:color w:val="auto"/>
                <w:sz w:val="24"/>
                <w:szCs w:val="24"/>
                <w:u w:val="none"/>
                <w:lang w:val="en-US" w:eastAsia="zh-CN" w:bidi="ar-SA"/>
              </w:rPr>
              <w:t xml:space="preserve">    含油污水处理工艺流程图</w:t>
            </w:r>
          </w:p>
          <w:p>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上述含油废水处理工艺属于《排污许可证申请与核发技术规范  储油库、加油站》（HJ1118-2020）中可行技术，故本项目含油废水可用上述废水处理工艺进行处理。</w:t>
            </w:r>
          </w:p>
          <w:p>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项目针对含油废水和生活污水</w:t>
            </w:r>
            <w:r>
              <w:rPr>
                <w:rFonts w:hint="eastAsia" w:cs="Times New Roman"/>
                <w:color w:val="auto"/>
                <w:kern w:val="2"/>
                <w:sz w:val="24"/>
                <w:szCs w:val="24"/>
                <w:u w:val="none"/>
                <w:lang w:val="en-US" w:eastAsia="zh-CN" w:bidi="ar-SA"/>
              </w:rPr>
              <w:t>进行</w:t>
            </w:r>
            <w:r>
              <w:rPr>
                <w:rFonts w:hint="default" w:ascii="Times New Roman" w:hAnsi="Times New Roman" w:eastAsia="宋体" w:cs="Times New Roman"/>
                <w:color w:val="auto"/>
                <w:kern w:val="2"/>
                <w:sz w:val="24"/>
                <w:szCs w:val="24"/>
                <w:u w:val="none"/>
                <w:lang w:val="en-US" w:eastAsia="zh-CN" w:bidi="ar-SA"/>
              </w:rPr>
              <w:t>分类收集、分类处理，废水经处理后达到《污水综合排放标准》（GB8978-1996）</w:t>
            </w:r>
            <w:r>
              <w:rPr>
                <w:rFonts w:hint="eastAsia" w:ascii="Times New Roman" w:hAnsi="Times New Roman" w:eastAsia="宋体" w:cs="Times New Roman"/>
                <w:color w:val="auto"/>
                <w:kern w:val="2"/>
                <w:sz w:val="24"/>
                <w:szCs w:val="24"/>
                <w:u w:val="none"/>
                <w:lang w:val="en-US" w:eastAsia="zh-CN" w:bidi="ar-SA"/>
              </w:rPr>
              <w:t>表4</w:t>
            </w:r>
            <w:r>
              <w:rPr>
                <w:rFonts w:hint="default" w:ascii="Times New Roman" w:hAnsi="Times New Roman" w:eastAsia="宋体" w:cs="Times New Roman"/>
                <w:color w:val="auto"/>
                <w:kern w:val="2"/>
                <w:sz w:val="24"/>
                <w:szCs w:val="24"/>
                <w:u w:val="none"/>
                <w:lang w:val="en-US" w:eastAsia="zh-CN" w:bidi="ar-SA"/>
              </w:rPr>
              <w:t>三级标准</w:t>
            </w:r>
            <w:r>
              <w:rPr>
                <w:rFonts w:hint="eastAsia" w:ascii="Times New Roman" w:hAnsi="Times New Roman" w:eastAsia="宋体" w:cs="Times New Roman"/>
                <w:color w:val="auto"/>
                <w:kern w:val="2"/>
                <w:sz w:val="24"/>
                <w:szCs w:val="24"/>
                <w:u w:val="none"/>
                <w:lang w:val="en-US" w:eastAsia="zh-CN" w:bidi="ar-SA"/>
              </w:rPr>
              <w:t>及双龙镇污水处理厂进水水质要求</w:t>
            </w:r>
            <w:r>
              <w:rPr>
                <w:rFonts w:hint="default" w:ascii="Times New Roman" w:hAnsi="Times New Roman" w:eastAsia="宋体" w:cs="Times New Roman"/>
                <w:color w:val="auto"/>
                <w:kern w:val="2"/>
                <w:sz w:val="24"/>
                <w:szCs w:val="24"/>
                <w:u w:val="none"/>
                <w:lang w:val="en-US" w:eastAsia="zh-CN" w:bidi="ar-SA"/>
              </w:rPr>
              <w:t>后经园区管网送园区污水处理厂，处理后实现达标外排。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rPr>
              <w:t>（3）</w:t>
            </w:r>
            <w:r>
              <w:rPr>
                <w:rFonts w:hint="eastAsia" w:cs="Times New Roman"/>
                <w:color w:val="auto"/>
                <w:sz w:val="24"/>
                <w:szCs w:val="24"/>
                <w:highlight w:val="none"/>
                <w:lang w:eastAsia="zh-CN"/>
              </w:rPr>
              <w:t>废水达标排放分析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rPr>
              <w:t>拟建项目废水中主要污染因子为COD、BOD</w:t>
            </w:r>
            <w:r>
              <w:rPr>
                <w:rFonts w:hint="eastAsia"/>
                <w:color w:val="auto"/>
                <w:sz w:val="24"/>
                <w:szCs w:val="24"/>
                <w:highlight w:val="none"/>
                <w:vertAlign w:val="subscript"/>
              </w:rPr>
              <w:t>5</w:t>
            </w:r>
            <w:r>
              <w:rPr>
                <w:rFonts w:hint="eastAsia"/>
                <w:color w:val="auto"/>
                <w:sz w:val="24"/>
                <w:szCs w:val="24"/>
                <w:highlight w:val="none"/>
              </w:rPr>
              <w:t>、SS、NH</w:t>
            </w:r>
            <w:r>
              <w:rPr>
                <w:rFonts w:hint="eastAsia"/>
                <w:color w:val="auto"/>
                <w:sz w:val="24"/>
                <w:szCs w:val="24"/>
                <w:highlight w:val="none"/>
                <w:vertAlign w:val="subscript"/>
              </w:rPr>
              <w:t>3</w:t>
            </w:r>
            <w:r>
              <w:rPr>
                <w:rFonts w:hint="eastAsia"/>
                <w:color w:val="auto"/>
                <w:sz w:val="24"/>
                <w:szCs w:val="24"/>
                <w:highlight w:val="none"/>
              </w:rPr>
              <w:t>-N、</w:t>
            </w:r>
            <w:r>
              <w:rPr>
                <w:rFonts w:hint="eastAsia"/>
                <w:color w:val="auto"/>
                <w:sz w:val="24"/>
                <w:szCs w:val="24"/>
                <w:highlight w:val="none"/>
                <w:lang w:eastAsia="zh-CN"/>
              </w:rPr>
              <w:t>石油类、</w:t>
            </w:r>
            <w:r>
              <w:rPr>
                <w:rFonts w:hint="eastAsia"/>
                <w:color w:val="auto"/>
                <w:sz w:val="24"/>
                <w:szCs w:val="24"/>
                <w:highlight w:val="none"/>
                <w:lang w:val="en-US" w:eastAsia="zh-CN"/>
              </w:rPr>
              <w:t>动植物油</w:t>
            </w:r>
            <w:r>
              <w:rPr>
                <w:rFonts w:hint="eastAsia"/>
                <w:color w:val="auto"/>
                <w:sz w:val="24"/>
                <w:szCs w:val="24"/>
                <w:highlight w:val="none"/>
              </w:rPr>
              <w:t>等</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1）双龙镇污水处理厂扩建完成前废水达标分析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①生活污水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eastAsia="zh-CN"/>
              </w:rPr>
              <w:t>生活</w:t>
            </w:r>
            <w:r>
              <w:rPr>
                <w:rFonts w:hint="eastAsia" w:ascii="Times New Roman" w:hAnsi="Times New Roman"/>
                <w:color w:val="auto"/>
                <w:sz w:val="24"/>
                <w:szCs w:val="28"/>
                <w:lang w:eastAsia="zh-CN"/>
              </w:rPr>
              <w:t>污水处理</w:t>
            </w:r>
            <w:r>
              <w:rPr>
                <w:rFonts w:hint="eastAsia" w:ascii="Times New Roman" w:hAnsi="Times New Roman"/>
                <w:color w:val="auto"/>
                <w:sz w:val="24"/>
                <w:szCs w:val="28"/>
                <w:lang w:val="en-US" w:eastAsia="zh-CN"/>
              </w:rPr>
              <w:t>设施</w:t>
            </w:r>
            <w:r>
              <w:rPr>
                <w:rFonts w:hint="eastAsia" w:ascii="Times New Roman" w:hAnsi="Times New Roman"/>
                <w:color w:val="auto"/>
                <w:sz w:val="24"/>
                <w:szCs w:val="28"/>
                <w:lang w:eastAsia="zh-CN"/>
              </w:rPr>
              <w:t>各单元处理效率</w:t>
            </w:r>
            <w:r>
              <w:rPr>
                <w:rFonts w:hint="eastAsia" w:ascii="Times New Roman" w:hAnsi="Times New Roman"/>
                <w:color w:val="auto"/>
                <w:sz w:val="24"/>
                <w:szCs w:val="28"/>
                <w:lang w:val="en-US" w:eastAsia="zh-CN"/>
              </w:rPr>
              <w:t>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 xml:space="preserve">    生活污水处理设施各单元处理效率一览表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1630"/>
              <w:gridCol w:w="1111"/>
              <w:gridCol w:w="861"/>
              <w:gridCol w:w="948"/>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97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663" w:type="pct"/>
                  <w:tcBorders>
                    <w:tl2br w:val="nil"/>
                    <w:tr2bl w:val="nil"/>
                  </w:tcBorders>
                  <w:noWrap w:val="0"/>
                  <w:vAlign w:val="center"/>
                </w:tcPr>
                <w:p>
                  <w:pPr>
                    <w:pStyle w:val="52"/>
                    <w:keepNext w:val="0"/>
                    <w:keepLines w:val="0"/>
                    <w:pageBreakBefore w:val="0"/>
                    <w:suppressLineNumbers w:val="0"/>
                    <w:kinsoku/>
                    <w:wordWrap/>
                    <w:overflowPunct/>
                    <w:topLinePunct w:val="0"/>
                    <w:autoSpaceDE/>
                    <w:autoSpaceDN/>
                    <w:bidi w:val="0"/>
                    <w:spacing w:beforeLines="0" w:beforeAutospacing="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51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8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eastAsia="宋体"/>
                      <w:color w:val="auto"/>
                      <w:spacing w:val="-10"/>
                      <w:sz w:val="21"/>
                      <w:szCs w:val="21"/>
                      <w:highlight w:val="none"/>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进水水质（mg/L）</w:t>
                  </w:r>
                </w:p>
              </w:tc>
              <w:tc>
                <w:tcPr>
                  <w:tcW w:w="9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369.2</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250</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w:t>
                  </w:r>
                </w:p>
              </w:tc>
              <w:tc>
                <w:tcPr>
                  <w:tcW w:w="5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28.5</w:t>
                  </w:r>
                </w:p>
              </w:tc>
              <w:tc>
                <w:tcPr>
                  <w:tcW w:w="5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eastAsia="宋体"/>
                      <w:color w:val="auto"/>
                      <w:spacing w:val="-10"/>
                      <w:sz w:val="21"/>
                      <w:szCs w:val="21"/>
                      <w:highlight w:val="none"/>
                      <w:lang w:val="en-US" w:eastAsia="zh-CN"/>
                    </w:rPr>
                  </w:pPr>
                  <w:r>
                    <w:rPr>
                      <w:rFonts w:hint="eastAsia" w:ascii="Times New Roman" w:hAnsi="Times New Roman"/>
                      <w:snapToGrid w:val="0"/>
                      <w:color w:val="auto"/>
                      <w:szCs w:val="21"/>
                      <w:lang w:val="en-US" w:eastAsia="zh-CN"/>
                    </w:rPr>
                    <w:t>隔油池+化粪池去除率（%）</w:t>
                  </w:r>
                </w:p>
              </w:tc>
              <w:tc>
                <w:tcPr>
                  <w:tcW w:w="9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6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出水浓度（mg/L）</w:t>
                  </w:r>
                </w:p>
              </w:tc>
              <w:tc>
                <w:tcPr>
                  <w:tcW w:w="9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100</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25</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70</w:t>
                  </w:r>
                </w:p>
              </w:tc>
              <w:tc>
                <w:tcPr>
                  <w:tcW w:w="5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w:t>
                  </w:r>
                </w:p>
              </w:tc>
              <w:tc>
                <w:tcPr>
                  <w:tcW w:w="5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rPr>
                  </w:pPr>
                  <w:r>
                    <w:rPr>
                      <w:rFonts w:hint="eastAsia"/>
                      <w:color w:val="auto"/>
                      <w:lang w:val="en-US" w:eastAsia="zh-CN"/>
                    </w:rPr>
                    <w:t>5</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②含油废水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bCs/>
                <w:color w:val="auto"/>
                <w:sz w:val="24"/>
                <w:szCs w:val="24"/>
                <w:highlight w:val="none"/>
              </w:rPr>
            </w:pPr>
            <w:r>
              <w:rPr>
                <w:rFonts w:hint="eastAsia"/>
                <w:color w:val="auto"/>
                <w:sz w:val="24"/>
                <w:szCs w:val="24"/>
                <w:highlight w:val="none"/>
                <w:lang w:val="en-US" w:eastAsia="zh-CN"/>
              </w:rPr>
              <w:t>含油废水</w:t>
            </w:r>
            <w:r>
              <w:rPr>
                <w:rFonts w:hint="eastAsia"/>
                <w:color w:val="auto"/>
                <w:sz w:val="24"/>
                <w:szCs w:val="24"/>
                <w:highlight w:val="none"/>
                <w:lang w:eastAsia="zh-CN"/>
              </w:rPr>
              <w:t>废水处理站各污水处理单元处理效率见表</w:t>
            </w:r>
            <w:r>
              <w:rPr>
                <w:rFonts w:hint="eastAsia"/>
                <w:color w:val="auto"/>
                <w:sz w:val="24"/>
                <w:szCs w:val="24"/>
                <w:highlight w:val="none"/>
                <w:lang w:val="en-US" w:eastAsia="zh-CN"/>
              </w:rPr>
              <w:t>4-15</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4-15</w:t>
            </w:r>
            <w:r>
              <w:rPr>
                <w:rFonts w:hint="eastAsia"/>
                <w:b/>
                <w:color w:val="auto"/>
                <w:sz w:val="24"/>
                <w:szCs w:val="24"/>
                <w:highlight w:val="none"/>
              </w:rPr>
              <w:t xml:space="preserve">  </w:t>
            </w:r>
            <w:r>
              <w:rPr>
                <w:rFonts w:hint="eastAsia"/>
                <w:b/>
                <w:color w:val="auto"/>
                <w:sz w:val="24"/>
                <w:szCs w:val="24"/>
                <w:highlight w:val="none"/>
                <w:lang w:eastAsia="zh-CN"/>
              </w:rPr>
              <w:t>废水处理站</w:t>
            </w:r>
            <w:r>
              <w:rPr>
                <w:rFonts w:hint="eastAsia"/>
                <w:b/>
                <w:color w:val="auto"/>
                <w:sz w:val="24"/>
                <w:szCs w:val="24"/>
                <w:highlight w:val="none"/>
              </w:rPr>
              <w:t xml:space="preserve">处理效果及进出水水质一览表 </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8"/>
              <w:gridCol w:w="987"/>
              <w:gridCol w:w="1049"/>
              <w:gridCol w:w="1184"/>
              <w:gridCol w:w="913"/>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58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626" w:type="pct"/>
                  <w:tcBorders>
                    <w:tl2br w:val="nil"/>
                    <w:tr2bl w:val="nil"/>
                  </w:tcBorders>
                  <w:noWrap w:val="0"/>
                  <w:vAlign w:val="center"/>
                </w:tcPr>
                <w:p>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707"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45"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62"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进水水质（mg/L）</w:t>
                  </w:r>
                </w:p>
              </w:tc>
              <w:tc>
                <w:tcPr>
                  <w:tcW w:w="58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135.9 </w:t>
                  </w:r>
                </w:p>
              </w:tc>
              <w:tc>
                <w:tcPr>
                  <w:tcW w:w="6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707"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176.3 </w:t>
                  </w:r>
                </w:p>
              </w:tc>
              <w:tc>
                <w:tcPr>
                  <w:tcW w:w="545"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56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调节池去除率（%）</w:t>
                  </w:r>
                </w:p>
              </w:tc>
              <w:tc>
                <w:tcPr>
                  <w:tcW w:w="589"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626" w:type="pct"/>
                  <w:tcBorders>
                    <w:tl2br w:val="nil"/>
                    <w:tr2bl w:val="nil"/>
                  </w:tcBorders>
                  <w:noWrap w:val="0"/>
                  <w:vAlign w:val="center"/>
                </w:tcPr>
                <w:p>
                  <w:pPr>
                    <w:keepNext w:val="0"/>
                    <w:keepLines w:val="0"/>
                    <w:widowControl/>
                    <w:suppressLineNumbers w:val="0"/>
                    <w:jc w:val="center"/>
                    <w:textAlignment w:val="center"/>
                    <w:rPr>
                      <w:rFonts w:hint="default" w:ascii="Times New Roman"/>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707"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545"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562"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油水分离器+气浮去除率（%）</w:t>
                  </w:r>
                </w:p>
              </w:tc>
              <w:tc>
                <w:tcPr>
                  <w:tcW w:w="5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6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562" w:type="pct"/>
                  <w:tcBorders>
                    <w:tl2br w:val="nil"/>
                    <w:tr2bl w:val="nil"/>
                  </w:tcBorders>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A/O+MBR去除率（%）</w:t>
                  </w:r>
                </w:p>
              </w:tc>
              <w:tc>
                <w:tcPr>
                  <w:tcW w:w="5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50.5</w:t>
                  </w:r>
                </w:p>
              </w:tc>
              <w:tc>
                <w:tcPr>
                  <w:tcW w:w="6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70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91.5</w:t>
                  </w:r>
                </w:p>
              </w:tc>
              <w:tc>
                <w:tcPr>
                  <w:tcW w:w="54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6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出水水质（mg/L）</w:t>
                  </w:r>
                </w:p>
              </w:tc>
              <w:tc>
                <w:tcPr>
                  <w:tcW w:w="5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50</w:t>
                  </w:r>
                </w:p>
              </w:tc>
              <w:tc>
                <w:tcPr>
                  <w:tcW w:w="6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8</w:t>
                  </w:r>
                </w:p>
              </w:tc>
              <w:tc>
                <w:tcPr>
                  <w:tcW w:w="70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6</w:t>
                  </w:r>
                </w:p>
              </w:tc>
              <w:tc>
                <w:tcPr>
                  <w:tcW w:w="5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4</w:t>
                  </w:r>
                </w:p>
              </w:tc>
              <w:tc>
                <w:tcPr>
                  <w:tcW w:w="5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b/>
                      <w:bCs/>
                      <w:color w:val="auto"/>
                      <w:spacing w:val="-10"/>
                      <w:kern w:val="0"/>
                      <w:sz w:val="21"/>
                      <w:szCs w:val="21"/>
                      <w:highlight w:val="none"/>
                    </w:rPr>
                  </w:pPr>
                  <w:r>
                    <w:rPr>
                      <w:rFonts w:hint="eastAsia"/>
                      <w:b/>
                      <w:bCs/>
                      <w:color w:val="auto"/>
                      <w:spacing w:val="-10"/>
                      <w:sz w:val="21"/>
                      <w:szCs w:val="21"/>
                      <w:highlight w:val="none"/>
                    </w:rPr>
                    <w:t>标准值</w:t>
                  </w:r>
                </w:p>
              </w:tc>
              <w:tc>
                <w:tcPr>
                  <w:tcW w:w="589"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kern w:val="0"/>
                      <w:sz w:val="21"/>
                      <w:szCs w:val="21"/>
                      <w:highlight w:val="none"/>
                      <w:lang w:val="en-US"/>
                    </w:rPr>
                  </w:pPr>
                  <w:r>
                    <w:rPr>
                      <w:rFonts w:hint="eastAsia"/>
                      <w:b/>
                      <w:bCs/>
                      <w:color w:val="auto"/>
                      <w:spacing w:val="-10"/>
                      <w:kern w:val="0"/>
                      <w:sz w:val="21"/>
                      <w:szCs w:val="21"/>
                      <w:highlight w:val="none"/>
                      <w:lang w:val="en-US" w:eastAsia="zh-CN"/>
                    </w:rPr>
                    <w:t>--</w:t>
                  </w:r>
                </w:p>
              </w:tc>
              <w:tc>
                <w:tcPr>
                  <w:tcW w:w="626"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10</w:t>
                  </w:r>
                </w:p>
              </w:tc>
              <w:tc>
                <w:tcPr>
                  <w:tcW w:w="707"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w:t>
                  </w:r>
                </w:p>
              </w:tc>
              <w:tc>
                <w:tcPr>
                  <w:tcW w:w="545"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8</w:t>
                  </w:r>
                </w:p>
              </w:tc>
              <w:tc>
                <w:tcPr>
                  <w:tcW w:w="562"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由表</w:t>
            </w:r>
            <w:r>
              <w:rPr>
                <w:rFonts w:hint="eastAsia" w:ascii="Times New Roman" w:hAnsi="Times New Roman" w:eastAsia="宋体" w:cs="Times New Roman"/>
                <w:color w:val="auto"/>
                <w:sz w:val="24"/>
                <w:szCs w:val="24"/>
                <w:highlight w:val="none"/>
                <w:lang w:val="en-US" w:eastAsia="zh-CN"/>
              </w:rPr>
              <w:t>4-14~表4-1</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可知，</w:t>
            </w:r>
            <w:r>
              <w:rPr>
                <w:rFonts w:hint="eastAsia" w:ascii="Times New Roman" w:hAnsi="Times New Roman" w:eastAsia="宋体" w:cs="Times New Roman"/>
                <w:color w:val="auto"/>
                <w:sz w:val="24"/>
                <w:szCs w:val="24"/>
                <w:highlight w:val="none"/>
                <w:lang w:val="en-US" w:eastAsia="zh-CN"/>
              </w:rPr>
              <w:t>项目食堂废水经隔油池处理后与生活污水一并排入化粪池处理后，定期清掏外运；含油污水经“</w:t>
            </w:r>
            <w:r>
              <w:rPr>
                <w:rFonts w:hint="eastAsia"/>
                <w:color w:val="auto"/>
                <w:sz w:val="24"/>
                <w:szCs w:val="24"/>
                <w:lang w:val="en-US" w:eastAsia="zh-CN"/>
              </w:rPr>
              <w:t>调节池+油水分离器+气浮+A/O+MBR膜池+检测池</w:t>
            </w:r>
            <w:r>
              <w:rPr>
                <w:rFonts w:hint="eastAsia" w:ascii="Times New Roman" w:hAnsi="Times New Roman" w:eastAsia="宋体" w:cs="Times New Roman"/>
                <w:color w:val="auto"/>
                <w:sz w:val="24"/>
                <w:szCs w:val="24"/>
                <w:highlight w:val="none"/>
                <w:lang w:val="en-US" w:eastAsia="zh-CN"/>
              </w:rPr>
              <w:t>”处理后满足</w:t>
            </w:r>
            <w:r>
              <w:rPr>
                <w:rFonts w:hint="eastAsia" w:hAnsi="Courier New" w:cs="Times New Roman"/>
                <w:b w:val="0"/>
                <w:bCs w:val="0"/>
                <w:caps w:val="0"/>
                <w:color w:val="auto"/>
                <w:spacing w:val="5"/>
                <w:kern w:val="2"/>
                <w:sz w:val="24"/>
                <w:szCs w:val="24"/>
                <w:lang w:val="en-US" w:eastAsia="zh-CN" w:bidi="ar-SA"/>
              </w:rPr>
              <w:t>《城市污水再生利用  城市杂用水水质》（GB/T18920-2020）表1“城市绿化、道路清扫、消防、建筑施工”用水标准</w:t>
            </w:r>
            <w:r>
              <w:rPr>
                <w:rFonts w:hint="eastAsia"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eastAsia="zh-CN"/>
              </w:rPr>
            </w:pPr>
            <w:r>
              <w:rPr>
                <w:rFonts w:hint="eastAsia" w:ascii="Times New Roman" w:hAnsi="Times New Roman" w:eastAsia="宋体" w:cs="Times New Roman"/>
                <w:color w:val="auto"/>
                <w:sz w:val="24"/>
                <w:szCs w:val="24"/>
                <w:highlight w:val="none"/>
              </w:rPr>
              <w:t>综上所述，</w:t>
            </w:r>
            <w:r>
              <w:rPr>
                <w:rFonts w:hint="eastAsia" w:ascii="Times New Roman" w:hAnsi="Times New Roman" w:eastAsia="宋体" w:cs="Times New Roman"/>
                <w:color w:val="auto"/>
                <w:sz w:val="24"/>
                <w:szCs w:val="24"/>
                <w:highlight w:val="none"/>
                <w:lang w:val="en-US" w:eastAsia="zh-CN"/>
              </w:rPr>
              <w:t>本项目生活污水和含油废水处理措施</w:t>
            </w:r>
            <w:r>
              <w:rPr>
                <w:rFonts w:hint="eastAsia" w:ascii="Times New Roman" w:hAnsi="Times New Roman" w:eastAsia="宋体" w:cs="Times New Roman"/>
                <w:color w:val="auto"/>
                <w:sz w:val="24"/>
                <w:szCs w:val="24"/>
                <w:highlight w:val="none"/>
              </w:rPr>
              <w:t>可行。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2）双龙镇污水处理厂扩建完成后废水达标分析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①生活污水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eastAsia="zh-CN"/>
              </w:rPr>
              <w:t>生活</w:t>
            </w:r>
            <w:r>
              <w:rPr>
                <w:rFonts w:hint="eastAsia" w:ascii="Times New Roman" w:hAnsi="Times New Roman"/>
                <w:color w:val="auto"/>
                <w:sz w:val="24"/>
                <w:szCs w:val="28"/>
                <w:lang w:eastAsia="zh-CN"/>
              </w:rPr>
              <w:t>污水处理</w:t>
            </w:r>
            <w:r>
              <w:rPr>
                <w:rFonts w:hint="eastAsia" w:ascii="Times New Roman" w:hAnsi="Times New Roman"/>
                <w:color w:val="auto"/>
                <w:sz w:val="24"/>
                <w:szCs w:val="28"/>
                <w:lang w:val="en-US" w:eastAsia="zh-CN"/>
              </w:rPr>
              <w:t>设施</w:t>
            </w:r>
            <w:r>
              <w:rPr>
                <w:rFonts w:hint="eastAsia" w:ascii="Times New Roman" w:hAnsi="Times New Roman"/>
                <w:color w:val="auto"/>
                <w:sz w:val="24"/>
                <w:szCs w:val="28"/>
                <w:lang w:eastAsia="zh-CN"/>
              </w:rPr>
              <w:t>各单元处理效率</w:t>
            </w:r>
            <w:r>
              <w:rPr>
                <w:rFonts w:hint="eastAsia" w:ascii="Times New Roman" w:hAnsi="Times New Roman"/>
                <w:color w:val="auto"/>
                <w:sz w:val="24"/>
                <w:szCs w:val="28"/>
                <w:lang w:val="en-US" w:eastAsia="zh-CN"/>
              </w:rPr>
              <w:t>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 xml:space="preserve">    生活污水处理设施各单元处理效率一览表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2"/>
              <w:gridCol w:w="925"/>
              <w:gridCol w:w="975"/>
              <w:gridCol w:w="1122"/>
              <w:gridCol w:w="1171"/>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552"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582" w:type="pct"/>
                  <w:tcBorders>
                    <w:tl2br w:val="nil"/>
                    <w:tr2bl w:val="nil"/>
                  </w:tcBorders>
                  <w:noWrap w:val="0"/>
                  <w:vAlign w:val="center"/>
                </w:tcPr>
                <w:p>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670"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69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631"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eastAsia="宋体"/>
                      <w:color w:val="auto"/>
                      <w:spacing w:val="-10"/>
                      <w:sz w:val="21"/>
                      <w:szCs w:val="21"/>
                      <w:highlight w:val="none"/>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进水水质（mg/L）</w:t>
                  </w:r>
                </w:p>
              </w:tc>
              <w:tc>
                <w:tcPr>
                  <w:tcW w:w="5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369.2</w:t>
                  </w:r>
                </w:p>
              </w:tc>
              <w:tc>
                <w:tcPr>
                  <w:tcW w:w="5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250</w:t>
                  </w:r>
                </w:p>
              </w:tc>
              <w:tc>
                <w:tcPr>
                  <w:tcW w:w="67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w:t>
                  </w:r>
                </w:p>
              </w:tc>
              <w:tc>
                <w:tcPr>
                  <w:tcW w:w="6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28.5</w:t>
                  </w:r>
                </w:p>
              </w:tc>
              <w:tc>
                <w:tcPr>
                  <w:tcW w:w="63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eastAsia="宋体"/>
                      <w:color w:val="auto"/>
                      <w:spacing w:val="-10"/>
                      <w:sz w:val="21"/>
                      <w:szCs w:val="21"/>
                      <w:highlight w:val="none"/>
                      <w:lang w:eastAsia="zh-CN"/>
                    </w:rPr>
                  </w:pPr>
                  <w:r>
                    <w:rPr>
                      <w:rFonts w:hint="eastAsia" w:ascii="Times New Roman" w:hAnsi="Times New Roman"/>
                      <w:snapToGrid w:val="0"/>
                      <w:color w:val="auto"/>
                      <w:szCs w:val="21"/>
                      <w:lang w:val="en-US" w:eastAsia="zh-CN"/>
                    </w:rPr>
                    <w:t>隔油池+</w:t>
                  </w:r>
                  <w:r>
                    <w:rPr>
                      <w:rFonts w:hint="eastAsia" w:ascii="Times New Roman" w:hAnsi="Times New Roman"/>
                      <w:snapToGrid w:val="0"/>
                      <w:color w:val="auto"/>
                      <w:szCs w:val="21"/>
                    </w:rPr>
                    <w:t>格栅+调节</w:t>
                  </w:r>
                  <w:r>
                    <w:rPr>
                      <w:rFonts w:ascii="Times New Roman" w:hAnsi="Times New Roman"/>
                      <w:snapToGrid w:val="0"/>
                      <w:color w:val="auto"/>
                      <w:szCs w:val="21"/>
                    </w:rPr>
                    <w:t>去除率</w:t>
                  </w:r>
                  <w:r>
                    <w:rPr>
                      <w:rFonts w:hint="eastAsia" w:ascii="Times New Roman" w:hAnsi="Times New Roman"/>
                      <w:snapToGrid w:val="0"/>
                      <w:color w:val="auto"/>
                      <w:szCs w:val="21"/>
                      <w:lang w:eastAsia="zh-CN"/>
                    </w:rPr>
                    <w:t>（</w:t>
                  </w:r>
                  <w:r>
                    <w:rPr>
                      <w:rFonts w:hint="eastAsia" w:ascii="Times New Roman" w:hAnsi="Times New Roman"/>
                      <w:snapToGrid w:val="0"/>
                      <w:color w:val="auto"/>
                      <w:szCs w:val="21"/>
                      <w:lang w:val="en-US" w:eastAsia="zh-CN"/>
                    </w:rPr>
                    <w:t>%</w:t>
                  </w:r>
                  <w:r>
                    <w:rPr>
                      <w:rFonts w:hint="eastAsia" w:ascii="Times New Roman" w:hAnsi="Times New Roman"/>
                      <w:snapToGrid w:val="0"/>
                      <w:color w:val="auto"/>
                      <w:szCs w:val="21"/>
                      <w:lang w:eastAsia="zh-CN"/>
                    </w:rPr>
                    <w:t>）</w:t>
                  </w:r>
                </w:p>
              </w:tc>
              <w:tc>
                <w:tcPr>
                  <w:tcW w:w="552"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2"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670"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699"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31" w:type="pct"/>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textAlignment w:val="auto"/>
                    <w:rPr>
                      <w:rFonts w:hint="eastAsia" w:eastAsia="宋体"/>
                      <w:color w:val="auto"/>
                      <w:spacing w:val="-10"/>
                      <w:sz w:val="21"/>
                      <w:szCs w:val="21"/>
                      <w:highlight w:val="none"/>
                      <w:lang w:eastAsia="zh-CN"/>
                    </w:rPr>
                  </w:pPr>
                  <w:r>
                    <w:rPr>
                      <w:rFonts w:hint="eastAsia" w:ascii="Times New Roman" w:hAnsi="Times New Roman"/>
                      <w:snapToGrid w:val="0"/>
                      <w:color w:val="auto"/>
                      <w:szCs w:val="21"/>
                    </w:rPr>
                    <w:t>缺氧+好氧</w:t>
                  </w:r>
                  <w:r>
                    <w:rPr>
                      <w:rFonts w:hint="eastAsia" w:ascii="Times New Roman" w:hAnsi="Times New Roman"/>
                      <w:snapToGrid w:val="0"/>
                      <w:color w:val="auto"/>
                      <w:szCs w:val="21"/>
                      <w:lang w:val="en-US" w:eastAsia="zh-CN"/>
                    </w:rPr>
                    <w:t>+混凝沉淀</w:t>
                  </w:r>
                  <w:r>
                    <w:rPr>
                      <w:rFonts w:ascii="Times New Roman" w:hAnsi="Times New Roman"/>
                      <w:snapToGrid w:val="0"/>
                      <w:color w:val="auto"/>
                      <w:szCs w:val="21"/>
                    </w:rPr>
                    <w:t>去除率</w:t>
                  </w:r>
                  <w:r>
                    <w:rPr>
                      <w:rFonts w:hint="eastAsia" w:ascii="Times New Roman" w:hAnsi="Times New Roman"/>
                      <w:snapToGrid w:val="0"/>
                      <w:color w:val="auto"/>
                      <w:szCs w:val="21"/>
                      <w:lang w:eastAsia="zh-CN"/>
                    </w:rPr>
                    <w:t>（</w:t>
                  </w:r>
                  <w:r>
                    <w:rPr>
                      <w:rFonts w:hint="eastAsia" w:ascii="Times New Roman" w:hAnsi="Times New Roman"/>
                      <w:snapToGrid w:val="0"/>
                      <w:color w:val="auto"/>
                      <w:szCs w:val="21"/>
                      <w:lang w:val="en-US" w:eastAsia="zh-CN"/>
                    </w:rPr>
                    <w:t>%</w:t>
                  </w:r>
                  <w:r>
                    <w:rPr>
                      <w:rFonts w:hint="eastAsia" w:ascii="Times New Roman" w:hAnsi="Times New Roman"/>
                      <w:snapToGrid w:val="0"/>
                      <w:color w:val="auto"/>
                      <w:szCs w:val="21"/>
                      <w:lang w:eastAsia="zh-CN"/>
                    </w:rPr>
                    <w:t>）</w:t>
                  </w:r>
                </w:p>
              </w:tc>
              <w:tc>
                <w:tcPr>
                  <w:tcW w:w="552"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w:t>
                  </w:r>
                </w:p>
              </w:tc>
              <w:tc>
                <w:tcPr>
                  <w:tcW w:w="582"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87.5</w:t>
                  </w:r>
                </w:p>
              </w:tc>
              <w:tc>
                <w:tcPr>
                  <w:tcW w:w="670"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699" w:type="pct"/>
                  <w:tcBorders>
                    <w:tl2br w:val="nil"/>
                    <w:tr2bl w:val="nil"/>
                  </w:tcBorders>
                  <w:noWrap w:val="0"/>
                  <w:vAlign w:val="center"/>
                </w:tcPr>
                <w:p>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w:t>
                  </w:r>
                </w:p>
              </w:tc>
              <w:tc>
                <w:tcPr>
                  <w:tcW w:w="631" w:type="pct"/>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出水浓度（mg/L）</w:t>
                  </w:r>
                </w:p>
              </w:tc>
              <w:tc>
                <w:tcPr>
                  <w:tcW w:w="5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100</w:t>
                  </w:r>
                </w:p>
              </w:tc>
              <w:tc>
                <w:tcPr>
                  <w:tcW w:w="5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25</w:t>
                  </w:r>
                </w:p>
              </w:tc>
              <w:tc>
                <w:tcPr>
                  <w:tcW w:w="67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70</w:t>
                  </w:r>
                </w:p>
              </w:tc>
              <w:tc>
                <w:tcPr>
                  <w:tcW w:w="6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w:t>
                  </w:r>
                </w:p>
              </w:tc>
              <w:tc>
                <w:tcPr>
                  <w:tcW w:w="63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rPr>
                  </w:pPr>
                  <w:r>
                    <w:rPr>
                      <w:rFonts w:hint="eastAsia"/>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b/>
                      <w:bCs/>
                      <w:color w:val="auto"/>
                      <w:spacing w:val="-10"/>
                      <w:kern w:val="0"/>
                      <w:sz w:val="21"/>
                      <w:szCs w:val="21"/>
                      <w:highlight w:val="none"/>
                    </w:rPr>
                  </w:pPr>
                  <w:r>
                    <w:rPr>
                      <w:rFonts w:hint="eastAsia"/>
                      <w:b/>
                      <w:bCs/>
                      <w:color w:val="auto"/>
                      <w:spacing w:val="-10"/>
                      <w:sz w:val="21"/>
                      <w:szCs w:val="21"/>
                      <w:highlight w:val="none"/>
                    </w:rPr>
                    <w:t>标准值</w:t>
                  </w:r>
                </w:p>
              </w:tc>
              <w:tc>
                <w:tcPr>
                  <w:tcW w:w="552"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kern w:val="0"/>
                      <w:sz w:val="21"/>
                      <w:szCs w:val="21"/>
                      <w:highlight w:val="none"/>
                      <w:lang w:val="en-US" w:eastAsia="zh-CN"/>
                    </w:rPr>
                  </w:pPr>
                  <w:r>
                    <w:rPr>
                      <w:rFonts w:hint="eastAsia"/>
                      <w:b/>
                      <w:bCs/>
                      <w:color w:val="auto"/>
                      <w:spacing w:val="-10"/>
                      <w:kern w:val="0"/>
                      <w:sz w:val="21"/>
                      <w:szCs w:val="21"/>
                      <w:highlight w:val="none"/>
                      <w:lang w:val="en-US" w:eastAsia="zh-CN"/>
                    </w:rPr>
                    <w:t>500</w:t>
                  </w:r>
                </w:p>
              </w:tc>
              <w:tc>
                <w:tcPr>
                  <w:tcW w:w="582"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300</w:t>
                  </w:r>
                </w:p>
              </w:tc>
              <w:tc>
                <w:tcPr>
                  <w:tcW w:w="670"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100</w:t>
                  </w:r>
                </w:p>
              </w:tc>
              <w:tc>
                <w:tcPr>
                  <w:tcW w:w="69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45</w:t>
                  </w:r>
                </w:p>
              </w:tc>
              <w:tc>
                <w:tcPr>
                  <w:tcW w:w="631"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100</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②含油废水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bCs/>
                <w:color w:val="auto"/>
                <w:sz w:val="24"/>
                <w:szCs w:val="24"/>
                <w:highlight w:val="none"/>
              </w:rPr>
            </w:pPr>
            <w:r>
              <w:rPr>
                <w:rFonts w:hint="eastAsia"/>
                <w:color w:val="auto"/>
                <w:sz w:val="24"/>
                <w:szCs w:val="24"/>
                <w:highlight w:val="none"/>
                <w:lang w:val="en-US" w:eastAsia="zh-CN"/>
              </w:rPr>
              <w:t>含油废水</w:t>
            </w:r>
            <w:r>
              <w:rPr>
                <w:rFonts w:hint="eastAsia"/>
                <w:color w:val="auto"/>
                <w:sz w:val="24"/>
                <w:szCs w:val="24"/>
                <w:highlight w:val="none"/>
                <w:lang w:eastAsia="zh-CN"/>
              </w:rPr>
              <w:t>废水处理站各污水处理单元处理效率见表</w:t>
            </w:r>
            <w:r>
              <w:rPr>
                <w:rFonts w:hint="eastAsia"/>
                <w:color w:val="auto"/>
                <w:sz w:val="24"/>
                <w:szCs w:val="24"/>
                <w:highlight w:val="none"/>
                <w:lang w:val="en-US" w:eastAsia="zh-CN"/>
              </w:rPr>
              <w:t>4-17</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4-17</w:t>
            </w:r>
            <w:r>
              <w:rPr>
                <w:rFonts w:hint="eastAsia"/>
                <w:b/>
                <w:color w:val="auto"/>
                <w:sz w:val="24"/>
                <w:szCs w:val="24"/>
                <w:highlight w:val="none"/>
              </w:rPr>
              <w:t xml:space="preserve">  </w:t>
            </w:r>
            <w:r>
              <w:rPr>
                <w:rFonts w:hint="eastAsia"/>
                <w:b/>
                <w:color w:val="auto"/>
                <w:sz w:val="24"/>
                <w:szCs w:val="24"/>
                <w:highlight w:val="none"/>
                <w:lang w:eastAsia="zh-CN"/>
              </w:rPr>
              <w:t>废水处理站</w:t>
            </w:r>
            <w:r>
              <w:rPr>
                <w:rFonts w:hint="eastAsia"/>
                <w:b/>
                <w:color w:val="auto"/>
                <w:sz w:val="24"/>
                <w:szCs w:val="24"/>
                <w:highlight w:val="none"/>
              </w:rPr>
              <w:t xml:space="preserve">处理效果及进出水水质一览表 </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4"/>
              <w:gridCol w:w="1171"/>
              <w:gridCol w:w="925"/>
              <w:gridCol w:w="962"/>
              <w:gridCol w:w="9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69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552" w:type="pct"/>
                  <w:tcBorders>
                    <w:tl2br w:val="nil"/>
                    <w:tr2bl w:val="nil"/>
                  </w:tcBorders>
                  <w:noWrap w:val="0"/>
                  <w:vAlign w:val="center"/>
                </w:tcPr>
                <w:p>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574"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8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87"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进水浓度（mg/L）</w:t>
                  </w:r>
                </w:p>
              </w:tc>
              <w:tc>
                <w:tcPr>
                  <w:tcW w:w="69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135.9 </w:t>
                  </w:r>
                </w:p>
              </w:tc>
              <w:tc>
                <w:tcPr>
                  <w:tcW w:w="5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574"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176.3 </w:t>
                  </w:r>
                </w:p>
              </w:tc>
              <w:tc>
                <w:tcPr>
                  <w:tcW w:w="589"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587"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调节池去除率（%）</w:t>
                  </w:r>
                </w:p>
              </w:tc>
              <w:tc>
                <w:tcPr>
                  <w:tcW w:w="699"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552" w:type="pct"/>
                  <w:tcBorders>
                    <w:tl2br w:val="nil"/>
                    <w:tr2bl w:val="nil"/>
                  </w:tcBorders>
                  <w:noWrap w:val="0"/>
                  <w:vAlign w:val="center"/>
                </w:tcPr>
                <w:p>
                  <w:pPr>
                    <w:keepNext w:val="0"/>
                    <w:keepLines w:val="0"/>
                    <w:widowControl/>
                    <w:suppressLineNumbers w:val="0"/>
                    <w:jc w:val="center"/>
                    <w:textAlignment w:val="center"/>
                    <w:rPr>
                      <w:rFonts w:hint="default" w:ascii="Times New Roman"/>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74"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589"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587"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10"/>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油水分离器+过滤器去除率（%）</w:t>
                  </w:r>
                </w:p>
              </w:tc>
              <w:tc>
                <w:tcPr>
                  <w:tcW w:w="69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5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7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p>
              </w:tc>
              <w:tc>
                <w:tcPr>
                  <w:tcW w:w="58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587" w:type="pct"/>
                  <w:tcBorders>
                    <w:tl2br w:val="nil"/>
                    <w:tr2bl w:val="nil"/>
                  </w:tcBorders>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出水浓度（mg/L）</w:t>
                  </w:r>
                </w:p>
              </w:tc>
              <w:tc>
                <w:tcPr>
                  <w:tcW w:w="6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100</w:t>
                  </w:r>
                </w:p>
              </w:tc>
              <w:tc>
                <w:tcPr>
                  <w:tcW w:w="5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25</w:t>
                  </w:r>
                </w:p>
              </w:tc>
              <w:tc>
                <w:tcPr>
                  <w:tcW w:w="57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70</w:t>
                  </w:r>
                </w:p>
              </w:tc>
              <w:tc>
                <w:tcPr>
                  <w:tcW w:w="5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10</w:t>
                  </w:r>
                </w:p>
              </w:tc>
              <w:tc>
                <w:tcPr>
                  <w:tcW w:w="5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rPr>
                  </w:pPr>
                  <w:r>
                    <w:rPr>
                      <w:rFonts w:hint="default"/>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b/>
                      <w:bCs/>
                      <w:color w:val="auto"/>
                      <w:spacing w:val="-10"/>
                      <w:kern w:val="0"/>
                      <w:sz w:val="21"/>
                      <w:szCs w:val="21"/>
                      <w:highlight w:val="none"/>
                    </w:rPr>
                  </w:pPr>
                  <w:r>
                    <w:rPr>
                      <w:rFonts w:hint="eastAsia"/>
                      <w:b/>
                      <w:bCs/>
                      <w:color w:val="auto"/>
                      <w:spacing w:val="-10"/>
                      <w:sz w:val="21"/>
                      <w:szCs w:val="21"/>
                      <w:highlight w:val="none"/>
                    </w:rPr>
                    <w:t>标准值</w:t>
                  </w:r>
                </w:p>
              </w:tc>
              <w:tc>
                <w:tcPr>
                  <w:tcW w:w="699"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kern w:val="0"/>
                      <w:sz w:val="21"/>
                      <w:szCs w:val="21"/>
                      <w:highlight w:val="none"/>
                    </w:rPr>
                  </w:pPr>
                  <w:r>
                    <w:rPr>
                      <w:rFonts w:hint="eastAsia"/>
                      <w:b/>
                      <w:bCs/>
                      <w:color w:val="auto"/>
                      <w:spacing w:val="-10"/>
                      <w:kern w:val="0"/>
                      <w:sz w:val="21"/>
                      <w:szCs w:val="21"/>
                      <w:highlight w:val="none"/>
                      <w:lang w:val="en-US" w:eastAsia="zh-CN"/>
                    </w:rPr>
                    <w:t>500</w:t>
                  </w:r>
                </w:p>
              </w:tc>
              <w:tc>
                <w:tcPr>
                  <w:tcW w:w="552"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rPr>
                  </w:pPr>
                  <w:r>
                    <w:rPr>
                      <w:rFonts w:hint="eastAsia"/>
                      <w:b/>
                      <w:bCs/>
                      <w:color w:val="auto"/>
                      <w:spacing w:val="-10"/>
                      <w:sz w:val="21"/>
                      <w:szCs w:val="21"/>
                      <w:highlight w:val="none"/>
                      <w:lang w:val="en-US" w:eastAsia="zh-CN"/>
                    </w:rPr>
                    <w:t>300</w:t>
                  </w:r>
                </w:p>
              </w:tc>
              <w:tc>
                <w:tcPr>
                  <w:tcW w:w="574"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rPr>
                  </w:pPr>
                  <w:r>
                    <w:rPr>
                      <w:rFonts w:hint="eastAsia"/>
                      <w:b/>
                      <w:bCs/>
                      <w:color w:val="auto"/>
                      <w:spacing w:val="-10"/>
                      <w:sz w:val="21"/>
                      <w:szCs w:val="21"/>
                      <w:highlight w:val="none"/>
                      <w:lang w:val="en-US" w:eastAsia="zh-CN"/>
                    </w:rPr>
                    <w:t>100</w:t>
                  </w:r>
                </w:p>
              </w:tc>
              <w:tc>
                <w:tcPr>
                  <w:tcW w:w="589"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rPr>
                  </w:pPr>
                  <w:r>
                    <w:rPr>
                      <w:rFonts w:hint="eastAsia"/>
                      <w:b/>
                      <w:bCs/>
                      <w:color w:val="auto"/>
                      <w:spacing w:val="-10"/>
                      <w:sz w:val="21"/>
                      <w:szCs w:val="21"/>
                      <w:highlight w:val="none"/>
                      <w:lang w:val="en-US" w:eastAsia="zh-CN"/>
                    </w:rPr>
                    <w:t>45</w:t>
                  </w:r>
                </w:p>
              </w:tc>
              <w:tc>
                <w:tcPr>
                  <w:tcW w:w="587"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lang w:val="en-US"/>
                    </w:rPr>
                  </w:pPr>
                  <w:r>
                    <w:rPr>
                      <w:rFonts w:hint="eastAsia"/>
                      <w:b/>
                      <w:bCs/>
                      <w:color w:val="auto"/>
                      <w:spacing w:val="-10"/>
                      <w:sz w:val="21"/>
                      <w:szCs w:val="21"/>
                      <w:highlight w:val="none"/>
                      <w:lang w:val="en-US" w:eastAsia="zh-CN"/>
                    </w:rPr>
                    <w:t>20</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③库区总排口废水</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项目总排口废水水质见表</w:t>
            </w:r>
            <w:r>
              <w:rPr>
                <w:rFonts w:hint="eastAsia" w:ascii="Times New Roman" w:hAnsi="Times New Roman" w:eastAsia="宋体" w:cs="Times New Roman"/>
                <w:color w:val="auto"/>
                <w:sz w:val="24"/>
                <w:szCs w:val="24"/>
                <w:highlight w:val="none"/>
                <w:lang w:val="en-US" w:eastAsia="zh-CN"/>
              </w:rPr>
              <w:t>4-1</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项目总排口废水水质一览表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55"/>
              <w:gridCol w:w="1125"/>
              <w:gridCol w:w="750"/>
              <w:gridCol w:w="787"/>
              <w:gridCol w:w="975"/>
              <w:gridCol w:w="975"/>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98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废水量（</w:t>
                  </w:r>
                  <w:r>
                    <w:rPr>
                      <w:rFonts w:hint="eastAsia"/>
                      <w:color w:val="auto"/>
                      <w:spacing w:val="-10"/>
                      <w:sz w:val="21"/>
                      <w:szCs w:val="21"/>
                      <w:highlight w:val="none"/>
                      <w:lang w:val="en-US" w:eastAsia="zh-CN"/>
                    </w:rPr>
                    <w:t>m</w:t>
                  </w:r>
                  <w:r>
                    <w:rPr>
                      <w:rFonts w:hint="eastAsia"/>
                      <w:color w:val="auto"/>
                      <w:spacing w:val="-10"/>
                      <w:sz w:val="21"/>
                      <w:szCs w:val="21"/>
                      <w:highlight w:val="none"/>
                      <w:vertAlign w:val="superscript"/>
                      <w:lang w:val="en-US" w:eastAsia="zh-CN"/>
                    </w:rPr>
                    <w:t>3</w:t>
                  </w:r>
                  <w:r>
                    <w:rPr>
                      <w:rFonts w:hint="eastAsia"/>
                      <w:color w:val="auto"/>
                      <w:spacing w:val="-10"/>
                      <w:sz w:val="21"/>
                      <w:szCs w:val="21"/>
                      <w:highlight w:val="none"/>
                      <w:lang w:val="en-US" w:eastAsia="zh-CN"/>
                    </w:rPr>
                    <w:t>/d</w:t>
                  </w:r>
                  <w:r>
                    <w:rPr>
                      <w:rFonts w:hint="eastAsia"/>
                      <w:color w:val="auto"/>
                      <w:spacing w:val="-10"/>
                      <w:sz w:val="21"/>
                      <w:szCs w:val="21"/>
                      <w:highlight w:val="none"/>
                      <w:lang w:eastAsia="zh-CN"/>
                    </w:rPr>
                    <w:t>）</w:t>
                  </w:r>
                </w:p>
              </w:tc>
              <w:tc>
                <w:tcPr>
                  <w:tcW w:w="672"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448" w:type="pct"/>
                  <w:tcBorders>
                    <w:tl2br w:val="nil"/>
                    <w:tr2bl w:val="nil"/>
                  </w:tcBorders>
                  <w:noWrap w:val="0"/>
                  <w:vAlign w:val="center"/>
                </w:tcPr>
                <w:p>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470"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82"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82"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石油类</w:t>
                  </w:r>
                </w:p>
              </w:tc>
              <w:tc>
                <w:tcPr>
                  <w:tcW w:w="595"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生产废水</w:t>
                  </w:r>
                </w:p>
              </w:tc>
              <w:tc>
                <w:tcPr>
                  <w:tcW w:w="9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33.357</w:t>
                  </w:r>
                </w:p>
              </w:tc>
              <w:tc>
                <w:tcPr>
                  <w:tcW w:w="67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100</w:t>
                  </w:r>
                </w:p>
              </w:tc>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25</w:t>
                  </w:r>
                </w:p>
              </w:tc>
              <w:tc>
                <w:tcPr>
                  <w:tcW w:w="4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70</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10</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default"/>
                      <w:color w:val="auto"/>
                      <w:lang w:val="en-US" w:eastAsia="zh-CN"/>
                    </w:rPr>
                    <w:t>5</w:t>
                  </w:r>
                </w:p>
              </w:tc>
              <w:tc>
                <w:tcPr>
                  <w:tcW w:w="5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生活污水</w:t>
                  </w:r>
                </w:p>
              </w:tc>
              <w:tc>
                <w:tcPr>
                  <w:tcW w:w="9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4.37</w:t>
                  </w:r>
                </w:p>
              </w:tc>
              <w:tc>
                <w:tcPr>
                  <w:tcW w:w="67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100</w:t>
                  </w:r>
                </w:p>
              </w:tc>
              <w:tc>
                <w:tcPr>
                  <w:tcW w:w="44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25</w:t>
                  </w:r>
                </w:p>
              </w:tc>
              <w:tc>
                <w:tcPr>
                  <w:tcW w:w="47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70</w:t>
                  </w:r>
                </w:p>
              </w:tc>
              <w:tc>
                <w:tcPr>
                  <w:tcW w:w="5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10</w:t>
                  </w:r>
                </w:p>
              </w:tc>
              <w:tc>
                <w:tcPr>
                  <w:tcW w:w="5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s="Times New Roman"/>
                      <w:b/>
                      <w:color w:val="auto"/>
                      <w:spacing w:val="-10"/>
                      <w:kern w:val="2"/>
                      <w:sz w:val="21"/>
                      <w:szCs w:val="21"/>
                      <w:highlight w:val="none"/>
                      <w:lang w:val="en-US" w:eastAsia="zh-CN" w:bidi="ar-SA"/>
                    </w:rPr>
                    <w:t>--</w:t>
                  </w:r>
                </w:p>
              </w:tc>
              <w:tc>
                <w:tcPr>
                  <w:tcW w:w="5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kern w:val="0"/>
                      <w:sz w:val="21"/>
                      <w:szCs w:val="21"/>
                      <w:highlight w:val="none"/>
                      <w:lang w:eastAsia="zh-CN"/>
                    </w:rPr>
                  </w:pPr>
                  <w:r>
                    <w:rPr>
                      <w:rFonts w:hint="eastAsia"/>
                      <w:color w:val="auto"/>
                      <w:spacing w:val="-10"/>
                      <w:kern w:val="0"/>
                      <w:sz w:val="21"/>
                      <w:szCs w:val="21"/>
                      <w:highlight w:val="none"/>
                      <w:lang w:eastAsia="zh-CN"/>
                    </w:rPr>
                    <w:t>合计</w:t>
                  </w:r>
                </w:p>
              </w:tc>
              <w:tc>
                <w:tcPr>
                  <w:tcW w:w="9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37.727</w:t>
                  </w:r>
                </w:p>
              </w:tc>
              <w:tc>
                <w:tcPr>
                  <w:tcW w:w="67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c>
                <w:tcPr>
                  <w:tcW w:w="4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25</w:t>
                  </w:r>
                </w:p>
              </w:tc>
              <w:tc>
                <w:tcPr>
                  <w:tcW w:w="4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5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4.4</w:t>
                  </w:r>
                </w:p>
              </w:tc>
              <w:tc>
                <w:tcPr>
                  <w:tcW w:w="5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pacing w:val="-10"/>
                      <w:kern w:val="0"/>
                      <w:sz w:val="21"/>
                      <w:szCs w:val="21"/>
                      <w:highlight w:val="none"/>
                      <w:lang w:val="en-US" w:eastAsia="zh-CN"/>
                    </w:rPr>
                  </w:pPr>
                  <w:r>
                    <w:rPr>
                      <w:rFonts w:hint="eastAsia"/>
                      <w:color w:val="auto"/>
                      <w:spacing w:val="-10"/>
                      <w:kern w:val="0"/>
                      <w:sz w:val="21"/>
                      <w:szCs w:val="21"/>
                      <w:highlight w:val="none"/>
                      <w:lang w:val="en-US" w:eastAsia="zh-CN"/>
                    </w:rPr>
                    <w:t>标准值</w:t>
                  </w:r>
                </w:p>
              </w:tc>
              <w:tc>
                <w:tcPr>
                  <w:tcW w:w="9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s="Times New Roman"/>
                      <w:color w:val="auto"/>
                      <w:lang w:val="en-US" w:eastAsia="zh-CN"/>
                    </w:rPr>
                  </w:pPr>
                  <w:r>
                    <w:rPr>
                      <w:rFonts w:hint="eastAsia" w:cs="Times New Roman"/>
                      <w:color w:val="auto"/>
                      <w:lang w:val="en-US" w:eastAsia="zh-CN"/>
                    </w:rPr>
                    <w:t>--</w:t>
                  </w:r>
                </w:p>
              </w:tc>
              <w:tc>
                <w:tcPr>
                  <w:tcW w:w="672"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0"/>
                      <w:sz w:val="21"/>
                      <w:szCs w:val="21"/>
                      <w:highlight w:val="none"/>
                      <w:lang w:val="en-US" w:eastAsia="zh-CN" w:bidi="ar-SA"/>
                    </w:rPr>
                  </w:pPr>
                  <w:r>
                    <w:rPr>
                      <w:rFonts w:hint="eastAsia"/>
                      <w:b/>
                      <w:bCs/>
                      <w:color w:val="auto"/>
                      <w:spacing w:val="-10"/>
                      <w:kern w:val="0"/>
                      <w:sz w:val="21"/>
                      <w:szCs w:val="21"/>
                      <w:highlight w:val="none"/>
                      <w:lang w:val="en-US" w:eastAsia="zh-CN"/>
                    </w:rPr>
                    <w:t>500</w:t>
                  </w:r>
                </w:p>
              </w:tc>
              <w:tc>
                <w:tcPr>
                  <w:tcW w:w="448"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300</w:t>
                  </w:r>
                </w:p>
              </w:tc>
              <w:tc>
                <w:tcPr>
                  <w:tcW w:w="470"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100</w:t>
                  </w:r>
                </w:p>
              </w:tc>
              <w:tc>
                <w:tcPr>
                  <w:tcW w:w="582"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45</w:t>
                  </w:r>
                </w:p>
              </w:tc>
              <w:tc>
                <w:tcPr>
                  <w:tcW w:w="582" w:type="pct"/>
                  <w:tcBorders>
                    <w:tl2br w:val="nil"/>
                    <w:tr2bl w:val="nil"/>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20</w:t>
                  </w:r>
                </w:p>
              </w:tc>
              <w:tc>
                <w:tcPr>
                  <w:tcW w:w="5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s="Times New Roman"/>
                      <w:color w:val="auto"/>
                      <w:lang w:val="en-US" w:eastAsia="zh-CN"/>
                    </w:rPr>
                  </w:pPr>
                  <w:r>
                    <w:rPr>
                      <w:rFonts w:hint="eastAsia" w:cs="Times New Roman"/>
                      <w:color w:val="auto"/>
                      <w:lang w:val="en-US" w:eastAsia="zh-CN"/>
                    </w:rPr>
                    <w:t>100</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由表</w:t>
            </w:r>
            <w:r>
              <w:rPr>
                <w:rFonts w:hint="eastAsia" w:ascii="Times New Roman" w:hAnsi="Times New Roman" w:eastAsia="宋体" w:cs="Times New Roman"/>
                <w:color w:val="auto"/>
                <w:sz w:val="24"/>
                <w:szCs w:val="24"/>
                <w:highlight w:val="none"/>
                <w:lang w:val="en-US" w:eastAsia="zh-CN"/>
              </w:rPr>
              <w:t>4-1</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~表4-1</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rPr>
              <w:t>可知，项目</w:t>
            </w:r>
            <w:r>
              <w:rPr>
                <w:rFonts w:hint="eastAsia" w:ascii="Times New Roman" w:hAnsi="Times New Roman" w:eastAsia="宋体" w:cs="Times New Roman"/>
                <w:color w:val="auto"/>
                <w:sz w:val="24"/>
                <w:szCs w:val="24"/>
                <w:highlight w:val="none"/>
                <w:lang w:eastAsia="zh-CN"/>
              </w:rPr>
              <w:t>生活污水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含食堂废水</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含油废水</w:t>
            </w:r>
            <w:r>
              <w:rPr>
                <w:rFonts w:hint="eastAsia" w:cs="Times New Roman"/>
                <w:color w:val="auto"/>
                <w:sz w:val="24"/>
                <w:szCs w:val="24"/>
                <w:highlight w:val="none"/>
                <w:lang w:val="en-US" w:eastAsia="zh-CN"/>
              </w:rPr>
              <w:t>经相应废水处理设施</w:t>
            </w:r>
            <w:r>
              <w:rPr>
                <w:rFonts w:hint="eastAsia" w:ascii="Times New Roman" w:hAnsi="Times New Roman" w:eastAsia="宋体" w:cs="Times New Roman"/>
                <w:color w:val="auto"/>
                <w:sz w:val="24"/>
                <w:szCs w:val="24"/>
                <w:highlight w:val="none"/>
              </w:rPr>
              <w:t>处理后出水水质</w:t>
            </w:r>
            <w:r>
              <w:rPr>
                <w:rFonts w:hint="eastAsia" w:ascii="Times New Roman" w:hAnsi="Times New Roman" w:eastAsia="宋体" w:cs="Times New Roman"/>
                <w:color w:val="auto"/>
                <w:sz w:val="24"/>
                <w:szCs w:val="24"/>
                <w:highlight w:val="none"/>
                <w:lang w:eastAsia="zh-CN"/>
              </w:rPr>
              <w:t>均</w:t>
            </w:r>
            <w:r>
              <w:rPr>
                <w:rFonts w:hint="eastAsia" w:ascii="Times New Roman" w:hAnsi="Times New Roman" w:eastAsia="宋体" w:cs="Times New Roman"/>
                <w:color w:val="auto"/>
                <w:sz w:val="24"/>
                <w:szCs w:val="24"/>
                <w:highlight w:val="none"/>
              </w:rPr>
              <w:t>能够</w:t>
            </w:r>
            <w:r>
              <w:rPr>
                <w:rFonts w:hint="default" w:ascii="Times New Roman" w:hAnsi="Times New Roman" w:eastAsia="宋体" w:cs="Times New Roman"/>
                <w:color w:val="auto"/>
                <w:sz w:val="24"/>
                <w:szCs w:val="24"/>
                <w:highlight w:val="none"/>
              </w:rPr>
              <w:t>满足《污水综合排放标准》（GB8978-1996）表4三级标准</w:t>
            </w:r>
            <w:r>
              <w:rPr>
                <w:rFonts w:hint="eastAsia" w:ascii="Times New Roman" w:hAnsi="Times New Roman" w:eastAsia="宋体" w:cs="Times New Roman"/>
                <w:color w:val="auto"/>
                <w:sz w:val="24"/>
                <w:szCs w:val="24"/>
                <w:highlight w:val="none"/>
                <w:lang w:eastAsia="zh-CN"/>
              </w:rPr>
              <w:t>及</w:t>
            </w:r>
            <w:r>
              <w:rPr>
                <w:rFonts w:hint="default" w:ascii="Times New Roman" w:hAnsi="Times New Roman" w:eastAsia="宋体" w:cs="Times New Roman"/>
                <w:color w:val="auto"/>
                <w:sz w:val="24"/>
                <w:szCs w:val="24"/>
                <w:highlight w:val="none"/>
              </w:rPr>
              <w:t>双龙镇污水处理厂进水水质要求</w:t>
            </w:r>
            <w:r>
              <w:rPr>
                <w:rFonts w:hint="eastAsia" w:ascii="Times New Roman" w:hAnsi="Times New Roman" w:eastAsia="宋体" w:cs="Times New Roman"/>
                <w:color w:val="auto"/>
                <w:sz w:val="24"/>
                <w:szCs w:val="24"/>
                <w:highlight w:val="none"/>
              </w:rPr>
              <w:t>，排入</w:t>
            </w:r>
            <w:r>
              <w:rPr>
                <w:rFonts w:hint="eastAsia" w:ascii="Times New Roman" w:hAnsi="Times New Roman" w:eastAsia="宋体" w:cs="Times New Roman"/>
                <w:color w:val="auto"/>
                <w:sz w:val="24"/>
                <w:szCs w:val="24"/>
                <w:highlight w:val="none"/>
                <w:lang w:eastAsia="zh-CN"/>
              </w:rPr>
              <w:t>园区</w:t>
            </w:r>
            <w:r>
              <w:rPr>
                <w:rFonts w:hint="eastAsia" w:ascii="Times New Roman" w:hAnsi="Times New Roman" w:eastAsia="宋体" w:cs="Times New Roman"/>
                <w:color w:val="auto"/>
                <w:sz w:val="24"/>
                <w:szCs w:val="24"/>
                <w:highlight w:val="none"/>
              </w:rPr>
              <w:t>污水管网，进入</w:t>
            </w:r>
            <w:r>
              <w:rPr>
                <w:rFonts w:hint="eastAsia" w:ascii="Times New Roman" w:hAnsi="Times New Roman" w:eastAsia="宋体" w:cs="Times New Roman"/>
                <w:color w:val="auto"/>
                <w:sz w:val="24"/>
                <w:szCs w:val="24"/>
                <w:highlight w:val="none"/>
                <w:lang w:eastAsia="zh-CN"/>
              </w:rPr>
              <w:t>双龙镇</w:t>
            </w:r>
            <w:r>
              <w:rPr>
                <w:rFonts w:hint="eastAsia" w:ascii="Times New Roman" w:hAnsi="Times New Roman" w:eastAsia="宋体" w:cs="Times New Roman"/>
                <w:color w:val="auto"/>
                <w:sz w:val="24"/>
                <w:szCs w:val="24"/>
                <w:highlight w:val="none"/>
              </w:rPr>
              <w:t>污水处理厂处理后，出水水质满足《城镇污水处理厂污染物排放标准(GB18918-2002)》一级A标准。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综上所述，拟建项目污水能够达标排放，</w:t>
            </w:r>
            <w:r>
              <w:rPr>
                <w:rFonts w:hint="eastAsia" w:ascii="Times New Roman" w:hAnsi="Times New Roman" w:eastAsia="宋体" w:cs="Times New Roman"/>
                <w:color w:val="auto"/>
                <w:sz w:val="24"/>
                <w:szCs w:val="24"/>
                <w:highlight w:val="none"/>
                <w:lang w:val="en-US" w:eastAsia="zh-CN"/>
              </w:rPr>
              <w:t>新建</w:t>
            </w:r>
            <w:r>
              <w:rPr>
                <w:rFonts w:hint="eastAsia" w:ascii="Times New Roman" w:hAnsi="Times New Roman" w:eastAsia="宋体" w:cs="Times New Roman"/>
                <w:color w:val="auto"/>
                <w:sz w:val="24"/>
                <w:szCs w:val="24"/>
                <w:highlight w:val="none"/>
                <w:lang w:eastAsia="zh-CN"/>
              </w:rPr>
              <w:t>废水处理站</w:t>
            </w:r>
            <w:r>
              <w:rPr>
                <w:rFonts w:hint="eastAsia" w:ascii="Times New Roman" w:hAnsi="Times New Roman" w:eastAsia="宋体" w:cs="Times New Roman"/>
                <w:color w:val="auto"/>
                <w:sz w:val="24"/>
                <w:szCs w:val="24"/>
                <w:highlight w:val="none"/>
              </w:rPr>
              <w:t>措施可行。</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default"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（4）依托双龙镇污水处理厂可行性分析</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双龙镇污水处理厂位于达州市通川区双龙镇骑龙村，总占地3533.51m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，污水厂</w:t>
            </w:r>
            <w:r>
              <w:rPr>
                <w:rFonts w:hint="eastAsia" w:ascii="Times New Roman" w:hAnsi="Times New Roman" w:eastAsia="宋体" w:cs="Times New Roman"/>
                <w:color w:val="auto"/>
                <w:sz w:val="24"/>
                <w:szCs w:val="24"/>
                <w:highlight w:val="none"/>
                <w:lang w:val="en-US" w:eastAsia="zh-CN"/>
              </w:rPr>
              <w:t>总设计规模为10000m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/d，其中一期</w:t>
            </w:r>
            <w:r>
              <w:rPr>
                <w:rFonts w:hint="eastAsia" w:ascii="Times New Roman" w:hAnsi="Times New Roman" w:eastAsia="宋体" w:cs="Times New Roman"/>
                <w:color w:val="auto"/>
                <w:sz w:val="24"/>
                <w:szCs w:val="24"/>
                <w:highlight w:val="none"/>
              </w:rPr>
              <w:t>设计总规模为1000m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服务范围主要为双龙镇镇区范围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至</w:t>
            </w:r>
            <w:r>
              <w:rPr>
                <w:rFonts w:hint="eastAsia" w:ascii="Times New Roman" w:hAnsi="Times New Roman" w:eastAsia="宋体" w:cs="Times New Roman"/>
                <w:color w:val="auto"/>
                <w:sz w:val="24"/>
                <w:szCs w:val="24"/>
                <w:highlight w:val="none"/>
              </w:rPr>
              <w:t>2022年，双龙镇污水处理厂</w:t>
            </w:r>
            <w:r>
              <w:rPr>
                <w:rFonts w:hint="eastAsia" w:ascii="Times New Roman" w:hAnsi="Times New Roman" w:eastAsia="宋体" w:cs="Times New Roman"/>
                <w:color w:val="auto"/>
                <w:sz w:val="24"/>
                <w:szCs w:val="24"/>
                <w:highlight w:val="none"/>
                <w:lang w:val="en-US" w:eastAsia="zh-CN"/>
              </w:rPr>
              <w:t>一期</w:t>
            </w:r>
            <w:r>
              <w:rPr>
                <w:rFonts w:hint="eastAsia" w:ascii="Times New Roman" w:hAnsi="Times New Roman" w:eastAsia="宋体" w:cs="Times New Roman"/>
                <w:color w:val="auto"/>
                <w:sz w:val="24"/>
                <w:szCs w:val="24"/>
                <w:highlight w:val="none"/>
              </w:rPr>
              <w:t>处理量已满负荷运行</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污水处理工艺采用PASG工艺，消毒采用二氧化氯消毒，污泥采用带式压滤脱水工艺。</w:t>
            </w:r>
            <w:r>
              <w:rPr>
                <w:rFonts w:hint="eastAsia" w:ascii="Times New Roman" w:hAnsi="Times New Roman" w:eastAsia="宋体" w:cs="Times New Roman"/>
                <w:color w:val="auto"/>
                <w:sz w:val="24"/>
                <w:szCs w:val="24"/>
                <w:highlight w:val="none"/>
              </w:rPr>
              <w:t>设计出水水质执行《城镇污水处理厂污染物排放标准》中的一级A标准，尾水排入双龙河。</w:t>
            </w:r>
          </w:p>
          <w:p>
            <w:pPr>
              <w:pStyle w:val="10"/>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eastAsia" w:hAnsi="Times New Roman" w:cs="Times New Roman"/>
                <w:bCs/>
                <w:color w:val="auto"/>
                <w:spacing w:val="0"/>
                <w:kern w:val="2"/>
                <w:sz w:val="24"/>
                <w:szCs w:val="24"/>
                <w:lang w:val="en-US" w:eastAsia="zh-CN" w:bidi="ar-SA"/>
              </w:rPr>
            </w:pPr>
            <w:r>
              <w:rPr>
                <w:rFonts w:hint="eastAsia" w:hAnsi="Times New Roman" w:cs="Times New Roman"/>
                <w:bCs/>
                <w:color w:val="auto"/>
                <w:spacing w:val="0"/>
                <w:kern w:val="2"/>
                <w:sz w:val="24"/>
                <w:szCs w:val="24"/>
                <w:lang w:val="en-US" w:eastAsia="zh-CN" w:bidi="ar-SA"/>
              </w:rPr>
              <w:t>双龙镇污水处理厂扩建工程正在建设中，扩建后废水处理规模可达10000m</w:t>
            </w:r>
            <w:r>
              <w:rPr>
                <w:rFonts w:hint="eastAsia" w:hAnsi="Times New Roman" w:cs="Times New Roman"/>
                <w:bCs/>
                <w:color w:val="auto"/>
                <w:spacing w:val="0"/>
                <w:kern w:val="2"/>
                <w:sz w:val="24"/>
                <w:szCs w:val="24"/>
                <w:vertAlign w:val="superscript"/>
                <w:lang w:val="en-US" w:eastAsia="zh-CN" w:bidi="ar-SA"/>
              </w:rPr>
              <w:t>3</w:t>
            </w:r>
            <w:r>
              <w:rPr>
                <w:rFonts w:hint="eastAsia" w:hAnsi="Times New Roman" w:cs="Times New Roman"/>
                <w:bCs/>
                <w:color w:val="auto"/>
                <w:spacing w:val="0"/>
                <w:kern w:val="2"/>
                <w:sz w:val="24"/>
                <w:szCs w:val="24"/>
                <w:lang w:val="en-US" w:eastAsia="zh-CN" w:bidi="ar-SA"/>
              </w:rPr>
              <w:t>/d，本项目废水平均排放量为37.727m3/d，仅占污水处理厂污染负荷的0.377%，扩建完成后污水处理厂的剩余处理能力完全能够满足项目需求。</w:t>
            </w:r>
          </w:p>
          <w:p>
            <w:pPr>
              <w:pStyle w:val="10"/>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Cs/>
                <w:color w:val="auto"/>
                <w:spacing w:val="0"/>
                <w:kern w:val="2"/>
                <w:sz w:val="24"/>
                <w:szCs w:val="24"/>
                <w:lang w:val="en-US" w:eastAsia="zh-CN" w:bidi="ar-SA"/>
              </w:rPr>
            </w:pPr>
            <w:r>
              <w:rPr>
                <w:rFonts w:hint="eastAsia" w:hAnsi="Times New Roman" w:cs="Times New Roman"/>
                <w:bCs/>
                <w:color w:val="auto"/>
                <w:spacing w:val="0"/>
                <w:kern w:val="2"/>
                <w:sz w:val="24"/>
                <w:szCs w:val="24"/>
                <w:lang w:val="en-US" w:eastAsia="zh-CN" w:bidi="ar-SA"/>
              </w:rPr>
              <w:t>本项目生活污水和含油废水经库内处理设施处理后，可生化性比较强，且不含重金属等污染物，不会对污水处理厂稳定运行产生不良影响。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u w:val="none"/>
                <w:lang w:val="en-US" w:eastAsia="zh-CN" w:bidi="ar-SA"/>
              </w:rPr>
            </w:pPr>
            <w:r>
              <w:rPr>
                <w:rFonts w:hint="eastAsia" w:hAnsi="Times New Roman" w:cs="Times New Roman"/>
                <w:bCs/>
                <w:color w:val="auto"/>
                <w:spacing w:val="0"/>
                <w:kern w:val="2"/>
                <w:sz w:val="24"/>
                <w:szCs w:val="24"/>
                <w:lang w:val="en-US" w:eastAsia="zh-CN" w:bidi="ar-SA"/>
              </w:rPr>
              <w:t>综上所述，本项目所采用的废水处理措施</w:t>
            </w:r>
            <w:r>
              <w:rPr>
                <w:rFonts w:hint="eastAsia" w:cs="Times New Roman"/>
                <w:bCs/>
                <w:color w:val="auto"/>
                <w:spacing w:val="0"/>
                <w:kern w:val="2"/>
                <w:sz w:val="24"/>
                <w:szCs w:val="24"/>
                <w:lang w:val="en-US" w:eastAsia="zh-CN" w:bidi="ar-SA"/>
              </w:rPr>
              <w:t>可行</w:t>
            </w:r>
            <w:r>
              <w:rPr>
                <w:rFonts w:hint="eastAsia" w:ascii="Times New Roman" w:hAnsi="Times New Roman" w:eastAsia="宋体" w:cs="Times New Roman"/>
                <w:bCs/>
                <w:color w:val="auto"/>
                <w:spacing w:val="0"/>
                <w:kern w:val="2"/>
                <w:sz w:val="24"/>
                <w:szCs w:val="24"/>
                <w:lang w:val="en-US" w:eastAsia="zh-CN" w:bidi="ar-SA"/>
              </w:rPr>
              <w:t>，不会对当地地表水环境造成明显影响。</w:t>
            </w:r>
          </w:p>
          <w:p>
            <w:pPr>
              <w:keepNext w:val="0"/>
              <w:keepLines w:val="0"/>
              <w:pageBreakBefore w:val="0"/>
              <w:widowControl w:val="0"/>
              <w:kinsoku/>
              <w:wordWrap/>
              <w:overflowPunct/>
              <w:topLinePunct w:val="0"/>
              <w:autoSpaceDE/>
              <w:autoSpaceDN/>
              <w:bidi w:val="0"/>
              <w:adjustRightInd w:val="0"/>
              <w:snapToGrid w:val="0"/>
              <w:spacing w:line="440" w:lineRule="exact"/>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eastAsia" w:ascii="Times New Roman" w:hAnsi="Times New Roman" w:cs="Times New Roman"/>
                <w:b/>
                <w:bCs w:val="0"/>
                <w:color w:val="auto"/>
                <w:spacing w:val="-10"/>
                <w:sz w:val="24"/>
                <w:szCs w:val="24"/>
                <w:lang w:val="en-US" w:eastAsia="zh-CN"/>
              </w:rPr>
              <w:t>3、地表水环境影响分析</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s="Times New Roman"/>
                <w:bCs/>
                <w:color w:val="auto"/>
                <w:spacing w:val="0"/>
                <w:sz w:val="24"/>
                <w:szCs w:val="24"/>
                <w:lang w:val="en-US" w:eastAsia="zh-CN"/>
              </w:rPr>
            </w:pPr>
            <w:r>
              <w:rPr>
                <w:rFonts w:hint="eastAsia" w:ascii="Times New Roman" w:hAnsi="Times New Roman" w:cs="Times New Roman"/>
                <w:bCs/>
                <w:color w:val="auto"/>
                <w:spacing w:val="0"/>
                <w:sz w:val="24"/>
                <w:szCs w:val="24"/>
                <w:lang w:val="en-US" w:eastAsia="zh-CN"/>
              </w:rPr>
              <w:t>本项目废水主要包括</w:t>
            </w:r>
            <w:r>
              <w:rPr>
                <w:rFonts w:hint="default"/>
                <w:color w:val="auto"/>
                <w:sz w:val="24"/>
                <w:szCs w:val="24"/>
                <w:lang w:val="en-US" w:eastAsia="zh-CN"/>
              </w:rPr>
              <w:t>地面冲洗水、夏季罐体降温喷淋用水、</w:t>
            </w:r>
            <w:r>
              <w:rPr>
                <w:rFonts w:hint="eastAsia"/>
                <w:color w:val="auto"/>
                <w:sz w:val="24"/>
                <w:szCs w:val="24"/>
                <w:lang w:val="en-US" w:eastAsia="zh-CN"/>
              </w:rPr>
              <w:t>初期雨水、生活污水及食堂废水</w:t>
            </w:r>
            <w:r>
              <w:rPr>
                <w:rFonts w:hint="eastAsia" w:ascii="Times New Roman" w:hAnsi="Times New Roman" w:cs="Times New Roman"/>
                <w:bCs/>
                <w:color w:val="auto"/>
                <w:spacing w:val="0"/>
                <w:sz w:val="24"/>
                <w:szCs w:val="24"/>
                <w:lang w:val="en-US" w:eastAsia="zh-CN"/>
              </w:rPr>
              <w:t>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s="Times New Roman"/>
                <w:bCs/>
                <w:color w:val="auto"/>
                <w:spacing w:val="0"/>
                <w:sz w:val="24"/>
                <w:szCs w:val="24"/>
                <w:lang w:val="en-US" w:eastAsia="zh-CN"/>
              </w:rPr>
              <w:t>（1）双龙镇污水处理厂扩建完成前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”处理后定期清掏外运</w:t>
            </w:r>
            <w:r>
              <w:rPr>
                <w:rFonts w:hint="eastAsia" w:ascii="Times New Roman" w:hAnsi="Times New Roman" w:cs="Times New Roman"/>
                <w:color w:val="auto"/>
                <w:sz w:val="24"/>
                <w:szCs w:val="24"/>
                <w:u w:val="none"/>
                <w:lang w:val="en-US" w:eastAsia="zh-CN" w:bidi="ar-SA"/>
              </w:rPr>
              <w:t>。</w:t>
            </w:r>
            <w:r>
              <w:rPr>
                <w:rFonts w:hint="default"/>
                <w:color w:val="auto"/>
                <w:sz w:val="24"/>
                <w:szCs w:val="24"/>
              </w:rPr>
              <w:t>夏季罐体降温喷淋水、油品装卸区地面冲洗水、初期雨水经</w:t>
            </w:r>
            <w:r>
              <w:rPr>
                <w:rFonts w:hint="eastAsia"/>
                <w:color w:val="auto"/>
                <w:sz w:val="24"/>
                <w:szCs w:val="24"/>
                <w:lang w:val="en-US" w:eastAsia="zh-CN"/>
              </w:rPr>
              <w:t>库区内</w:t>
            </w:r>
            <w:r>
              <w:rPr>
                <w:rFonts w:hint="eastAsia"/>
                <w:color w:val="auto"/>
                <w:sz w:val="24"/>
                <w:szCs w:val="24"/>
                <w:lang w:eastAsia="zh-CN"/>
              </w:rPr>
              <w:t>“</w:t>
            </w:r>
            <w:r>
              <w:rPr>
                <w:rFonts w:hint="eastAsia"/>
                <w:color w:val="auto"/>
                <w:sz w:val="24"/>
                <w:szCs w:val="24"/>
                <w:lang w:val="en-US" w:eastAsia="zh-CN"/>
              </w:rPr>
              <w:t>调节池+油水分离器+气浮+A/O+MBR膜池+检测池</w:t>
            </w:r>
            <w:r>
              <w:rPr>
                <w:rFonts w:hint="eastAsia"/>
                <w:color w:val="auto"/>
                <w:sz w:val="24"/>
                <w:szCs w:val="24"/>
                <w:lang w:eastAsia="zh-CN"/>
              </w:rPr>
              <w:t>”</w:t>
            </w:r>
            <w:r>
              <w:rPr>
                <w:rFonts w:hint="eastAsia"/>
                <w:color w:val="auto"/>
                <w:sz w:val="24"/>
                <w:szCs w:val="24"/>
                <w:lang w:val="en-US" w:eastAsia="zh-CN"/>
              </w:rPr>
              <w:t>处理后用于库区绿化、泼洒抑尘。</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s="Times New Roman"/>
                <w:bCs/>
                <w:color w:val="auto"/>
                <w:spacing w:val="0"/>
                <w:sz w:val="24"/>
                <w:szCs w:val="24"/>
                <w:lang w:val="en-US" w:eastAsia="zh-CN"/>
              </w:rPr>
              <w:t>双龙镇污水处理厂扩建完成前，无生活污水含油废水排至园区污水管网。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s="Times New Roman"/>
                <w:bCs/>
                <w:color w:val="auto"/>
                <w:spacing w:val="0"/>
                <w:sz w:val="24"/>
                <w:szCs w:val="24"/>
                <w:lang w:val="en-US" w:eastAsia="zh-CN"/>
              </w:rPr>
              <w:t>（2）双龙镇污水处理厂扩建完成后</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+地埋式生活污水处理装置（格栅+调节+A/O+混凝沉淀）”处理后排入</w:t>
            </w:r>
            <w:r>
              <w:rPr>
                <w:rFonts w:hint="default" w:ascii="Times New Roman" w:hAnsi="Times New Roman" w:eastAsia="宋体" w:cs="Times New Roman"/>
                <w:color w:val="auto"/>
                <w:sz w:val="24"/>
                <w:szCs w:val="24"/>
                <w:u w:val="none"/>
                <w:lang w:val="en-US" w:eastAsia="zh-CN" w:bidi="ar-SA"/>
              </w:rPr>
              <w:t>双龙镇污水处理厂处理后</w:t>
            </w:r>
            <w:r>
              <w:rPr>
                <w:rFonts w:hint="eastAsia" w:ascii="Times New Roman" w:hAnsi="Times New Roman" w:cs="Times New Roman"/>
                <w:color w:val="auto"/>
                <w:sz w:val="24"/>
                <w:szCs w:val="24"/>
                <w:u w:val="none"/>
                <w:lang w:val="en-US" w:eastAsia="zh-CN" w:bidi="ar-SA"/>
              </w:rPr>
              <w:t>进一步处理</w:t>
            </w:r>
            <w:r>
              <w:rPr>
                <w:rFonts w:hint="eastAsia" w:cs="Times New Roman"/>
                <w:bCs/>
                <w:color w:val="auto"/>
                <w:spacing w:val="0"/>
                <w:sz w:val="24"/>
                <w:szCs w:val="24"/>
                <w:lang w:val="en-US" w:eastAsia="zh-CN"/>
              </w:rPr>
              <w:t>；</w:t>
            </w:r>
            <w:r>
              <w:rPr>
                <w:rFonts w:hint="default"/>
                <w:color w:val="auto"/>
                <w:sz w:val="24"/>
                <w:szCs w:val="24"/>
              </w:rPr>
              <w:t>夏季罐体降温喷淋水、油品装卸区地面冲洗水、初期雨水经</w:t>
            </w:r>
            <w:r>
              <w:rPr>
                <w:rFonts w:hint="eastAsia"/>
                <w:color w:val="auto"/>
                <w:sz w:val="24"/>
                <w:szCs w:val="24"/>
                <w:lang w:val="en-US" w:eastAsia="zh-CN"/>
              </w:rPr>
              <w:t>库区内</w:t>
            </w:r>
            <w:r>
              <w:rPr>
                <w:rFonts w:hint="eastAsia"/>
                <w:color w:val="auto"/>
                <w:sz w:val="24"/>
                <w:szCs w:val="24"/>
                <w:lang w:eastAsia="zh-CN"/>
              </w:rPr>
              <w:t>“</w:t>
            </w:r>
            <w:r>
              <w:rPr>
                <w:rFonts w:hint="eastAsia"/>
                <w:color w:val="auto"/>
                <w:sz w:val="24"/>
                <w:szCs w:val="24"/>
                <w:lang w:val="en-US" w:eastAsia="zh-CN"/>
              </w:rPr>
              <w:t>调节池+油水分离器+过滤器+检测池</w:t>
            </w:r>
            <w:r>
              <w:rPr>
                <w:rFonts w:hint="eastAsia"/>
                <w:color w:val="auto"/>
                <w:sz w:val="24"/>
                <w:szCs w:val="24"/>
                <w:lang w:eastAsia="zh-CN"/>
              </w:rPr>
              <w:t>”</w:t>
            </w:r>
            <w:r>
              <w:rPr>
                <w:rFonts w:hint="eastAsia"/>
                <w:color w:val="auto"/>
                <w:sz w:val="24"/>
                <w:szCs w:val="24"/>
                <w:lang w:val="en-US" w:eastAsia="zh-CN"/>
              </w:rPr>
              <w:t>处理达标后排入</w:t>
            </w:r>
            <w:r>
              <w:rPr>
                <w:rFonts w:hint="default" w:ascii="Times New Roman" w:hAnsi="Times New Roman" w:eastAsia="宋体" w:cs="Times New Roman"/>
                <w:color w:val="auto"/>
                <w:sz w:val="24"/>
                <w:szCs w:val="24"/>
                <w:u w:val="none"/>
                <w:lang w:val="en-US" w:eastAsia="zh-CN" w:bidi="ar-SA"/>
              </w:rPr>
              <w:t>双龙镇污水处理厂处理后</w:t>
            </w:r>
            <w:r>
              <w:rPr>
                <w:rFonts w:hint="eastAsia" w:ascii="Times New Roman" w:hAnsi="Times New Roman" w:cs="Times New Roman"/>
                <w:color w:val="auto"/>
                <w:sz w:val="24"/>
                <w:szCs w:val="24"/>
                <w:u w:val="none"/>
                <w:lang w:val="en-US" w:eastAsia="zh-CN" w:bidi="ar-SA"/>
              </w:rPr>
              <w:t>进一步处理</w:t>
            </w:r>
            <w:r>
              <w:rPr>
                <w:rFonts w:hint="eastAsia" w:ascii="Times New Roman" w:hAnsi="Times New Roman" w:eastAsia="宋体" w:cs="Times New Roman"/>
                <w:bCs/>
                <w:color w:val="auto"/>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Times New Roman" w:hAnsi="Times New Roman" w:eastAsia="宋体"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1）污染物排放信息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rPr>
            </w:pPr>
            <w:r>
              <w:rPr>
                <w:rFonts w:hint="eastAsia"/>
                <w:color w:val="auto"/>
                <w:sz w:val="24"/>
              </w:rPr>
              <w:t>①废水类别、污染物及污染治理设施信息</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rPr>
            </w:pPr>
            <w:r>
              <w:rPr>
                <w:rFonts w:hint="eastAsia"/>
                <w:b/>
                <w:color w:val="auto"/>
                <w:sz w:val="24"/>
              </w:rPr>
              <w:t>表</w:t>
            </w:r>
            <w:r>
              <w:rPr>
                <w:rFonts w:hint="eastAsia"/>
                <w:b/>
                <w:color w:val="auto"/>
                <w:sz w:val="24"/>
                <w:lang w:val="en-US" w:eastAsia="zh-CN"/>
              </w:rPr>
              <w:t xml:space="preserve">4-19 </w:t>
            </w:r>
            <w:r>
              <w:rPr>
                <w:rFonts w:hint="eastAsia"/>
                <w:b/>
                <w:color w:val="auto"/>
                <w:sz w:val="24"/>
              </w:rPr>
              <w:t xml:space="preserve">   废水类别、污染物及污染治理设施信息</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746"/>
              <w:gridCol w:w="1105"/>
              <w:gridCol w:w="692"/>
              <w:gridCol w:w="486"/>
              <w:gridCol w:w="706"/>
              <w:gridCol w:w="748"/>
              <w:gridCol w:w="1095"/>
              <w:gridCol w:w="868"/>
              <w:gridCol w:w="882"/>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序号</w:t>
                  </w:r>
                </w:p>
              </w:tc>
              <w:tc>
                <w:tcPr>
                  <w:tcW w:w="4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废水类别</w:t>
                  </w:r>
                </w:p>
              </w:tc>
              <w:tc>
                <w:tcPr>
                  <w:tcW w:w="65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污染物种类</w:t>
                  </w:r>
                </w:p>
              </w:tc>
              <w:tc>
                <w:tcPr>
                  <w:tcW w:w="41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排放去向</w:t>
                  </w:r>
                </w:p>
              </w:tc>
              <w:tc>
                <w:tcPr>
                  <w:tcW w:w="2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排放规律</w:t>
                  </w:r>
                </w:p>
              </w:tc>
              <w:tc>
                <w:tcPr>
                  <w:tcW w:w="1521"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w:t>
                  </w:r>
                </w:p>
              </w:tc>
              <w:tc>
                <w:tcPr>
                  <w:tcW w:w="5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排放口编号</w:t>
                  </w:r>
                </w:p>
              </w:tc>
              <w:tc>
                <w:tcPr>
                  <w:tcW w:w="5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排放口设置是否符合要求</w:t>
                  </w:r>
                </w:p>
              </w:tc>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4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65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4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2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污染治理设施编号</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污染治理设施名称</w:t>
                  </w:r>
                </w:p>
              </w:tc>
              <w:tc>
                <w:tcPr>
                  <w:tcW w:w="6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污染治理设施工艺</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1</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lang w:eastAsia="zh-CN"/>
                    </w:rPr>
                    <w:t>含油废水</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COD</w:t>
                  </w:r>
                  <w:r>
                    <w:rPr>
                      <w:rFonts w:hint="eastAsia"/>
                      <w:color w:val="auto"/>
                      <w:spacing w:val="0"/>
                      <w:sz w:val="21"/>
                      <w:szCs w:val="21"/>
                    </w:rPr>
                    <w:t>、</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石油类</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2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color w:val="auto"/>
                      <w:spacing w:val="0"/>
                      <w:sz w:val="21"/>
                      <w:szCs w:val="21"/>
                      <w:lang w:val="en-US" w:eastAsia="zh-CN"/>
                    </w:rPr>
                  </w:pPr>
                  <w:r>
                    <w:rPr>
                      <w:rFonts w:hint="eastAsia"/>
                      <w:color w:val="auto"/>
                      <w:spacing w:val="0"/>
                      <w:sz w:val="21"/>
                      <w:szCs w:val="21"/>
                      <w:lang w:val="en-US" w:eastAsia="zh-CN"/>
                    </w:rPr>
                    <w:t>间断排放</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rPr>
                    <w:t>H</w:t>
                  </w:r>
                  <w:r>
                    <w:rPr>
                      <w:rFonts w:hint="eastAsia"/>
                      <w:color w:val="auto"/>
                      <w:spacing w:val="0"/>
                      <w:sz w:val="21"/>
                      <w:szCs w:val="21"/>
                      <w:lang w:val="en-US" w:eastAsia="zh-CN"/>
                    </w:rPr>
                    <w:t>1</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lang w:eastAsia="zh-CN"/>
                    </w:rPr>
                    <w:t>废水处理站</w:t>
                  </w:r>
                </w:p>
              </w:tc>
              <w:tc>
                <w:tcPr>
                  <w:tcW w:w="6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ascii="Times New Roman" w:hAnsi="Times New Roman" w:eastAsia="宋体" w:cs="Times New Roman"/>
                      <w:color w:val="auto"/>
                      <w:spacing w:val="0"/>
                      <w:sz w:val="21"/>
                      <w:szCs w:val="21"/>
                    </w:rPr>
                    <w:t>“</w:t>
                  </w:r>
                  <w:r>
                    <w:rPr>
                      <w:rFonts w:hint="eastAsia" w:ascii="Times New Roman" w:hAnsi="Times New Roman" w:eastAsia="宋体" w:cs="Times New Roman"/>
                      <w:color w:val="auto"/>
                      <w:spacing w:val="0"/>
                      <w:sz w:val="21"/>
                      <w:szCs w:val="21"/>
                      <w:lang w:val="en-US" w:eastAsia="zh-CN"/>
                    </w:rPr>
                    <w:t>调节池+油水分离器+过滤器+检测池</w:t>
                  </w:r>
                  <w:r>
                    <w:rPr>
                      <w:rFonts w:hint="eastAsia" w:ascii="Times New Roman" w:hAnsi="Times New Roman" w:eastAsia="宋体" w:cs="Times New Roman"/>
                      <w:color w:val="auto"/>
                      <w:spacing w:val="0"/>
                      <w:sz w:val="21"/>
                      <w:szCs w:val="21"/>
                    </w:rPr>
                    <w:t>”</w:t>
                  </w:r>
                </w:p>
              </w:tc>
              <w:tc>
                <w:tcPr>
                  <w:tcW w:w="5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val="en-US" w:eastAsia="zh-CN"/>
                    </w:rPr>
                  </w:pPr>
                  <w:r>
                    <w:rPr>
                      <w:rFonts w:hint="eastAsia"/>
                      <w:color w:val="auto"/>
                      <w:spacing w:val="0"/>
                      <w:sz w:val="21"/>
                      <w:szCs w:val="21"/>
                    </w:rPr>
                    <w:t>D</w:t>
                  </w:r>
                  <w:r>
                    <w:rPr>
                      <w:rFonts w:hint="eastAsia"/>
                      <w:color w:val="auto"/>
                      <w:spacing w:val="0"/>
                      <w:sz w:val="21"/>
                      <w:szCs w:val="21"/>
                      <w:lang w:val="en-US" w:eastAsia="zh-CN"/>
                    </w:rPr>
                    <w:t>W001</w:t>
                  </w:r>
                </w:p>
              </w:tc>
              <w:tc>
                <w:tcPr>
                  <w:tcW w:w="5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是</w:t>
                  </w:r>
                </w:p>
              </w:tc>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企业总排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val="en-US" w:eastAsia="zh-CN"/>
                    </w:rPr>
                  </w:pPr>
                  <w:r>
                    <w:rPr>
                      <w:rFonts w:hint="eastAsia"/>
                      <w:color w:val="auto"/>
                      <w:spacing w:val="0"/>
                      <w:sz w:val="21"/>
                      <w:szCs w:val="21"/>
                      <w:lang w:val="en-US" w:eastAsia="zh-CN"/>
                    </w:rPr>
                    <w:t>2</w:t>
                  </w:r>
                </w:p>
              </w:tc>
              <w:tc>
                <w:tcPr>
                  <w:tcW w:w="4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lang w:eastAsia="zh-CN"/>
                    </w:rPr>
                    <w:t>生活污水</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COD</w:t>
                  </w:r>
                  <w:r>
                    <w:rPr>
                      <w:rFonts w:hint="eastAsia"/>
                      <w:color w:val="auto"/>
                      <w:spacing w:val="0"/>
                      <w:sz w:val="21"/>
                      <w:szCs w:val="21"/>
                    </w:rPr>
                    <w:t>、</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动植物油</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2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rPr>
                    <w:t>连续排放</w:t>
                  </w:r>
                </w:p>
              </w:tc>
              <w:tc>
                <w:tcPr>
                  <w:tcW w:w="4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rPr>
                    <w:t>H</w:t>
                  </w:r>
                  <w:r>
                    <w:rPr>
                      <w:rFonts w:hint="eastAsia"/>
                      <w:color w:val="auto"/>
                      <w:spacing w:val="0"/>
                      <w:sz w:val="21"/>
                      <w:szCs w:val="21"/>
                      <w:lang w:val="en-US" w:eastAsia="zh-CN"/>
                    </w:rPr>
                    <w:t>2</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lang w:eastAsia="zh-CN"/>
                    </w:rPr>
                    <w:t>生活污水处理设施</w:t>
                  </w:r>
                </w:p>
              </w:tc>
              <w:tc>
                <w:tcPr>
                  <w:tcW w:w="6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lang w:eastAsia="zh-CN"/>
                    </w:rPr>
                    <w:t>“隔油池</w:t>
                  </w:r>
                  <w:r>
                    <w:rPr>
                      <w:rFonts w:hint="eastAsia"/>
                      <w:color w:val="auto"/>
                      <w:spacing w:val="0"/>
                      <w:sz w:val="21"/>
                      <w:szCs w:val="21"/>
                      <w:lang w:val="en-US" w:eastAsia="zh-CN"/>
                    </w:rPr>
                    <w:t>+化粪池</w:t>
                  </w:r>
                  <w:r>
                    <w:rPr>
                      <w:rFonts w:hint="eastAsia"/>
                      <w:color w:val="auto"/>
                      <w:spacing w:val="0"/>
                      <w:sz w:val="21"/>
                      <w:szCs w:val="21"/>
                      <w:lang w:eastAsia="zh-CN"/>
                    </w:rPr>
                    <w:t>”</w:t>
                  </w: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p>
              </w:tc>
            </w:tr>
          </w:tbl>
          <w:p>
            <w:pPr>
              <w:spacing w:line="440" w:lineRule="exact"/>
              <w:ind w:firstLine="480" w:firstLineChars="200"/>
              <w:rPr>
                <w:color w:val="auto"/>
                <w:sz w:val="24"/>
              </w:rPr>
            </w:pPr>
            <w:r>
              <w:rPr>
                <w:rFonts w:hint="eastAsia"/>
                <w:color w:val="auto"/>
                <w:sz w:val="24"/>
              </w:rPr>
              <w:t>②废水间接排放口基本情况</w:t>
            </w:r>
          </w:p>
          <w:p>
            <w:pPr>
              <w:spacing w:line="440" w:lineRule="exact"/>
              <w:ind w:firstLine="482" w:firstLineChars="200"/>
              <w:rPr>
                <w:b/>
                <w:color w:val="auto"/>
                <w:sz w:val="24"/>
              </w:rPr>
            </w:pPr>
            <w:r>
              <w:rPr>
                <w:rFonts w:hint="eastAsia"/>
                <w:b/>
                <w:color w:val="auto"/>
                <w:sz w:val="24"/>
              </w:rPr>
              <w:t>表</w:t>
            </w:r>
            <w:r>
              <w:rPr>
                <w:rFonts w:hint="eastAsia"/>
                <w:b/>
                <w:color w:val="auto"/>
                <w:sz w:val="24"/>
                <w:lang w:val="en-US" w:eastAsia="zh-CN"/>
              </w:rPr>
              <w:t>4-20</w:t>
            </w:r>
            <w:r>
              <w:rPr>
                <w:rFonts w:hint="eastAsia"/>
                <w:b/>
                <w:color w:val="auto"/>
                <w:sz w:val="24"/>
              </w:rPr>
              <w:t xml:space="preserve">   废水间接排放口基本情况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69"/>
              <w:gridCol w:w="1085"/>
              <w:gridCol w:w="720"/>
              <w:gridCol w:w="700"/>
              <w:gridCol w:w="587"/>
              <w:gridCol w:w="925"/>
              <w:gridCol w:w="763"/>
              <w:gridCol w:w="368"/>
              <w:gridCol w:w="85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序号</w:t>
                  </w:r>
                </w:p>
              </w:tc>
              <w:tc>
                <w:tcPr>
                  <w:tcW w:w="5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排污口编号</w:t>
                  </w:r>
                </w:p>
              </w:tc>
              <w:tc>
                <w:tcPr>
                  <w:tcW w:w="107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排放口地理坐标</w:t>
                  </w:r>
                </w:p>
              </w:tc>
              <w:tc>
                <w:tcPr>
                  <w:tcW w:w="4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废水排放量（万t/a）</w:t>
                  </w:r>
                </w:p>
              </w:tc>
              <w:tc>
                <w:tcPr>
                  <w:tcW w:w="35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排放去向</w:t>
                  </w:r>
                </w:p>
              </w:tc>
              <w:tc>
                <w:tcPr>
                  <w:tcW w:w="55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排放规律</w:t>
                  </w:r>
                </w:p>
              </w:tc>
              <w:tc>
                <w:tcPr>
                  <w:tcW w:w="45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间接排放时段</w:t>
                  </w:r>
                </w:p>
              </w:tc>
              <w:tc>
                <w:tcPr>
                  <w:tcW w:w="137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5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64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经度</w:t>
                  </w:r>
                </w:p>
              </w:tc>
              <w:tc>
                <w:tcPr>
                  <w:tcW w:w="42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纬度</w:t>
                  </w:r>
                </w:p>
              </w:tc>
              <w:tc>
                <w:tcPr>
                  <w:tcW w:w="4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35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55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4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21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名称</w:t>
                  </w:r>
                </w:p>
              </w:tc>
              <w:tc>
                <w:tcPr>
                  <w:tcW w:w="51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污染物种类</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1</w:t>
                  </w:r>
                </w:p>
              </w:tc>
              <w:tc>
                <w:tcPr>
                  <w:tcW w:w="51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pacing w:val="0"/>
                      <w:szCs w:val="21"/>
                      <w:lang w:val="en-US" w:eastAsia="zh-CN"/>
                    </w:rPr>
                  </w:pPr>
                  <w:r>
                    <w:rPr>
                      <w:rFonts w:hint="eastAsia"/>
                      <w:color w:val="auto"/>
                      <w:spacing w:val="0"/>
                      <w:szCs w:val="21"/>
                    </w:rPr>
                    <w:t>D</w:t>
                  </w:r>
                  <w:r>
                    <w:rPr>
                      <w:rFonts w:hint="eastAsia"/>
                      <w:color w:val="auto"/>
                      <w:spacing w:val="0"/>
                      <w:szCs w:val="21"/>
                      <w:lang w:val="en-US" w:eastAsia="zh-CN"/>
                    </w:rPr>
                    <w:t>W001</w:t>
                  </w:r>
                </w:p>
              </w:tc>
              <w:tc>
                <w:tcPr>
                  <w:tcW w:w="647" w:type="pct"/>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color w:val="auto"/>
                      <w:spacing w:val="0"/>
                      <w:szCs w:val="21"/>
                    </w:rPr>
                  </w:pPr>
                  <w:r>
                    <w:rPr>
                      <w:rFonts w:hint="eastAsia"/>
                      <w:color w:val="auto"/>
                      <w:spacing w:val="0"/>
                      <w:sz w:val="21"/>
                      <w:szCs w:val="21"/>
                      <w:highlight w:val="none"/>
                    </w:rPr>
                    <w:t>107.443039</w:t>
                  </w:r>
                </w:p>
              </w:tc>
              <w:tc>
                <w:tcPr>
                  <w:tcW w:w="429" w:type="pct"/>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color w:val="auto"/>
                      <w:spacing w:val="0"/>
                      <w:szCs w:val="21"/>
                    </w:rPr>
                  </w:pPr>
                  <w:r>
                    <w:rPr>
                      <w:rFonts w:hint="eastAsia"/>
                      <w:color w:val="auto"/>
                      <w:spacing w:val="0"/>
                      <w:sz w:val="21"/>
                      <w:szCs w:val="21"/>
                      <w:highlight w:val="none"/>
                    </w:rPr>
                    <w:t>31.296363</w:t>
                  </w:r>
                </w:p>
              </w:tc>
              <w:tc>
                <w:tcPr>
                  <w:tcW w:w="41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olor w:val="auto"/>
                      <w:lang w:val="en-US" w:eastAsia="zh-CN"/>
                    </w:rPr>
                  </w:pPr>
                  <w:r>
                    <w:rPr>
                      <w:rFonts w:hint="eastAsia"/>
                      <w:color w:val="auto"/>
                      <w:lang w:val="en-US" w:eastAsia="zh-CN"/>
                    </w:rPr>
                    <w:t>1.302445</w:t>
                  </w:r>
                </w:p>
              </w:tc>
              <w:tc>
                <w:tcPr>
                  <w:tcW w:w="350"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55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pacing w:val="0"/>
                      <w:szCs w:val="21"/>
                      <w:lang w:val="en-US" w:eastAsia="zh-CN"/>
                    </w:rPr>
                  </w:pPr>
                  <w:r>
                    <w:rPr>
                      <w:rFonts w:hint="eastAsia"/>
                      <w:color w:val="auto"/>
                      <w:spacing w:val="0"/>
                      <w:szCs w:val="21"/>
                      <w:lang w:val="en-US" w:eastAsia="zh-CN"/>
                    </w:rPr>
                    <w:t>间断排放，流量不稳定且无规律，但不属于冲击型排放</w:t>
                  </w:r>
                </w:p>
              </w:tc>
              <w:tc>
                <w:tcPr>
                  <w:tcW w:w="45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pacing w:val="0"/>
                      <w:szCs w:val="21"/>
                      <w:lang w:val="en-US" w:eastAsia="zh-CN"/>
                    </w:rPr>
                  </w:pPr>
                  <w:r>
                    <w:rPr>
                      <w:rFonts w:hint="eastAsia"/>
                      <w:color w:val="auto"/>
                      <w:spacing w:val="0"/>
                      <w:szCs w:val="21"/>
                      <w:lang w:val="en-US" w:eastAsia="zh-CN"/>
                    </w:rPr>
                    <w:t>--</w:t>
                  </w:r>
                </w:p>
              </w:tc>
              <w:tc>
                <w:tcPr>
                  <w:tcW w:w="219"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51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color w:val="auto"/>
                      <w:spacing w:val="0"/>
                      <w:szCs w:val="21"/>
                    </w:rPr>
                    <w:t>COD</w:t>
                  </w:r>
                  <w:r>
                    <w:rPr>
                      <w:rFonts w:hint="eastAsia"/>
                      <w:color w:val="auto"/>
                      <w:spacing w:val="0"/>
                      <w:szCs w:val="21"/>
                    </w:rPr>
                    <w:t>、</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color w:val="auto"/>
                      <w:spacing w:val="0"/>
                      <w:szCs w:val="21"/>
                    </w:rPr>
                    <w:t>BOD</w:t>
                  </w:r>
                  <w:r>
                    <w:rPr>
                      <w:rFonts w:hint="eastAsia"/>
                      <w:color w:val="auto"/>
                      <w:spacing w:val="0"/>
                      <w:szCs w:val="21"/>
                    </w:rPr>
                    <w:t>、</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color w:val="auto"/>
                      <w:spacing w:val="0"/>
                      <w:szCs w:val="21"/>
                    </w:rPr>
                    <w:t>SS</w:t>
                  </w:r>
                  <w:r>
                    <w:rPr>
                      <w:rFonts w:hint="eastAsia"/>
                      <w:color w:val="auto"/>
                      <w:spacing w:val="0"/>
                      <w:szCs w:val="21"/>
                    </w:rPr>
                    <w:t>、</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auto"/>
                      <w:spacing w:val="0"/>
                      <w:szCs w:val="21"/>
                      <w:lang w:eastAsia="zh-CN"/>
                    </w:rPr>
                  </w:pPr>
                  <w:r>
                    <w:rPr>
                      <w:color w:val="auto"/>
                      <w:spacing w:val="0"/>
                      <w:szCs w:val="21"/>
                    </w:rPr>
                    <w:t>氨氮</w:t>
                  </w:r>
                  <w:r>
                    <w:rPr>
                      <w:rFonts w:hint="eastAsia"/>
                      <w:color w:val="auto"/>
                      <w:spacing w:val="0"/>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auto"/>
                      <w:spacing w:val="0"/>
                      <w:szCs w:val="21"/>
                      <w:lang w:eastAsia="zh-CN"/>
                    </w:rPr>
                  </w:pPr>
                  <w:r>
                    <w:rPr>
                      <w:rFonts w:hint="eastAsia"/>
                      <w:color w:val="auto"/>
                      <w:spacing w:val="0"/>
                      <w:szCs w:val="21"/>
                      <w:lang w:eastAsia="zh-CN"/>
                    </w:rPr>
                    <w:t>石油类、动植物油</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500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300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400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45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20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olor w:val="auto"/>
                      <w:lang w:val="en-US" w:eastAsia="zh-CN"/>
                    </w:rPr>
                  </w:pPr>
                  <w:r>
                    <w:rPr>
                      <w:rFonts w:hint="eastAsia" w:ascii="Times New Roman" w:hAnsi="Times New Roman" w:eastAsia="宋体" w:cs="Times New Roman"/>
                      <w:color w:val="auto"/>
                      <w:spacing w:val="0"/>
                      <w:szCs w:val="21"/>
                      <w:lang w:val="en-US" w:eastAsia="zh-CN"/>
                    </w:rPr>
                    <w:t>10</w:t>
                  </w:r>
                </w:p>
              </w:tc>
            </w:tr>
          </w:tbl>
          <w:p>
            <w:pPr>
              <w:spacing w:line="440" w:lineRule="exact"/>
              <w:ind w:firstLine="480" w:firstLineChars="200"/>
              <w:rPr>
                <w:rFonts w:hint="default" w:eastAsia="宋体"/>
                <w:color w:val="auto"/>
                <w:sz w:val="24"/>
                <w:lang w:val="en-US" w:eastAsia="zh-CN"/>
              </w:rPr>
            </w:pPr>
            <w:r>
              <w:rPr>
                <w:rFonts w:hint="eastAsia"/>
                <w:color w:val="auto"/>
                <w:sz w:val="24"/>
              </w:rPr>
              <w:t>③废水污染物排放执行标准表</w:t>
            </w:r>
          </w:p>
          <w:p>
            <w:pPr>
              <w:spacing w:line="440" w:lineRule="exact"/>
              <w:ind w:firstLine="482" w:firstLineChars="200"/>
              <w:rPr>
                <w:b/>
                <w:color w:val="auto"/>
                <w:sz w:val="24"/>
              </w:rPr>
            </w:pPr>
            <w:r>
              <w:rPr>
                <w:rFonts w:hint="eastAsia"/>
                <w:b/>
                <w:color w:val="auto"/>
                <w:sz w:val="24"/>
              </w:rPr>
              <w:t>表</w:t>
            </w:r>
            <w:r>
              <w:rPr>
                <w:rFonts w:hint="eastAsia"/>
                <w:b/>
                <w:color w:val="auto"/>
                <w:sz w:val="24"/>
                <w:lang w:val="en-US" w:eastAsia="zh-CN"/>
              </w:rPr>
              <w:t>4-21</w:t>
            </w:r>
            <w:r>
              <w:rPr>
                <w:rFonts w:hint="eastAsia"/>
                <w:b/>
                <w:color w:val="auto"/>
                <w:sz w:val="24"/>
              </w:rPr>
              <w:t xml:space="preserve">    废水污染物排放执行标准表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80"/>
              <w:gridCol w:w="1997"/>
              <w:gridCol w:w="2554"/>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序号</w:t>
                  </w:r>
                </w:p>
              </w:tc>
              <w:tc>
                <w:tcPr>
                  <w:tcW w:w="5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排放口编号</w:t>
                  </w:r>
                </w:p>
              </w:tc>
              <w:tc>
                <w:tcPr>
                  <w:tcW w:w="119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污染物种类</w:t>
                  </w:r>
                </w:p>
              </w:tc>
              <w:tc>
                <w:tcPr>
                  <w:tcW w:w="280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5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5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名称</w:t>
                  </w:r>
                </w:p>
              </w:tc>
              <w:tc>
                <w:tcPr>
                  <w:tcW w:w="128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1</w:t>
                  </w:r>
                </w:p>
              </w:tc>
              <w:tc>
                <w:tcPr>
                  <w:tcW w:w="5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eastAsia="zh-CN"/>
                    </w:rPr>
                  </w:pPr>
                  <w:r>
                    <w:rPr>
                      <w:rFonts w:hint="eastAsia"/>
                      <w:color w:val="auto"/>
                      <w:szCs w:val="21"/>
                    </w:rPr>
                    <w:t>D</w:t>
                  </w:r>
                  <w:r>
                    <w:rPr>
                      <w:rFonts w:hint="eastAsia"/>
                      <w:color w:val="auto"/>
                      <w:szCs w:val="21"/>
                      <w:lang w:val="en-US" w:eastAsia="zh-CN"/>
                    </w:rPr>
                    <w:t>W001</w:t>
                  </w: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pacing w:val="-20"/>
                      <w:szCs w:val="21"/>
                      <w:lang w:val="en-US" w:eastAsia="zh-CN"/>
                    </w:rPr>
                  </w:pPr>
                  <w:r>
                    <w:rPr>
                      <w:rFonts w:hint="eastAsia"/>
                      <w:color w:val="auto"/>
                      <w:spacing w:val="-20"/>
                      <w:szCs w:val="21"/>
                      <w:lang w:val="en-US" w:eastAsia="zh-CN"/>
                    </w:rPr>
                    <w:t>COD</w:t>
                  </w:r>
                </w:p>
              </w:tc>
              <w:tc>
                <w:tcPr>
                  <w:tcW w:w="15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eastAsia="zh-CN"/>
                    </w:rPr>
                  </w:pPr>
                  <w:r>
                    <w:rPr>
                      <w:rFonts w:hint="default" w:ascii="Times New Roman" w:hAnsi="Times New Roman" w:eastAsia="宋体" w:cs="Times New Roman"/>
                      <w:color w:val="auto"/>
                      <w:szCs w:val="21"/>
                    </w:rPr>
                    <w:t>《污水综合排放标准》（GB8978-1996）表4三级标准</w:t>
                  </w:r>
                  <w:r>
                    <w:rPr>
                      <w:rFonts w:hint="eastAsia" w:ascii="Times New Roman" w:hAnsi="Times New Roman" w:eastAsia="宋体" w:cs="Times New Roman"/>
                      <w:color w:val="auto"/>
                      <w:szCs w:val="21"/>
                      <w:lang w:eastAsia="zh-CN"/>
                    </w:rPr>
                    <w:t>及</w:t>
                  </w:r>
                  <w:r>
                    <w:rPr>
                      <w:rFonts w:hint="default" w:ascii="Times New Roman" w:hAnsi="Times New Roman" w:eastAsia="宋体" w:cs="Times New Roman"/>
                      <w:color w:val="auto"/>
                      <w:szCs w:val="21"/>
                    </w:rPr>
                    <w:t>双龙镇污水处理厂进水水质</w:t>
                  </w:r>
                  <w:r>
                    <w:rPr>
                      <w:rFonts w:hint="eastAsia" w:ascii="Times New Roman" w:hAnsi="Times New Roman" w:eastAsia="宋体" w:cs="Times New Roman"/>
                      <w:color w:val="auto"/>
                      <w:szCs w:val="21"/>
                      <w:lang w:eastAsia="zh-CN"/>
                    </w:rPr>
                    <w:t>要求</w:t>
                  </w:r>
                </w:p>
              </w:tc>
              <w:tc>
                <w:tcPr>
                  <w:tcW w:w="128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napToGrid w:val="0"/>
                      <w:color w:val="auto"/>
                      <w:szCs w:val="21"/>
                      <w:lang w:val="en-US" w:eastAsia="zh-CN"/>
                    </w:rPr>
                  </w:pPr>
                  <w:r>
                    <w:rPr>
                      <w:rFonts w:hint="eastAsia"/>
                      <w:snapToGrid w:val="0"/>
                      <w:color w:val="auto"/>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val="en-US" w:eastAsia="zh-CN"/>
                    </w:rPr>
                  </w:pPr>
                  <w:r>
                    <w:rPr>
                      <w:rFonts w:hint="eastAsia"/>
                      <w:color w:val="auto"/>
                      <w:szCs w:val="21"/>
                      <w:lang w:val="en-US" w:eastAsia="zh-CN"/>
                    </w:rPr>
                    <w:t>2</w:t>
                  </w:r>
                </w:p>
              </w:tc>
              <w:tc>
                <w:tcPr>
                  <w:tcW w:w="5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pacing w:val="-20"/>
                      <w:szCs w:val="21"/>
                    </w:rPr>
                  </w:pPr>
                  <w:r>
                    <w:rPr>
                      <w:color w:val="auto"/>
                      <w:spacing w:val="-20"/>
                      <w:szCs w:val="21"/>
                    </w:rPr>
                    <w:t>BOD</w:t>
                  </w:r>
                </w:p>
              </w:tc>
              <w:tc>
                <w:tcPr>
                  <w:tcW w:w="15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rPr>
                  </w:pPr>
                  <w:r>
                    <w:rPr>
                      <w:rFonts w:hint="eastAsia"/>
                      <w:color w:val="auto"/>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val="en-US" w:eastAsia="zh-CN"/>
                    </w:rPr>
                  </w:pPr>
                  <w:r>
                    <w:rPr>
                      <w:rFonts w:hint="eastAsia"/>
                      <w:color w:val="auto"/>
                      <w:szCs w:val="21"/>
                      <w:lang w:val="en-US" w:eastAsia="zh-CN"/>
                    </w:rPr>
                    <w:t>3</w:t>
                  </w:r>
                </w:p>
              </w:tc>
              <w:tc>
                <w:tcPr>
                  <w:tcW w:w="5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pacing w:val="-20"/>
                      <w:szCs w:val="21"/>
                    </w:rPr>
                  </w:pPr>
                  <w:r>
                    <w:rPr>
                      <w:color w:val="auto"/>
                      <w:spacing w:val="-20"/>
                      <w:szCs w:val="21"/>
                    </w:rPr>
                    <w:t xml:space="preserve">SS </w:t>
                  </w:r>
                </w:p>
              </w:tc>
              <w:tc>
                <w:tcPr>
                  <w:tcW w:w="15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rPr>
                  </w:pPr>
                  <w:r>
                    <w:rPr>
                      <w:rFonts w:hint="eastAsia"/>
                      <w:color w:val="auto"/>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val="en-US" w:eastAsia="zh-CN"/>
                    </w:rPr>
                  </w:pPr>
                  <w:r>
                    <w:rPr>
                      <w:rFonts w:hint="eastAsia"/>
                      <w:color w:val="auto"/>
                      <w:szCs w:val="21"/>
                      <w:lang w:val="en-US" w:eastAsia="zh-CN"/>
                    </w:rPr>
                    <w:t>4</w:t>
                  </w:r>
                </w:p>
              </w:tc>
              <w:tc>
                <w:tcPr>
                  <w:tcW w:w="5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pacing w:val="-20"/>
                      <w:szCs w:val="21"/>
                    </w:rPr>
                  </w:pPr>
                  <w:r>
                    <w:rPr>
                      <w:color w:val="auto"/>
                      <w:spacing w:val="-20"/>
                      <w:szCs w:val="21"/>
                    </w:rPr>
                    <w:t>氨氮</w:t>
                  </w:r>
                </w:p>
              </w:tc>
              <w:tc>
                <w:tcPr>
                  <w:tcW w:w="15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rPr>
                  </w:pPr>
                  <w:r>
                    <w:rPr>
                      <w:rFonts w:hint="eastAsia"/>
                      <w:color w:val="auto"/>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lang w:val="en-US" w:eastAsia="zh-CN"/>
                    </w:rPr>
                  </w:pPr>
                  <w:r>
                    <w:rPr>
                      <w:rFonts w:hint="eastAsia"/>
                      <w:color w:val="auto"/>
                      <w:szCs w:val="21"/>
                      <w:lang w:val="en-US" w:eastAsia="zh-CN"/>
                    </w:rPr>
                    <w:t>5</w:t>
                  </w:r>
                </w:p>
              </w:tc>
              <w:tc>
                <w:tcPr>
                  <w:tcW w:w="5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kern w:val="2"/>
                      <w:sz w:val="21"/>
                      <w:szCs w:val="21"/>
                      <w:lang w:val="pt-BR" w:eastAsia="zh-CN" w:bidi="ar-SA"/>
                    </w:rPr>
                  </w:pPr>
                  <w:r>
                    <w:rPr>
                      <w:rFonts w:hint="eastAsia" w:cs="Times New Roman"/>
                      <w:color w:val="auto"/>
                      <w:kern w:val="2"/>
                      <w:sz w:val="21"/>
                      <w:szCs w:val="21"/>
                      <w:lang w:val="pt-BR" w:eastAsia="zh-CN" w:bidi="ar-SA"/>
                    </w:rPr>
                    <w:t>动植物油</w:t>
                  </w:r>
                </w:p>
              </w:tc>
              <w:tc>
                <w:tcPr>
                  <w:tcW w:w="15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eastAsia="zh-CN"/>
                    </w:rPr>
                  </w:pPr>
                  <w:r>
                    <w:rPr>
                      <w:rFonts w:hint="eastAsia"/>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lang w:val="en-US" w:eastAsia="zh-CN"/>
                    </w:rPr>
                  </w:pPr>
                  <w:r>
                    <w:rPr>
                      <w:rFonts w:hint="eastAsia" w:eastAsia="宋体"/>
                      <w:color w:val="auto"/>
                      <w:szCs w:val="21"/>
                      <w:lang w:val="en-US" w:eastAsia="zh-CN"/>
                    </w:rPr>
                    <w:t>6</w:t>
                  </w:r>
                </w:p>
              </w:tc>
              <w:tc>
                <w:tcPr>
                  <w:tcW w:w="5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lang w:val="pt-BR" w:eastAsia="zh-CN" w:bidi="ar-SA"/>
                    </w:rPr>
                  </w:pPr>
                  <w:r>
                    <w:rPr>
                      <w:rFonts w:hint="eastAsia" w:cs="Times New Roman"/>
                      <w:color w:val="auto"/>
                      <w:kern w:val="2"/>
                      <w:sz w:val="21"/>
                      <w:szCs w:val="21"/>
                      <w:lang w:val="pt-BR" w:eastAsia="zh-CN" w:bidi="ar-SA"/>
                    </w:rPr>
                    <w:t>石油类</w:t>
                  </w:r>
                </w:p>
              </w:tc>
              <w:tc>
                <w:tcPr>
                  <w:tcW w:w="15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lang w:val="en-US" w:eastAsia="zh-CN"/>
                    </w:rPr>
                  </w:pPr>
                  <w:r>
                    <w:rPr>
                      <w:rFonts w:hint="eastAsia"/>
                      <w:color w:val="auto"/>
                      <w:szCs w:val="21"/>
                      <w:lang w:val="en-US" w:eastAsia="zh-CN"/>
                    </w:rPr>
                    <w:t>20</w:t>
                  </w:r>
                </w:p>
              </w:tc>
            </w:tr>
          </w:tbl>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color w:val="auto"/>
                <w:sz w:val="24"/>
              </w:rPr>
            </w:pPr>
            <w:r>
              <w:rPr>
                <w:rFonts w:hint="eastAsia"/>
                <w:color w:val="auto"/>
                <w:sz w:val="24"/>
              </w:rPr>
              <w:t>④废水污染物排放信息表</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b/>
                <w:color w:val="auto"/>
                <w:sz w:val="24"/>
              </w:rPr>
            </w:pPr>
            <w:r>
              <w:rPr>
                <w:rFonts w:hint="eastAsia"/>
                <w:b/>
                <w:color w:val="auto"/>
                <w:sz w:val="24"/>
              </w:rPr>
              <w:t>表</w:t>
            </w:r>
            <w:r>
              <w:rPr>
                <w:rFonts w:hint="eastAsia"/>
                <w:b/>
                <w:color w:val="auto"/>
                <w:sz w:val="24"/>
                <w:lang w:val="en-US" w:eastAsia="zh-CN"/>
              </w:rPr>
              <w:t>4-22</w:t>
            </w:r>
            <w:r>
              <w:rPr>
                <w:rFonts w:hint="eastAsia"/>
                <w:b/>
                <w:color w:val="auto"/>
                <w:sz w:val="24"/>
              </w:rPr>
              <w:t xml:space="preserve">   废水污染物排放信息表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57"/>
              <w:gridCol w:w="1903"/>
              <w:gridCol w:w="1545"/>
              <w:gridCol w:w="1674"/>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1136"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p>
              </w:tc>
              <w:tc>
                <w:tcPr>
                  <w:tcW w:w="922"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c>
                <w:tcPr>
                  <w:tcW w:w="999"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日排放量（</w:t>
                  </w:r>
                  <w:r>
                    <w:rPr>
                      <w:rFonts w:hint="eastAsia" w:cs="Times New Roman"/>
                      <w:color w:val="auto"/>
                      <w:sz w:val="21"/>
                      <w:szCs w:val="21"/>
                      <w:lang w:val="en-US" w:eastAsia="zh-CN"/>
                    </w:rPr>
                    <w:t>kg</w:t>
                  </w:r>
                  <w:r>
                    <w:rPr>
                      <w:rFonts w:hint="default" w:ascii="Times New Roman" w:hAnsi="Times New Roman" w:cs="Times New Roman"/>
                      <w:color w:val="auto"/>
                      <w:sz w:val="21"/>
                      <w:szCs w:val="21"/>
                    </w:rPr>
                    <w:t>/d）</w:t>
                  </w:r>
                </w:p>
              </w:tc>
              <w:tc>
                <w:tcPr>
                  <w:tcW w:w="999"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1" w:type="pct"/>
                  <w:vMerge w:val="restar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val="en-US" w:eastAsia="zh-CN"/>
                    </w:rPr>
                    <w:t>A001</w:t>
                  </w:r>
                </w:p>
              </w:tc>
              <w:tc>
                <w:tcPr>
                  <w:tcW w:w="1136"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COD</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3.773 </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1"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spacing w:val="-20"/>
                      <w:sz w:val="21"/>
                      <w:szCs w:val="21"/>
                      <w:lang w:val="en-US" w:eastAsia="zh-CN"/>
                    </w:rPr>
                  </w:pPr>
                  <w:r>
                    <w:rPr>
                      <w:rFonts w:hint="default" w:ascii="Times New Roman" w:hAnsi="Times New Roman" w:cs="Times New Roman"/>
                      <w:color w:val="auto"/>
                      <w:spacing w:val="-20"/>
                      <w:sz w:val="21"/>
                      <w:szCs w:val="21"/>
                    </w:rPr>
                    <w:t>BOD</w:t>
                  </w:r>
                  <w:r>
                    <w:rPr>
                      <w:rFonts w:hint="eastAsia" w:ascii="Times New Roman" w:hAnsi="Times New Roman" w:cs="Times New Roman"/>
                      <w:color w:val="auto"/>
                      <w:spacing w:val="-20"/>
                      <w:sz w:val="21"/>
                      <w:szCs w:val="21"/>
                      <w:vertAlign w:val="subscript"/>
                      <w:lang w:val="en-US" w:eastAsia="zh-CN"/>
                    </w:rPr>
                    <w:t>5</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71"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SS</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2.641 </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71"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氨氮</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0.377 </w:t>
                  </w:r>
                </w:p>
              </w:tc>
              <w:tc>
                <w:tcPr>
                  <w:tcW w:w="1697"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1"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pt-BR" w:eastAsia="zh-CN" w:bidi="ar-SA"/>
                    </w:rPr>
                    <w:t>动植物油</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w:t>
                  </w:r>
                </w:p>
              </w:tc>
              <w:tc>
                <w:tcPr>
                  <w:tcW w:w="16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16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71" w:type="pct"/>
                  <w:vMerge w:val="continue"/>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石油类</w:t>
                  </w:r>
                </w:p>
              </w:tc>
              <w:tc>
                <w:tcPr>
                  <w:tcW w:w="156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c>
                <w:tcPr>
                  <w:tcW w:w="16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0.166 </w:t>
                  </w:r>
                </w:p>
              </w:tc>
              <w:tc>
                <w:tcPr>
                  <w:tcW w:w="16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Cs/>
                <w:color w:val="auto"/>
                <w:spacing w:val="-10"/>
                <w:sz w:val="24"/>
                <w:szCs w:val="24"/>
                <w:lang w:val="en-US" w:eastAsia="zh-CN"/>
              </w:rPr>
            </w:pPr>
            <w:r>
              <w:rPr>
                <w:rFonts w:hint="eastAsia"/>
                <w:color w:val="auto"/>
                <w:sz w:val="24"/>
                <w:szCs w:val="24"/>
                <w:highlight w:val="none"/>
              </w:rPr>
              <w:t>由上表可知，拟建项目废水污染物排放量分别为：COD</w:t>
            </w:r>
            <w:r>
              <w:rPr>
                <w:rFonts w:hint="eastAsia"/>
                <w:color w:val="auto"/>
                <w:sz w:val="24"/>
                <w:szCs w:val="24"/>
                <w:highlight w:val="none"/>
                <w:lang w:val="en-US" w:eastAsia="zh-CN"/>
              </w:rPr>
              <w:t>1.320</w:t>
            </w:r>
            <w:r>
              <w:rPr>
                <w:rFonts w:hint="eastAsia"/>
                <w:color w:val="auto"/>
                <w:sz w:val="24"/>
                <w:szCs w:val="24"/>
                <w:highlight w:val="none"/>
              </w:rPr>
              <w:t>t/a，氨氮</w:t>
            </w:r>
            <w:r>
              <w:rPr>
                <w:rFonts w:hint="eastAsia"/>
                <w:color w:val="auto"/>
                <w:sz w:val="24"/>
                <w:szCs w:val="24"/>
                <w:highlight w:val="none"/>
                <w:lang w:val="en-US" w:eastAsia="zh-CN"/>
              </w:rPr>
              <w:t>0.132</w:t>
            </w:r>
            <w:r>
              <w:rPr>
                <w:rFonts w:hint="eastAsia"/>
                <w:color w:val="auto"/>
                <w:sz w:val="24"/>
                <w:szCs w:val="24"/>
                <w:highlight w:val="none"/>
              </w:rPr>
              <w:t>t/a</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default"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（3）废水监测计划</w:t>
            </w:r>
          </w:p>
          <w:p>
            <w:pPr>
              <w:pStyle w:val="50"/>
              <w:ind w:firstLine="482"/>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4-23</w:t>
            </w:r>
            <w:r>
              <w:rPr>
                <w:rFonts w:cs="Times New Roman"/>
                <w:color w:val="auto"/>
                <w:highlight w:val="none"/>
              </w:rPr>
              <w:t xml:space="preserve">    环境监测工作计划</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1253"/>
              <w:gridCol w:w="5195"/>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1"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类别</w:t>
                  </w:r>
                </w:p>
              </w:tc>
              <w:tc>
                <w:tcPr>
                  <w:tcW w:w="748"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监测位置</w:t>
                  </w:r>
                </w:p>
              </w:tc>
              <w:tc>
                <w:tcPr>
                  <w:tcW w:w="310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监测因子</w:t>
                  </w:r>
                </w:p>
              </w:tc>
              <w:tc>
                <w:tcPr>
                  <w:tcW w:w="848"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1" w:type="pct"/>
                  <w:vMerge w:val="restart"/>
                  <w:noWrap w:val="0"/>
                  <w:vAlign w:val="center"/>
                </w:tcPr>
                <w:p>
                  <w:pPr>
                    <w:keepNext w:val="0"/>
                    <w:keepLines w:val="0"/>
                    <w:widowControl/>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废水</w:t>
                  </w:r>
                </w:p>
              </w:tc>
              <w:tc>
                <w:tcPr>
                  <w:tcW w:w="748" w:type="pct"/>
                  <w:vMerge w:val="restar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lang w:eastAsia="zh-CN"/>
                    </w:rPr>
                    <w:t>厂区总排口</w:t>
                  </w:r>
                </w:p>
              </w:tc>
              <w:tc>
                <w:tcPr>
                  <w:tcW w:w="310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化学需氧量、氨氮</w:t>
                  </w:r>
                </w:p>
              </w:tc>
              <w:tc>
                <w:tcPr>
                  <w:tcW w:w="848"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1" w:type="pct"/>
                  <w:vMerge w:val="continue"/>
                  <w:noWrap w:val="0"/>
                  <w:vAlign w:val="center"/>
                </w:tcPr>
                <w:p>
                  <w:pPr>
                    <w:keepNext w:val="0"/>
                    <w:keepLines w:val="0"/>
                    <w:widowControl/>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748" w:type="pct"/>
                  <w:vMerge w:val="continue"/>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310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pH、悬浮物、石油类</w:t>
                  </w:r>
                  <w:r>
                    <w:rPr>
                      <w:rFonts w:hint="eastAsia"/>
                      <w:color w:val="auto"/>
                      <w:sz w:val="21"/>
                      <w:szCs w:val="21"/>
                      <w:highlight w:val="none"/>
                      <w:lang w:val="en-US" w:eastAsia="zh-CN"/>
                    </w:rPr>
                    <w:t>、动植物油</w:t>
                  </w:r>
                </w:p>
              </w:tc>
              <w:tc>
                <w:tcPr>
                  <w:tcW w:w="848"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301" w:type="pct"/>
                  <w:vMerge w:val="continue"/>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highlight w:val="none"/>
                    </w:rPr>
                  </w:pPr>
                </w:p>
              </w:tc>
              <w:tc>
                <w:tcPr>
                  <w:tcW w:w="748" w:type="pct"/>
                  <w:vMerge w:val="continue"/>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highlight w:val="none"/>
                    </w:rPr>
                  </w:pPr>
                </w:p>
              </w:tc>
              <w:tc>
                <w:tcPr>
                  <w:tcW w:w="31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总有机碳</w:t>
                  </w:r>
                </w:p>
              </w:tc>
              <w:tc>
                <w:tcPr>
                  <w:tcW w:w="8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1次/年</w:t>
                  </w:r>
                </w:p>
              </w:tc>
            </w:tr>
          </w:tbl>
          <w:p>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42" w:firstLineChars="200"/>
              <w:jc w:val="both"/>
              <w:textAlignment w:val="auto"/>
              <w:rPr>
                <w:rFonts w:hint="default" w:ascii="Times New Roman" w:hAnsi="Times New Roman" w:cs="Times New Roman"/>
                <w:b/>
                <w:bCs w:val="0"/>
                <w:color w:val="auto"/>
                <w:spacing w:val="-10"/>
                <w:sz w:val="24"/>
                <w:szCs w:val="24"/>
                <w:lang w:val="en-US" w:eastAsia="zh-CN"/>
              </w:rPr>
            </w:pPr>
            <w:r>
              <w:rPr>
                <w:rFonts w:hint="eastAsia" w:cs="Times New Roman"/>
                <w:b/>
                <w:bCs w:val="0"/>
                <w:color w:val="auto"/>
                <w:spacing w:val="-10"/>
                <w:sz w:val="24"/>
                <w:szCs w:val="24"/>
                <w:lang w:val="en-US" w:eastAsia="zh-CN"/>
              </w:rPr>
              <w:t>4</w:t>
            </w:r>
            <w:r>
              <w:rPr>
                <w:rFonts w:hint="default" w:ascii="Times New Roman" w:hAnsi="Times New Roman" w:cs="Times New Roman"/>
                <w:b/>
                <w:bCs w:val="0"/>
                <w:color w:val="auto"/>
                <w:spacing w:val="-10"/>
                <w:sz w:val="24"/>
                <w:szCs w:val="24"/>
                <w:lang w:val="en-US" w:eastAsia="zh-CN"/>
              </w:rPr>
              <w:t>、噪声</w:t>
            </w:r>
          </w:p>
          <w:p>
            <w:pPr>
              <w:keepNext w:val="0"/>
              <w:keepLines w:val="0"/>
              <w:pageBreakBefore w:val="0"/>
              <w:widowControl/>
              <w:kinsoku/>
              <w:wordWrap/>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1）项目主要噪声源</w:t>
            </w:r>
          </w:p>
          <w:p>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both"/>
              <w:textAlignment w:val="auto"/>
              <w:rPr>
                <w:rFonts w:hint="default" w:ascii="Times New Roman" w:hAnsi="Times New Roman" w:cs="Times New Roman"/>
                <w:color w:val="auto"/>
                <w:sz w:val="24"/>
                <w:szCs w:val="24"/>
                <w:highlight w:val="none"/>
              </w:rPr>
            </w:pPr>
            <w:r>
              <w:rPr>
                <w:rFonts w:hint="eastAsia"/>
                <w:color w:val="auto"/>
                <w:sz w:val="24"/>
                <w:szCs w:val="24"/>
                <w:lang w:eastAsia="zh-CN"/>
              </w:rPr>
              <w:t>火车卸油</w:t>
            </w:r>
            <w:r>
              <w:rPr>
                <w:rFonts w:hint="default"/>
                <w:color w:val="auto"/>
                <w:sz w:val="24"/>
                <w:szCs w:val="24"/>
              </w:rPr>
              <w:t>作业噪声源主要为</w:t>
            </w:r>
            <w:r>
              <w:rPr>
                <w:rFonts w:hint="eastAsia"/>
                <w:color w:val="auto"/>
                <w:sz w:val="24"/>
                <w:szCs w:val="24"/>
                <w:lang w:eastAsia="zh-CN"/>
              </w:rPr>
              <w:t>卸油泵</w:t>
            </w:r>
            <w:r>
              <w:rPr>
                <w:rFonts w:hint="default"/>
                <w:color w:val="auto"/>
                <w:sz w:val="24"/>
                <w:szCs w:val="24"/>
              </w:rPr>
              <w:t>噪声，其噪声级在90dB</w:t>
            </w:r>
            <w:r>
              <w:rPr>
                <w:rFonts w:hint="eastAsia"/>
                <w:color w:val="auto"/>
                <w:sz w:val="24"/>
                <w:szCs w:val="24"/>
                <w:lang w:val="en-US" w:eastAsia="zh-CN"/>
              </w:rPr>
              <w:t>(</w:t>
            </w:r>
            <w:r>
              <w:rPr>
                <w:rFonts w:hint="default"/>
                <w:color w:val="auto"/>
                <w:sz w:val="24"/>
                <w:szCs w:val="24"/>
              </w:rPr>
              <w:t>A)；发油区汽车行驶噪声源强在70dB(A)左右；</w:t>
            </w:r>
            <w:r>
              <w:rPr>
                <w:rFonts w:hint="eastAsia"/>
                <w:color w:val="auto"/>
                <w:sz w:val="24"/>
                <w:szCs w:val="24"/>
                <w:lang w:eastAsia="zh-CN"/>
              </w:rPr>
              <w:t>装车</w:t>
            </w:r>
            <w:r>
              <w:rPr>
                <w:rFonts w:hint="default"/>
                <w:color w:val="auto"/>
                <w:sz w:val="24"/>
                <w:szCs w:val="24"/>
              </w:rPr>
              <w:t>泵噪声源强在85dB(A)左右；辅助生产区噪声源主要是消防用水及污水池的两个泵房，其噪声源强在85dB(A)左右</w:t>
            </w:r>
            <w:r>
              <w:rPr>
                <w:rFonts w:hint="default" w:ascii="Times New Roman" w:hAnsi="Times New Roman" w:cs="Times New Roman"/>
                <w:color w:val="auto"/>
                <w:kern w:val="0"/>
                <w:sz w:val="24"/>
                <w:szCs w:val="24"/>
                <w:highlight w:val="none"/>
                <w:lang w:bidi="ar"/>
              </w:rPr>
              <w:t>。针对以上噪声源，提出以下措施：</w:t>
            </w:r>
            <w:r>
              <w:rPr>
                <w:rFonts w:hint="default" w:ascii="Times New Roman" w:hAnsi="Times New Roman" w:cs="Times New Roman"/>
                <w:color w:val="auto"/>
                <w:sz w:val="24"/>
                <w:szCs w:val="24"/>
                <w:highlight w:val="none"/>
              </w:rPr>
              <w:t>选用低噪声设备</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加装基础减振</w:t>
            </w:r>
            <w:r>
              <w:rPr>
                <w:rFonts w:hint="eastAsia" w:cs="Times New Roman"/>
                <w:color w:val="auto"/>
                <w:sz w:val="24"/>
                <w:szCs w:val="24"/>
                <w:highlight w:val="none"/>
                <w:lang w:eastAsia="zh-CN"/>
              </w:rPr>
              <w:t>，加装消声器，加装</w:t>
            </w:r>
            <w:r>
              <w:rPr>
                <w:rFonts w:hint="default" w:ascii="Times New Roman" w:hAnsi="Times New Roman" w:cs="Times New Roman"/>
                <w:color w:val="auto"/>
                <w:sz w:val="24"/>
                <w:szCs w:val="24"/>
                <w:highlight w:val="none"/>
              </w:rPr>
              <w:t>隔声罩</w:t>
            </w:r>
            <w:r>
              <w:rPr>
                <w:rFonts w:hint="eastAsia" w:cs="Times New Roman"/>
                <w:color w:val="auto"/>
                <w:sz w:val="24"/>
                <w:szCs w:val="24"/>
                <w:highlight w:val="none"/>
                <w:lang w:eastAsia="zh-CN"/>
              </w:rPr>
              <w:t>，建筑物隔声</w:t>
            </w:r>
            <w:r>
              <w:rPr>
                <w:rFonts w:hint="default" w:ascii="Times New Roman" w:hAnsi="Times New Roman" w:cs="Times New Roman"/>
                <w:color w:val="auto"/>
                <w:sz w:val="24"/>
                <w:szCs w:val="24"/>
                <w:highlight w:val="none"/>
              </w:rPr>
              <w:t>等措施。拟建项目噪声源强及治理措施见下表。</w:t>
            </w:r>
          </w:p>
          <w:p>
            <w:pPr>
              <w:keepNext w:val="0"/>
              <w:keepLines w:val="0"/>
              <w:pageBreakBefore w:val="0"/>
              <w:kinsoku/>
              <w:wordWrap/>
              <w:overflowPunct/>
              <w:topLinePunct w:val="0"/>
              <w:autoSpaceDE/>
              <w:autoSpaceDN/>
              <w:bidi w:val="0"/>
              <w:spacing w:line="440" w:lineRule="exact"/>
              <w:ind w:left="0" w:leftChars="0"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4-24</w:t>
            </w:r>
            <w:r>
              <w:rPr>
                <w:rFonts w:hint="default" w:ascii="Times New Roman" w:hAnsi="Times New Roman" w:cs="Times New Roman"/>
                <w:b/>
                <w:bCs/>
                <w:color w:val="auto"/>
                <w:sz w:val="24"/>
                <w:szCs w:val="24"/>
                <w:highlight w:val="none"/>
              </w:rPr>
              <w:t xml:space="preserve">    主要噪声源强及治理措施     </w:t>
            </w:r>
            <w:r>
              <w:rPr>
                <w:rFonts w:hint="default" w:ascii="Times New Roman" w:hAnsi="Times New Roman" w:cs="Times New Roman"/>
                <w:b/>
                <w:color w:val="auto"/>
                <w:sz w:val="24"/>
                <w:szCs w:val="24"/>
                <w:highlight w:val="none"/>
              </w:rPr>
              <w:t>单位：dB（A）</w:t>
            </w:r>
          </w:p>
          <w:tbl>
            <w:tblPr>
              <w:tblStyle w:val="20"/>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21"/>
              <w:gridCol w:w="422"/>
              <w:gridCol w:w="565"/>
              <w:gridCol w:w="1095"/>
              <w:gridCol w:w="398"/>
              <w:gridCol w:w="364"/>
              <w:gridCol w:w="364"/>
              <w:gridCol w:w="509"/>
              <w:gridCol w:w="691"/>
              <w:gridCol w:w="660"/>
              <w:gridCol w:w="554"/>
              <w:gridCol w:w="665"/>
              <w:gridCol w:w="662"/>
              <w:gridCol w:w="69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535" w:hRule="atLeast"/>
                <w:jc w:val="center"/>
              </w:trPr>
              <w:tc>
                <w:tcPr>
                  <w:tcW w:w="24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序号</w:t>
                  </w:r>
                </w:p>
              </w:tc>
              <w:tc>
                <w:tcPr>
                  <w:tcW w:w="24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建筑物名称</w:t>
                  </w:r>
                </w:p>
              </w:tc>
              <w:tc>
                <w:tcPr>
                  <w:tcW w:w="24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声源名称</w:t>
                  </w:r>
                </w:p>
              </w:tc>
              <w:tc>
                <w:tcPr>
                  <w:tcW w:w="33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声功率级/dB(A）</w:t>
                  </w:r>
                </w:p>
              </w:tc>
              <w:tc>
                <w:tcPr>
                  <w:tcW w:w="6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声源控制措施</w:t>
                  </w:r>
                </w:p>
              </w:tc>
              <w:tc>
                <w:tcPr>
                  <w:tcW w:w="23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数量台/套)</w:t>
                  </w:r>
                </w:p>
              </w:tc>
              <w:tc>
                <w:tcPr>
                  <w:tcW w:w="728"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空间相对位置/m</w:t>
                  </w:r>
                </w:p>
              </w:tc>
              <w:tc>
                <w:tcPr>
                  <w:tcW w:w="40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距室内边界距离/m</w:t>
                  </w:r>
                </w:p>
              </w:tc>
              <w:tc>
                <w:tcPr>
                  <w:tcW w:w="38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室内边界声级/dB(A）</w:t>
                  </w:r>
                </w:p>
              </w:tc>
              <w:tc>
                <w:tcPr>
                  <w:tcW w:w="32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运行时段</w:t>
                  </w:r>
                </w:p>
              </w:tc>
              <w:tc>
                <w:tcPr>
                  <w:tcW w:w="39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建筑物插入损失/dB(A）</w:t>
                  </w:r>
                </w:p>
              </w:tc>
              <w:tc>
                <w:tcPr>
                  <w:tcW w:w="79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4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4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4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33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6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3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w:t>
                  </w: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Y</w:t>
                  </w:r>
                </w:p>
              </w:tc>
              <w:tc>
                <w:tcPr>
                  <w:tcW w:w="29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Z</w:t>
                  </w:r>
                </w:p>
              </w:tc>
              <w:tc>
                <w:tcPr>
                  <w:tcW w:w="40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8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9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声压级/dB(A）</w:t>
                  </w:r>
                </w:p>
              </w:tc>
              <w:tc>
                <w:tcPr>
                  <w:tcW w:w="41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1</w:t>
                  </w:r>
                </w:p>
              </w:tc>
              <w:tc>
                <w:tcPr>
                  <w:tcW w:w="2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卸车泵棚</w:t>
                  </w:r>
                </w:p>
              </w:tc>
              <w:tc>
                <w:tcPr>
                  <w:tcW w:w="2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卸油泵</w:t>
                  </w:r>
                </w:p>
              </w:tc>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644"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rPr>
                    <w:t>选用低噪声设备、加装基础减振、</w:t>
                  </w:r>
                  <w:r>
                    <w:rPr>
                      <w:rFonts w:hint="eastAsia" w:cs="Times New Roman"/>
                      <w:color w:val="auto"/>
                      <w:sz w:val="21"/>
                      <w:szCs w:val="21"/>
                      <w:highlight w:val="none"/>
                      <w:lang w:val="en-US" w:eastAsia="zh-CN"/>
                    </w:rPr>
                    <w:t>建筑物隔声、柔性软连接</w:t>
                  </w:r>
                </w:p>
              </w:tc>
              <w:tc>
                <w:tcPr>
                  <w:tcW w:w="2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8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32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全天24小时</w:t>
                  </w: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41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发油区</w:t>
                  </w:r>
                </w:p>
              </w:tc>
              <w:tc>
                <w:tcPr>
                  <w:tcW w:w="2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装车泵</w:t>
                  </w:r>
                </w:p>
              </w:tc>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644"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lang w:val="en-US" w:eastAsia="zh-CN"/>
                    </w:rPr>
                  </w:pPr>
                </w:p>
              </w:tc>
              <w:tc>
                <w:tcPr>
                  <w:tcW w:w="2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若干</w:t>
                  </w: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8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3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1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发油区</w:t>
                  </w:r>
                </w:p>
              </w:tc>
              <w:tc>
                <w:tcPr>
                  <w:tcW w:w="2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进出车辆</w:t>
                  </w:r>
                </w:p>
              </w:tc>
              <w:tc>
                <w:tcPr>
                  <w:tcW w:w="33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64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减速、禁止鸣笛</w:t>
                  </w:r>
                </w:p>
              </w:tc>
              <w:tc>
                <w:tcPr>
                  <w:tcW w:w="2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若干</w:t>
                  </w: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32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9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412"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pageBreakBefore w:val="0"/>
              <w:widowControl w:val="0"/>
              <w:tabs>
                <w:tab w:val="left" w:pos="0"/>
              </w:tabs>
              <w:kinsoku/>
              <w:wordWrap/>
              <w:overflowPunct/>
              <w:topLinePunct w:val="0"/>
              <w:autoSpaceDE/>
              <w:autoSpaceDN/>
              <w:bidi w:val="0"/>
              <w:spacing w:line="440" w:lineRule="exact"/>
              <w:ind w:left="0" w:leftChars="0" w:firstLine="480" w:firstLineChars="200"/>
              <w:textAlignment w:val="auto"/>
              <w:outlineLvl w:val="2"/>
              <w:rPr>
                <w:rFonts w:hint="default" w:ascii="Times New Roman" w:hAnsi="Times New Roman" w:eastAsia="宋体" w:cs="Times New Roman"/>
                <w:color w:val="auto"/>
                <w:sz w:val="24"/>
                <w:szCs w:val="24"/>
                <w:highlight w:val="none"/>
              </w:rPr>
            </w:pPr>
            <w:r>
              <w:rPr>
                <w:color w:val="auto"/>
                <w:sz w:val="24"/>
                <w:highlight w:val="none"/>
              </w:rPr>
              <w:t>（2）</w:t>
            </w:r>
            <w:r>
              <w:rPr>
                <w:rFonts w:hint="default" w:ascii="Times New Roman" w:hAnsi="Times New Roman" w:eastAsia="宋体" w:cs="Times New Roman"/>
                <w:color w:val="auto"/>
                <w:sz w:val="24"/>
                <w:szCs w:val="24"/>
                <w:highlight w:val="none"/>
              </w:rPr>
              <w:t>预测范围、点位、因子</w:t>
            </w:r>
          </w:p>
          <w:p>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噪声预测范围为：厂界外1m；</w:t>
            </w:r>
          </w:p>
          <w:p>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预测点位：厂界四周各设1个点位，共</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个预测点位。</w:t>
            </w:r>
          </w:p>
          <w:p>
            <w:pPr>
              <w:adjustRightInd w:val="0"/>
              <w:snapToGrid w:val="0"/>
              <w:spacing w:line="440" w:lineRule="exact"/>
              <w:ind w:firstLine="480" w:firstLineChars="200"/>
              <w:rPr>
                <w:color w:val="auto"/>
                <w:sz w:val="24"/>
                <w:highlight w:val="none"/>
              </w:rPr>
            </w:pPr>
            <w:r>
              <w:rPr>
                <w:rFonts w:hint="default" w:ascii="Times New Roman" w:hAnsi="Times New Roman" w:eastAsia="宋体" w:cs="Times New Roman"/>
                <w:color w:val="auto"/>
                <w:sz w:val="24"/>
                <w:szCs w:val="24"/>
                <w:highlight w:val="none"/>
              </w:rPr>
              <w:t>噪声预测因子：等效连续A声级。</w:t>
            </w:r>
          </w:p>
          <w:p>
            <w:pPr>
              <w:adjustRightInd w:val="0"/>
              <w:snapToGrid w:val="0"/>
              <w:spacing w:line="440" w:lineRule="exact"/>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w:t>
            </w:r>
            <w:r>
              <w:rPr>
                <w:rFonts w:hint="default" w:ascii="Times New Roman" w:hAnsi="Times New Roman" w:eastAsia="宋体" w:cs="Times New Roman"/>
                <w:color w:val="auto"/>
                <w:sz w:val="24"/>
                <w:szCs w:val="24"/>
                <w:highlight w:val="none"/>
              </w:rPr>
              <w:t>预测模式及参数选取</w:t>
            </w:r>
          </w:p>
          <w:p>
            <w:pPr>
              <w:pStyle w:val="57"/>
              <w:ind w:firstLine="480"/>
              <w:rPr>
                <w:color w:val="auto"/>
                <w:highlight w:val="none"/>
              </w:rPr>
            </w:pPr>
            <w:r>
              <w:rPr>
                <w:rFonts w:hint="default" w:ascii="Times New Roman" w:hAnsi="Times New Roman" w:eastAsia="宋体" w:cs="Times New Roman"/>
                <w:color w:val="auto"/>
                <w:sz w:val="24"/>
                <w:szCs w:val="24"/>
                <w:highlight w:val="none"/>
              </w:rPr>
              <w:t>预测模式采用《环境影响评价技术导则 声环境》（HJ2.4-20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）中推荐的模型。</w:t>
            </w:r>
            <w:r>
              <w:rPr>
                <w:rFonts w:hint="eastAsia" w:ascii="Times New Roman" w:hAnsi="Times New Roman" w:eastAsia="宋体" w:cs="Times New Roman"/>
                <w:color w:val="auto"/>
                <w:sz w:val="24"/>
                <w:szCs w:val="24"/>
                <w:highlight w:val="none"/>
                <w:lang w:val="en-US" w:eastAsia="zh-CN"/>
              </w:rPr>
              <w:t>设备噪声</w:t>
            </w:r>
            <w:r>
              <w:rPr>
                <w:color w:val="auto"/>
                <w:highlight w:val="none"/>
              </w:rPr>
              <w:t>可近似视为点声源处理，本次评价采用点源衰减模式，预测计算声源至受声点的几何发散衰减，计算中不考虑声屏障、空气吸收等衰减。预测公式如下：</w:t>
            </w:r>
          </w:p>
          <w:p>
            <w:pPr>
              <w:pStyle w:val="57"/>
              <w:ind w:firstLine="480"/>
              <w:rPr>
                <w:color w:val="auto"/>
                <w:highlight w:val="none"/>
              </w:rPr>
            </w:pPr>
            <w:r>
              <w:rPr>
                <w:color w:val="auto"/>
                <w:highlight w:val="none"/>
              </w:rPr>
              <w:t>Lr=Lr</w:t>
            </w:r>
            <w:r>
              <w:rPr>
                <w:color w:val="auto"/>
                <w:highlight w:val="none"/>
                <w:vertAlign w:val="subscript"/>
              </w:rPr>
              <w:t>0</w:t>
            </w:r>
            <w:r>
              <w:rPr>
                <w:color w:val="auto"/>
                <w:highlight w:val="none"/>
              </w:rPr>
              <w:t>－20lg（r/r</w:t>
            </w:r>
            <w:r>
              <w:rPr>
                <w:color w:val="auto"/>
                <w:highlight w:val="none"/>
                <w:vertAlign w:val="subscript"/>
              </w:rPr>
              <w:t>0</w:t>
            </w:r>
            <w:r>
              <w:rPr>
                <w:color w:val="auto"/>
                <w:highlight w:val="none"/>
              </w:rPr>
              <w:t>）</w:t>
            </w:r>
          </w:p>
          <w:p>
            <w:pPr>
              <w:pStyle w:val="57"/>
              <w:ind w:firstLine="480"/>
              <w:rPr>
                <w:color w:val="auto"/>
                <w:highlight w:val="none"/>
              </w:rPr>
            </w:pPr>
            <w:r>
              <w:rPr>
                <w:color w:val="auto"/>
                <w:highlight w:val="none"/>
              </w:rPr>
              <w:t>式中：Lr——距声源r处的A声压级，dB（A）；</w:t>
            </w:r>
          </w:p>
          <w:p>
            <w:pPr>
              <w:pStyle w:val="57"/>
              <w:ind w:firstLine="480"/>
              <w:rPr>
                <w:color w:val="auto"/>
                <w:highlight w:val="none"/>
              </w:rPr>
            </w:pPr>
            <w:r>
              <w:rPr>
                <w:color w:val="auto"/>
                <w:highlight w:val="none"/>
              </w:rPr>
              <w:t xml:space="preserve">      Lr</w:t>
            </w:r>
            <w:r>
              <w:rPr>
                <w:color w:val="auto"/>
                <w:highlight w:val="none"/>
                <w:vertAlign w:val="subscript"/>
              </w:rPr>
              <w:t>0</w:t>
            </w:r>
            <w:r>
              <w:rPr>
                <w:color w:val="auto"/>
                <w:highlight w:val="none"/>
              </w:rPr>
              <w:t>——距声源r</w:t>
            </w:r>
            <w:r>
              <w:rPr>
                <w:color w:val="auto"/>
                <w:highlight w:val="none"/>
                <w:vertAlign w:val="subscript"/>
              </w:rPr>
              <w:t>0</w:t>
            </w:r>
            <w:r>
              <w:rPr>
                <w:color w:val="auto"/>
                <w:highlight w:val="none"/>
              </w:rPr>
              <w:t>处的A声压级，dB（A）；</w:t>
            </w:r>
          </w:p>
          <w:p>
            <w:pPr>
              <w:pStyle w:val="57"/>
              <w:ind w:firstLine="480"/>
              <w:rPr>
                <w:color w:val="auto"/>
                <w:highlight w:val="none"/>
              </w:rPr>
            </w:pPr>
            <w:r>
              <w:rPr>
                <w:color w:val="auto"/>
                <w:highlight w:val="none"/>
              </w:rPr>
              <w:t xml:space="preserve">      r ——预测点与声源的距离，m；</w:t>
            </w:r>
          </w:p>
          <w:p>
            <w:pPr>
              <w:pStyle w:val="57"/>
              <w:ind w:firstLine="480"/>
              <w:rPr>
                <w:color w:val="auto"/>
                <w:highlight w:val="none"/>
              </w:rPr>
            </w:pPr>
            <w:r>
              <w:rPr>
                <w:color w:val="auto"/>
                <w:highlight w:val="none"/>
              </w:rPr>
              <w:t xml:space="preserve">      r</w:t>
            </w:r>
            <w:r>
              <w:rPr>
                <w:color w:val="auto"/>
                <w:highlight w:val="none"/>
                <w:vertAlign w:val="subscript"/>
              </w:rPr>
              <w:t>0</w:t>
            </w:r>
            <w:r>
              <w:rPr>
                <w:color w:val="auto"/>
                <w:highlight w:val="none"/>
              </w:rPr>
              <w:t>——监测设备噪声时的距离，m。</w:t>
            </w:r>
          </w:p>
          <w:p>
            <w:pPr>
              <w:pStyle w:val="57"/>
              <w:ind w:firstLine="480"/>
              <w:rPr>
                <w:color w:val="auto"/>
                <w:highlight w:val="none"/>
              </w:rPr>
            </w:pPr>
            <w:r>
              <w:rPr>
                <w:color w:val="auto"/>
                <w:highlight w:val="none"/>
              </w:rPr>
              <w:t>利用上述公式，预测计算主要</w:t>
            </w:r>
            <w:r>
              <w:rPr>
                <w:rFonts w:hint="eastAsia"/>
                <w:color w:val="auto"/>
                <w:highlight w:val="none"/>
                <w:lang w:eastAsia="zh-CN"/>
              </w:rPr>
              <w:t>设备</w:t>
            </w:r>
            <w:r>
              <w:rPr>
                <w:color w:val="auto"/>
                <w:highlight w:val="none"/>
              </w:rPr>
              <w:t>在不同距离处的衰减值。</w:t>
            </w:r>
          </w:p>
          <w:p>
            <w:pPr>
              <w:pStyle w:val="57"/>
              <w:ind w:firstLine="480"/>
              <w:jc w:val="center"/>
              <w:rPr>
                <w:rFonts w:hint="eastAsia" w:eastAsia="宋体"/>
                <w:color w:val="auto"/>
                <w:highlight w:val="none"/>
                <w:vertAlign w:val="baseline"/>
                <w:lang w:val="en-US" w:eastAsia="zh-CN"/>
              </w:rPr>
            </w:pPr>
            <w:r>
              <w:rPr>
                <w:rFonts w:hint="eastAsia"/>
                <w:color w:val="auto"/>
                <w:highlight w:val="none"/>
                <w:lang w:val="en-US" w:eastAsia="zh-CN"/>
              </w:rPr>
              <w:t>Li=L</w:t>
            </w:r>
            <w:r>
              <w:rPr>
                <w:color w:val="auto"/>
                <w:highlight w:val="none"/>
                <w:vertAlign w:val="subscript"/>
              </w:rPr>
              <w:t>0</w:t>
            </w:r>
            <w:r>
              <w:rPr>
                <w:rFonts w:hint="eastAsia"/>
                <w:color w:val="auto"/>
                <w:highlight w:val="none"/>
                <w:vertAlign w:val="baseline"/>
                <w:lang w:val="en-US" w:eastAsia="zh-CN"/>
              </w:rPr>
              <w:t>-</w:t>
            </w:r>
            <w:r>
              <w:rPr>
                <w:rFonts w:ascii="Cambria Math" w:hAnsi="Cambria Math" w:cs="Cambria Math"/>
                <w:color w:val="auto"/>
                <w:highlight w:val="none"/>
              </w:rPr>
              <w:t>△</w:t>
            </w:r>
            <w:r>
              <w:rPr>
                <w:color w:val="auto"/>
                <w:highlight w:val="none"/>
              </w:rPr>
              <w:t>L</w:t>
            </w:r>
          </w:p>
          <w:p>
            <w:pPr>
              <w:pStyle w:val="57"/>
              <w:ind w:firstLine="480"/>
              <w:rPr>
                <w:color w:val="auto"/>
                <w:highlight w:val="none"/>
              </w:rPr>
            </w:pPr>
            <w:r>
              <w:rPr>
                <w:color w:val="auto"/>
                <w:highlight w:val="none"/>
              </w:rPr>
              <w:t>式中：L</w:t>
            </w:r>
            <w:r>
              <w:rPr>
                <w:color w:val="auto"/>
                <w:highlight w:val="none"/>
                <w:vertAlign w:val="subscript"/>
              </w:rPr>
              <w:t>i</w:t>
            </w:r>
            <w:r>
              <w:rPr>
                <w:color w:val="auto"/>
                <w:highlight w:val="none"/>
              </w:rPr>
              <w:t>— 距声源R</w:t>
            </w:r>
            <w:r>
              <w:rPr>
                <w:color w:val="auto"/>
                <w:highlight w:val="none"/>
                <w:vertAlign w:val="subscript"/>
              </w:rPr>
              <w:t>im</w:t>
            </w:r>
            <w:r>
              <w:rPr>
                <w:color w:val="auto"/>
                <w:highlight w:val="none"/>
              </w:rPr>
              <w:t>处的</w:t>
            </w:r>
            <w:r>
              <w:rPr>
                <w:rFonts w:hint="eastAsia"/>
                <w:color w:val="auto"/>
                <w:highlight w:val="none"/>
                <w:lang w:eastAsia="zh-CN"/>
              </w:rPr>
              <w:t>设备</w:t>
            </w:r>
            <w:r>
              <w:rPr>
                <w:color w:val="auto"/>
                <w:highlight w:val="none"/>
              </w:rPr>
              <w:t>噪声预测值，dB（A）；</w:t>
            </w:r>
          </w:p>
          <w:p>
            <w:pPr>
              <w:pStyle w:val="57"/>
              <w:ind w:firstLine="480"/>
              <w:rPr>
                <w:color w:val="auto"/>
                <w:highlight w:val="none"/>
              </w:rPr>
            </w:pPr>
            <w:r>
              <w:rPr>
                <w:color w:val="auto"/>
                <w:highlight w:val="none"/>
              </w:rPr>
              <w:t xml:space="preserve">      L</w:t>
            </w:r>
            <w:r>
              <w:rPr>
                <w:color w:val="auto"/>
                <w:highlight w:val="none"/>
                <w:vertAlign w:val="subscript"/>
              </w:rPr>
              <w:t>0</w:t>
            </w:r>
            <w:r>
              <w:rPr>
                <w:color w:val="auto"/>
                <w:highlight w:val="none"/>
              </w:rPr>
              <w:t>— 距声源R</w:t>
            </w:r>
            <w:r>
              <w:rPr>
                <w:color w:val="auto"/>
                <w:highlight w:val="none"/>
                <w:vertAlign w:val="subscript"/>
              </w:rPr>
              <w:t>0m</w:t>
            </w:r>
            <w:r>
              <w:rPr>
                <w:color w:val="auto"/>
                <w:highlight w:val="none"/>
              </w:rPr>
              <w:t>处的</w:t>
            </w:r>
            <w:r>
              <w:rPr>
                <w:rFonts w:hint="eastAsia"/>
                <w:color w:val="auto"/>
                <w:highlight w:val="none"/>
                <w:lang w:eastAsia="zh-CN"/>
              </w:rPr>
              <w:t>设备</w:t>
            </w:r>
            <w:r>
              <w:rPr>
                <w:color w:val="auto"/>
                <w:highlight w:val="none"/>
              </w:rPr>
              <w:t>噪声级，dB（A）；</w:t>
            </w:r>
          </w:p>
          <w:p>
            <w:pPr>
              <w:pStyle w:val="57"/>
              <w:ind w:firstLine="1200" w:firstLineChars="500"/>
              <w:rPr>
                <w:color w:val="auto"/>
                <w:highlight w:val="none"/>
              </w:rPr>
            </w:pPr>
            <w:r>
              <w:rPr>
                <w:rFonts w:ascii="Cambria Math" w:hAnsi="Cambria Math" w:cs="Cambria Math"/>
                <w:color w:val="auto"/>
                <w:highlight w:val="none"/>
              </w:rPr>
              <w:t>△</w:t>
            </w:r>
            <w:r>
              <w:rPr>
                <w:color w:val="auto"/>
                <w:highlight w:val="none"/>
              </w:rPr>
              <w:t>L— 障碍物、植被、空气等产生的附加衰减量。</w:t>
            </w:r>
          </w:p>
          <w:p>
            <w:pPr>
              <w:pStyle w:val="57"/>
              <w:ind w:firstLine="480"/>
              <w:rPr>
                <w:color w:val="auto"/>
                <w:highlight w:val="none"/>
              </w:rPr>
            </w:pPr>
            <w:r>
              <w:rPr>
                <w:color w:val="auto"/>
                <w:highlight w:val="none"/>
              </w:rPr>
              <w:t>对于多台</w:t>
            </w:r>
            <w:r>
              <w:rPr>
                <w:rFonts w:hint="eastAsia"/>
                <w:color w:val="auto"/>
                <w:highlight w:val="none"/>
                <w:lang w:eastAsia="zh-CN"/>
              </w:rPr>
              <w:t>设备</w:t>
            </w:r>
            <w:r>
              <w:rPr>
                <w:color w:val="auto"/>
                <w:highlight w:val="none"/>
              </w:rPr>
              <w:t>对某个预测点的影响，应按下式进行声级叠加：</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color w:val="auto"/>
                <w:highlight w:val="none"/>
              </w:rPr>
            </w:pPr>
            <w:r>
              <w:rPr>
                <w:color w:val="auto"/>
                <w:sz w:val="24"/>
              </w:rPr>
              <w:drawing>
                <wp:inline distT="0" distB="0" distL="114300" distR="114300">
                  <wp:extent cx="1314450" cy="476250"/>
                  <wp:effectExtent l="0" t="0" r="0" b="0"/>
                  <wp:docPr id="2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5"/>
                          <pic:cNvPicPr>
                            <a:picLocks noChangeAspect="1"/>
                          </pic:cNvPicPr>
                        </pic:nvPicPr>
                        <pic:blipFill>
                          <a:blip r:embed="rId44"/>
                          <a:stretch>
                            <a:fillRect/>
                          </a:stretch>
                        </pic:blipFill>
                        <pic:spPr>
                          <a:xfrm>
                            <a:off x="0" y="0"/>
                            <a:ext cx="1314450" cy="476250"/>
                          </a:xfrm>
                          <a:prstGeom prst="rect">
                            <a:avLst/>
                          </a:prstGeom>
                          <a:noFill/>
                          <a:ln>
                            <a:noFill/>
                          </a:ln>
                        </pic:spPr>
                      </pic:pic>
                    </a:graphicData>
                  </a:graphic>
                </wp:inline>
              </w:drawing>
            </w:r>
          </w:p>
          <w:p>
            <w:pPr>
              <w:spacing w:line="440" w:lineRule="exact"/>
              <w:ind w:firstLine="480" w:firstLineChars="200"/>
              <w:outlineLvl w:val="2"/>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w:t>
            </w:r>
            <w:r>
              <w:rPr>
                <w:rFonts w:hint="eastAsia" w:ascii="Times New Roman" w:hAnsi="Times New Roman" w:eastAsia="宋体"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rPr>
              <w:t>）预测结果与评价</w:t>
            </w:r>
          </w:p>
          <w:p>
            <w:pPr>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本次预测采用环安科技在线模型计算平台中噪声环境评价Online V4进行计算，噪声环境评价Online V4根据《环境影响评价技术导则声环境HJ2.4-2021》构建，由噪声环境评价Online V3升级而来，可计算工业声源、公路声源、铁路声源，计算噪声在声屏障、绿化林带和气象的声传播过程，给出噪声评价结果。</w:t>
            </w:r>
          </w:p>
          <w:p>
            <w:pPr>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highlight w:val="none"/>
              </w:rPr>
              <w:t>本次评价</w:t>
            </w:r>
            <w:r>
              <w:rPr>
                <w:rFonts w:hint="default" w:ascii="Times New Roman" w:hAnsi="Times New Roman" w:eastAsia="宋体" w:cs="Times New Roman"/>
                <w:color w:val="auto"/>
                <w:sz w:val="24"/>
                <w:szCs w:val="22"/>
                <w:highlight w:val="none"/>
              </w:rPr>
              <w:t>按照噪声预测模式及源强参数，结合噪声源到各预测点距离，预测计算厂区噪声对厂界的贡献值见表</w:t>
            </w:r>
            <w:r>
              <w:rPr>
                <w:rFonts w:hint="default"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w:t>
            </w:r>
            <w:r>
              <w:rPr>
                <w:rFonts w:hint="default" w:ascii="Times New Roman" w:hAnsi="Times New Roman" w:eastAsia="宋体" w:cs="Times New Roman"/>
                <w:snapToGrid w:val="0"/>
                <w:color w:val="auto"/>
                <w:sz w:val="24"/>
                <w:szCs w:val="22"/>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b/>
                <w:bCs/>
                <w:color w:val="auto"/>
                <w:sz w:val="24"/>
                <w:szCs w:val="24"/>
                <w:highlight w:val="none"/>
                <w:lang w:val="en-US" w:eastAsia="zh-CN"/>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 xml:space="preserve">4-25 </w:t>
            </w:r>
            <w:r>
              <w:rPr>
                <w:rFonts w:cs="Times New Roman"/>
                <w:b/>
                <w:bCs/>
                <w:color w:val="auto"/>
                <w:sz w:val="24"/>
                <w:szCs w:val="24"/>
                <w:highlight w:val="none"/>
              </w:rPr>
              <w:t xml:space="preserve">   </w:t>
            </w:r>
            <w:r>
              <w:rPr>
                <w:rFonts w:hint="eastAsia" w:cs="Times New Roman"/>
                <w:b/>
                <w:bCs/>
                <w:color w:val="auto"/>
                <w:sz w:val="24"/>
                <w:szCs w:val="24"/>
                <w:highlight w:val="none"/>
                <w:lang w:val="en-US" w:eastAsia="zh-CN"/>
              </w:rPr>
              <w:t>预测结果与达标分析表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
              <w:gridCol w:w="674"/>
              <w:gridCol w:w="519"/>
              <w:gridCol w:w="523"/>
              <w:gridCol w:w="521"/>
              <w:gridCol w:w="528"/>
              <w:gridCol w:w="521"/>
              <w:gridCol w:w="528"/>
              <w:gridCol w:w="521"/>
              <w:gridCol w:w="526"/>
              <w:gridCol w:w="521"/>
              <w:gridCol w:w="523"/>
              <w:gridCol w:w="523"/>
              <w:gridCol w:w="529"/>
              <w:gridCol w:w="523"/>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14" w:type="pct"/>
                  <w:vMerge w:val="restar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序号</w:t>
                  </w:r>
                </w:p>
              </w:tc>
              <w:tc>
                <w:tcPr>
                  <w:tcW w:w="402" w:type="pct"/>
                  <w:vMerge w:val="restar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声环境保护目标名称</w:t>
                  </w:r>
                </w:p>
              </w:tc>
              <w:tc>
                <w:tcPr>
                  <w:tcW w:w="622" w:type="pct"/>
                  <w:gridSpan w:val="2"/>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噪声背景值/dB（A）</w:t>
                  </w:r>
                </w:p>
              </w:tc>
              <w:tc>
                <w:tcPr>
                  <w:tcW w:w="626" w:type="pct"/>
                  <w:gridSpan w:val="2"/>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噪声现状值/dB（A）</w:t>
                  </w:r>
                </w:p>
              </w:tc>
              <w:tc>
                <w:tcPr>
                  <w:tcW w:w="626" w:type="pct"/>
                  <w:gridSpan w:val="2"/>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噪声标准/dB（A）</w:t>
                  </w:r>
                </w:p>
              </w:tc>
              <w:tc>
                <w:tcPr>
                  <w:tcW w:w="625" w:type="pct"/>
                  <w:gridSpan w:val="2"/>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噪声贡献值/dB（A）</w:t>
                  </w:r>
                </w:p>
              </w:tc>
              <w:tc>
                <w:tcPr>
                  <w:tcW w:w="623" w:type="pct"/>
                  <w:gridSpan w:val="2"/>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噪声预测值/dB（A）</w:t>
                  </w:r>
                </w:p>
              </w:tc>
              <w:tc>
                <w:tcPr>
                  <w:tcW w:w="628" w:type="pct"/>
                  <w:gridSpan w:val="2"/>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较现状增量/dB（A）</w:t>
                  </w:r>
                </w:p>
              </w:tc>
              <w:tc>
                <w:tcPr>
                  <w:tcW w:w="628" w:type="pct"/>
                  <w:gridSpan w:val="2"/>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vMerge w:val="continue"/>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cs="Times New Roman"/>
                      <w:b w:val="0"/>
                      <w:bCs w:val="0"/>
                      <w:color w:val="auto"/>
                      <w:w w:val="100"/>
                      <w:sz w:val="21"/>
                      <w:szCs w:val="21"/>
                      <w:highlight w:val="none"/>
                      <w:vertAlign w:val="baseline"/>
                      <w:lang w:val="en-US" w:eastAsia="zh-CN"/>
                    </w:rPr>
                  </w:pPr>
                </w:p>
              </w:tc>
              <w:tc>
                <w:tcPr>
                  <w:tcW w:w="402" w:type="pct"/>
                  <w:vMerge w:val="continue"/>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cs="Times New Roman"/>
                      <w:b w:val="0"/>
                      <w:bCs w:val="0"/>
                      <w:color w:val="auto"/>
                      <w:w w:val="100"/>
                      <w:sz w:val="21"/>
                      <w:szCs w:val="21"/>
                      <w:highlight w:val="none"/>
                      <w:vertAlign w:val="baseline"/>
                      <w:lang w:val="en-US" w:eastAsia="zh-CN"/>
                    </w:rPr>
                  </w:pPr>
                </w:p>
              </w:tc>
              <w:tc>
                <w:tcPr>
                  <w:tcW w:w="310"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昼间</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6"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1</w:t>
                  </w:r>
                </w:p>
              </w:tc>
              <w:tc>
                <w:tcPr>
                  <w:tcW w:w="4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东厂界</w:t>
                  </w:r>
                </w:p>
              </w:tc>
              <w:tc>
                <w:tcPr>
                  <w:tcW w:w="310"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41</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50</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41</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65</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55</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503</w:t>
                  </w:r>
                </w:p>
              </w:tc>
              <w:tc>
                <w:tcPr>
                  <w:tcW w:w="3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503</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53.2</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50.8</w:t>
                  </w:r>
                </w:p>
              </w:tc>
              <w:tc>
                <w:tcPr>
                  <w:tcW w:w="52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3.2</w:t>
                  </w:r>
                </w:p>
              </w:tc>
              <w:tc>
                <w:tcPr>
                  <w:tcW w:w="5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9.8</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2</w:t>
                  </w:r>
                </w:p>
              </w:tc>
              <w:tc>
                <w:tcPr>
                  <w:tcW w:w="4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南厂界</w:t>
                  </w:r>
                </w:p>
              </w:tc>
              <w:tc>
                <w:tcPr>
                  <w:tcW w:w="310"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50</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65</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55</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49.7</w:t>
                  </w:r>
                </w:p>
              </w:tc>
              <w:tc>
                <w:tcPr>
                  <w:tcW w:w="3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49.7</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52.9</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50.1</w:t>
                  </w:r>
                </w:p>
              </w:tc>
              <w:tc>
                <w:tcPr>
                  <w:tcW w:w="52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2.9</w:t>
                  </w:r>
                </w:p>
              </w:tc>
              <w:tc>
                <w:tcPr>
                  <w:tcW w:w="5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10.1</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3</w:t>
                  </w:r>
                </w:p>
              </w:tc>
              <w:tc>
                <w:tcPr>
                  <w:tcW w:w="4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西厂界</w:t>
                  </w:r>
                </w:p>
              </w:tc>
              <w:tc>
                <w:tcPr>
                  <w:tcW w:w="310"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48</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48</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65</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55</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49.2</w:t>
                  </w:r>
                </w:p>
              </w:tc>
              <w:tc>
                <w:tcPr>
                  <w:tcW w:w="3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49.2</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51.7</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49.7</w:t>
                  </w:r>
                </w:p>
              </w:tc>
              <w:tc>
                <w:tcPr>
                  <w:tcW w:w="52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3.7</w:t>
                  </w:r>
                </w:p>
              </w:tc>
              <w:tc>
                <w:tcPr>
                  <w:tcW w:w="5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9.7</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w:t>
                  </w:r>
                </w:p>
              </w:tc>
              <w:tc>
                <w:tcPr>
                  <w:tcW w:w="402" w:type="pct"/>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北厂界</w:t>
                  </w:r>
                </w:p>
              </w:tc>
              <w:tc>
                <w:tcPr>
                  <w:tcW w:w="310"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46</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39</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46</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39</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65</w:t>
                  </w:r>
                </w:p>
              </w:tc>
              <w:tc>
                <w:tcPr>
                  <w:tcW w:w="315"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55</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49.8</w:t>
                  </w:r>
                </w:p>
              </w:tc>
              <w:tc>
                <w:tcPr>
                  <w:tcW w:w="314"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49.8</w:t>
                  </w:r>
                </w:p>
              </w:tc>
              <w:tc>
                <w:tcPr>
                  <w:tcW w:w="311"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51.3</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50.2</w:t>
                  </w:r>
                </w:p>
              </w:tc>
              <w:tc>
                <w:tcPr>
                  <w:tcW w:w="52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5.3</w:t>
                  </w:r>
                </w:p>
              </w:tc>
              <w:tc>
                <w:tcPr>
                  <w:tcW w:w="5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11.2</w:t>
                  </w:r>
                </w:p>
              </w:tc>
              <w:tc>
                <w:tcPr>
                  <w:tcW w:w="312"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eastAsia="宋体" w:cs="Times New Roman"/>
                <w:b/>
                <w:bCs/>
                <w:color w:val="auto"/>
                <w:sz w:val="24"/>
                <w:szCs w:val="24"/>
                <w:highlight w:val="none"/>
                <w:lang w:val="en-US" w:eastAsia="zh-CN"/>
              </w:rPr>
            </w:pPr>
            <w:r>
              <w:rPr>
                <w:rFonts w:hint="eastAsia" w:cs="Times New Roman"/>
                <w:color w:val="auto"/>
                <w:kern w:val="0"/>
                <w:sz w:val="24"/>
                <w:szCs w:val="24"/>
                <w:highlight w:val="none"/>
                <w:lang w:eastAsia="zh-CN" w:bidi="ar"/>
              </w:rPr>
              <w:t>拟建项目</w:t>
            </w:r>
            <w:r>
              <w:rPr>
                <w:rFonts w:cs="Times New Roman"/>
                <w:color w:val="auto"/>
                <w:kern w:val="0"/>
                <w:sz w:val="24"/>
                <w:szCs w:val="24"/>
                <w:highlight w:val="none"/>
                <w:lang w:bidi="ar"/>
              </w:rPr>
              <w:t>建成投入使用后，噪声源采取隔声及基础减震等措施，加上建筑物阻隔和空间衰减等因素，其噪声可得到有效控制，</w:t>
            </w:r>
            <w:r>
              <w:rPr>
                <w:rFonts w:hint="eastAsia" w:cs="Times New Roman"/>
                <w:color w:val="auto"/>
                <w:kern w:val="0"/>
                <w:sz w:val="24"/>
                <w:szCs w:val="24"/>
                <w:highlight w:val="none"/>
                <w:lang w:val="en-US" w:eastAsia="zh-CN" w:bidi="ar"/>
              </w:rPr>
              <w:t>厂界噪声贡献值满足</w:t>
            </w:r>
            <w:r>
              <w:rPr>
                <w:rFonts w:cs="Times New Roman"/>
                <w:color w:val="auto"/>
                <w:kern w:val="0"/>
                <w:sz w:val="24"/>
                <w:szCs w:val="24"/>
                <w:highlight w:val="none"/>
                <w:lang w:bidi="ar"/>
              </w:rPr>
              <w:t>《工业企业厂界环境噪声排放标准》（GB12348-2008）</w:t>
            </w:r>
            <w:r>
              <w:rPr>
                <w:rFonts w:hint="eastAsia" w:cs="Times New Roman"/>
                <w:color w:val="auto"/>
                <w:kern w:val="0"/>
                <w:sz w:val="24"/>
                <w:szCs w:val="24"/>
                <w:highlight w:val="none"/>
                <w:lang w:val="en-US" w:eastAsia="zh-CN" w:bidi="ar"/>
              </w:rPr>
              <w:t>3</w:t>
            </w:r>
            <w:r>
              <w:rPr>
                <w:rFonts w:cs="Times New Roman"/>
                <w:color w:val="auto"/>
                <w:kern w:val="0"/>
                <w:sz w:val="24"/>
                <w:szCs w:val="24"/>
                <w:highlight w:val="none"/>
                <w:lang w:bidi="ar"/>
              </w:rPr>
              <w:t>类标准</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厂界预测值满足《声环境质量标准》中3类区标准。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lang w:bidi="ar"/>
              </w:rPr>
            </w:pPr>
            <w:r>
              <w:rPr>
                <w:rFonts w:hint="eastAsia" w:cs="Times New Roman"/>
                <w:color w:val="auto"/>
                <w:kern w:val="0"/>
                <w:sz w:val="24"/>
                <w:szCs w:val="24"/>
                <w:highlight w:val="none"/>
                <w:lang w:val="en-US" w:eastAsia="zh-CN" w:bidi="ar"/>
              </w:rPr>
              <w:t>综上所述</w:t>
            </w:r>
            <w:r>
              <w:rPr>
                <w:rFonts w:cs="Times New Roman"/>
                <w:color w:val="auto"/>
                <w:kern w:val="0"/>
                <w:sz w:val="24"/>
                <w:szCs w:val="24"/>
                <w:highlight w:val="none"/>
                <w:lang w:bidi="ar"/>
              </w:rPr>
              <w:t>对周边声环境敏感点影响程度较小。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（5）治理措施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①合理布置声源：通过距离衰减，减少噪声量；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cs="Times New Roman"/>
                <w:color w:val="auto"/>
                <w:sz w:val="24"/>
                <w:szCs w:val="24"/>
                <w:lang w:eastAsia="zh-CN"/>
              </w:rPr>
            </w:pPr>
            <w:r>
              <w:rPr>
                <w:rFonts w:hint="eastAsia" w:ascii="Times New Roman" w:hAnsi="Times New Roman" w:eastAsia="宋体" w:cs="Times New Roman"/>
                <w:color w:val="auto"/>
                <w:kern w:val="0"/>
                <w:sz w:val="24"/>
                <w:szCs w:val="24"/>
                <w:highlight w:val="none"/>
                <w:lang w:val="en-US" w:eastAsia="zh-CN" w:bidi="ar"/>
              </w:rPr>
              <w:t>②</w:t>
            </w:r>
            <w:r>
              <w:rPr>
                <w:rFonts w:hint="default" w:ascii="Times New Roman" w:hAnsi="Times New Roman" w:cs="Times New Roman"/>
                <w:color w:val="auto"/>
                <w:sz w:val="24"/>
                <w:szCs w:val="24"/>
              </w:rPr>
              <w:t>选用低噪声设备：项目设备选型时应优先选用先进的低噪设备，并通过提高生产设备的安装质量和精度，从源头减轻设备的噪声量</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泵采用泵棚密闭安装隔声，做好基础减震措施，泵进出口加柔性软连接</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④加强管理，减速行驶，夜间禁止鸣笛。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sz w:val="24"/>
                <w:szCs w:val="24"/>
              </w:rPr>
              <w:t>通过采取上述噪声治理措施后，设备运行噪声可降低</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dB（A），可减轻噪声对周围环境影响，确保</w:t>
            </w:r>
            <w:r>
              <w:rPr>
                <w:rFonts w:hint="eastAsia" w:ascii="Times New Roman" w:hAnsi="Times New Roman" w:cs="Times New Roman"/>
                <w:color w:val="auto"/>
                <w:sz w:val="24"/>
                <w:szCs w:val="24"/>
                <w:lang w:eastAsia="zh-CN"/>
              </w:rPr>
              <w:t>厂界</w:t>
            </w:r>
            <w:r>
              <w:rPr>
                <w:rFonts w:hint="eastAsia" w:cs="Times New Roman"/>
                <w:color w:val="auto"/>
                <w:kern w:val="0"/>
                <w:sz w:val="24"/>
                <w:szCs w:val="24"/>
                <w:highlight w:val="none"/>
                <w:lang w:val="en-US" w:eastAsia="zh-CN" w:bidi="ar"/>
              </w:rPr>
              <w:t>满足</w:t>
            </w:r>
            <w:r>
              <w:rPr>
                <w:rFonts w:cs="Times New Roman"/>
                <w:color w:val="auto"/>
                <w:kern w:val="0"/>
                <w:sz w:val="24"/>
                <w:szCs w:val="24"/>
                <w:highlight w:val="none"/>
                <w:lang w:bidi="ar"/>
              </w:rPr>
              <w:t>《工业企业厂界环境噪声排放标准》（GB12348-2008）</w:t>
            </w:r>
            <w:r>
              <w:rPr>
                <w:rFonts w:hint="eastAsia" w:cs="Times New Roman"/>
                <w:color w:val="auto"/>
                <w:kern w:val="0"/>
                <w:sz w:val="24"/>
                <w:szCs w:val="24"/>
                <w:highlight w:val="none"/>
                <w:lang w:val="en-US" w:eastAsia="zh-CN" w:bidi="ar"/>
              </w:rPr>
              <w:t>3</w:t>
            </w:r>
            <w:r>
              <w:rPr>
                <w:rFonts w:cs="Times New Roman"/>
                <w:color w:val="auto"/>
                <w:kern w:val="0"/>
                <w:sz w:val="24"/>
                <w:szCs w:val="24"/>
                <w:highlight w:val="none"/>
                <w:lang w:bidi="ar"/>
              </w:rPr>
              <w:t>类标准</w:t>
            </w:r>
            <w:r>
              <w:rPr>
                <w:rFonts w:hint="eastAsia" w:cs="Times New Roman"/>
                <w:color w:val="auto"/>
                <w:kern w:val="0"/>
                <w:sz w:val="24"/>
                <w:szCs w:val="24"/>
                <w:highlight w:val="none"/>
                <w:lang w:val="en-US" w:eastAsia="zh-CN" w:bidi="ar"/>
              </w:rPr>
              <w:t>要求</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（6）噪声监测计划</w:t>
            </w:r>
          </w:p>
          <w:p>
            <w:pPr>
              <w:pStyle w:val="50"/>
              <w:ind w:firstLine="482"/>
              <w:rPr>
                <w:rFonts w:hint="default" w:ascii="Times New Roman" w:hAnsi="Times New Roman" w:eastAsia="宋体" w:cs="Times New Roman"/>
                <w:b w:val="0"/>
                <w:color w:val="auto"/>
                <w:kern w:val="0"/>
                <w:sz w:val="24"/>
                <w:szCs w:val="24"/>
                <w:highlight w:val="none"/>
                <w:lang w:val="en-US" w:eastAsia="zh-CN" w:bidi="ar"/>
              </w:rPr>
            </w:pPr>
            <w:r>
              <w:rPr>
                <w:rFonts w:hint="eastAsia" w:ascii="Times New Roman" w:hAnsi="Times New Roman" w:eastAsia="宋体" w:cs="Times New Roman"/>
                <w:b w:val="0"/>
                <w:color w:val="auto"/>
                <w:kern w:val="0"/>
                <w:sz w:val="24"/>
                <w:szCs w:val="24"/>
                <w:highlight w:val="none"/>
                <w:lang w:val="en-US" w:eastAsia="zh-CN" w:bidi="ar"/>
              </w:rPr>
              <w:t>根据《排污单位自行监测技术指南  储油库、加油站》（HJ1249-2022），监测点位、监测项目和监测频率见下表。</w:t>
            </w:r>
          </w:p>
          <w:p>
            <w:pPr>
              <w:pStyle w:val="50"/>
              <w:ind w:firstLine="482"/>
              <w:rPr>
                <w:rFonts w:cs="Times New Roman"/>
                <w:color w:val="auto"/>
                <w:highlight w:val="none"/>
              </w:rPr>
            </w:pPr>
          </w:p>
          <w:p>
            <w:pPr>
              <w:pStyle w:val="50"/>
              <w:ind w:firstLine="482"/>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4-26</w:t>
            </w:r>
            <w:r>
              <w:rPr>
                <w:rFonts w:cs="Times New Roman"/>
                <w:color w:val="auto"/>
                <w:highlight w:val="none"/>
              </w:rPr>
              <w:t xml:space="preserve">    环境监测工作计划</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6"/>
              <w:gridCol w:w="1159"/>
              <w:gridCol w:w="1117"/>
              <w:gridCol w:w="1224"/>
              <w:gridCol w:w="1102"/>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14"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类别</w:t>
                  </w:r>
                </w:p>
              </w:tc>
              <w:tc>
                <w:tcPr>
                  <w:tcW w:w="69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val="en-US" w:eastAsia="zh-CN"/>
                    </w:rPr>
                  </w:pPr>
                  <w:r>
                    <w:rPr>
                      <w:rFonts w:hint="default"/>
                      <w:color w:val="auto"/>
                      <w:sz w:val="21"/>
                      <w:szCs w:val="21"/>
                      <w:highlight w:val="none"/>
                    </w:rPr>
                    <w:t>监测</w:t>
                  </w:r>
                  <w:r>
                    <w:rPr>
                      <w:rFonts w:hint="eastAsia"/>
                      <w:color w:val="auto"/>
                      <w:sz w:val="21"/>
                      <w:szCs w:val="21"/>
                      <w:highlight w:val="none"/>
                      <w:lang w:val="en-US" w:eastAsia="zh-CN"/>
                    </w:rPr>
                    <w:t>点位</w:t>
                  </w:r>
                </w:p>
              </w:tc>
              <w:tc>
                <w:tcPr>
                  <w:tcW w:w="667"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监测因子</w:t>
                  </w:r>
                </w:p>
              </w:tc>
              <w:tc>
                <w:tcPr>
                  <w:tcW w:w="731"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监测位置</w:t>
                  </w:r>
                </w:p>
              </w:tc>
              <w:tc>
                <w:tcPr>
                  <w:tcW w:w="658"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监测频率</w:t>
                  </w:r>
                </w:p>
              </w:tc>
              <w:tc>
                <w:tcPr>
                  <w:tcW w:w="1935"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314"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噪声</w:t>
                  </w:r>
                </w:p>
              </w:tc>
              <w:tc>
                <w:tcPr>
                  <w:tcW w:w="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厂界四周</w:t>
                  </w:r>
                </w:p>
              </w:tc>
              <w:tc>
                <w:tcPr>
                  <w:tcW w:w="6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等效A声级</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厂界外1m</w:t>
                  </w:r>
                </w:p>
              </w:tc>
              <w:tc>
                <w:tcPr>
                  <w:tcW w:w="6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1次/季度</w:t>
                  </w:r>
                </w:p>
              </w:tc>
              <w:tc>
                <w:tcPr>
                  <w:tcW w:w="1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ascii="Times New Roman" w:hAnsi="Times New Roman" w:cs="Times New Roman"/>
                      <w:bCs w:val="0"/>
                      <w:color w:val="auto"/>
                      <w:kern w:val="0"/>
                      <w:sz w:val="21"/>
                      <w:szCs w:val="21"/>
                    </w:rPr>
                    <w:t>《工业企业厂界环境噪声排放标准》（GB12348-2008）</w:t>
                  </w:r>
                  <w:r>
                    <w:rPr>
                      <w:rFonts w:hint="eastAsia" w:ascii="Times New Roman" w:hAnsi="Times New Roman" w:cs="Times New Roman"/>
                      <w:bCs w:val="0"/>
                      <w:color w:val="auto"/>
                      <w:kern w:val="0"/>
                      <w:sz w:val="21"/>
                      <w:szCs w:val="21"/>
                      <w:lang w:val="en-US" w:eastAsia="zh-CN"/>
                    </w:rPr>
                    <w:t>3</w:t>
                  </w:r>
                  <w:r>
                    <w:rPr>
                      <w:rFonts w:hint="default" w:ascii="Times New Roman" w:hAnsi="Times New Roman" w:cs="Times New Roman"/>
                      <w:bCs w:val="0"/>
                      <w:color w:val="auto"/>
                      <w:kern w:val="0"/>
                      <w:sz w:val="21"/>
                      <w:szCs w:val="21"/>
                    </w:rPr>
                    <w:t>类标准</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5、固废</w:t>
            </w:r>
          </w:p>
          <w:p>
            <w:pPr>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2"/>
                <w:sz w:val="24"/>
                <w:szCs w:val="24"/>
                <w:u w:val="none"/>
                <w:lang w:val="en-US" w:eastAsia="zh-CN" w:bidi="ar-SA"/>
              </w:rPr>
              <w:t>项目营运期产生的固体废物主要有</w:t>
            </w:r>
            <w:r>
              <w:rPr>
                <w:rFonts w:hint="eastAsia" w:cs="Times New Roman"/>
                <w:color w:val="auto"/>
                <w:kern w:val="2"/>
                <w:sz w:val="24"/>
                <w:szCs w:val="24"/>
                <w:u w:val="none"/>
                <w:lang w:val="en-US" w:eastAsia="zh-CN" w:bidi="ar-SA"/>
              </w:rPr>
              <w:t>罐底切水，油罐清洗废水，</w:t>
            </w:r>
            <w:r>
              <w:rPr>
                <w:rFonts w:hint="default" w:ascii="Times New Roman" w:hAnsi="Times New Roman" w:eastAsia="宋体" w:cs="Times New Roman"/>
                <w:color w:val="auto"/>
                <w:kern w:val="2"/>
                <w:sz w:val="24"/>
                <w:szCs w:val="24"/>
                <w:u w:val="none"/>
                <w:lang w:val="en-US" w:eastAsia="zh-CN" w:bidi="ar-SA"/>
              </w:rPr>
              <w:t>储罐油泥</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污水处理污泥</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废水处理设施废油</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降质油</w:t>
            </w:r>
            <w:r>
              <w:rPr>
                <w:rFonts w:hint="eastAsia" w:ascii="Times New Roman" w:hAnsi="Times New Roman" w:cs="Times New Roman"/>
                <w:color w:val="auto"/>
                <w:kern w:val="2"/>
                <w:sz w:val="24"/>
                <w:szCs w:val="24"/>
                <w:u w:val="none"/>
                <w:lang w:val="en-US" w:eastAsia="zh-CN" w:bidi="ar-SA"/>
              </w:rPr>
              <w:t>，废活性炭，化验室废弃酸、碱、化学试剂和废渣，废含油抹布及劳保用品，</w:t>
            </w:r>
            <w:r>
              <w:rPr>
                <w:rFonts w:hint="default" w:ascii="Times New Roman" w:hAnsi="Times New Roman" w:eastAsia="宋体" w:cs="Times New Roman"/>
                <w:color w:val="auto"/>
                <w:kern w:val="2"/>
                <w:sz w:val="24"/>
                <w:szCs w:val="24"/>
                <w:u w:val="none"/>
                <w:lang w:val="en-US" w:eastAsia="zh-CN" w:bidi="ar-SA"/>
              </w:rPr>
              <w:t>化粪池污泥</w:t>
            </w:r>
            <w:r>
              <w:rPr>
                <w:rFonts w:hint="eastAsia" w:cs="Times New Roman"/>
                <w:color w:val="auto"/>
                <w:kern w:val="2"/>
                <w:sz w:val="24"/>
                <w:szCs w:val="24"/>
                <w:u w:val="none"/>
                <w:lang w:val="en-US" w:eastAsia="zh-CN" w:bidi="ar-SA"/>
              </w:rPr>
              <w:t>，食堂废水隔油池废油，生活污水处理站污泥</w:t>
            </w:r>
            <w:r>
              <w:rPr>
                <w:rFonts w:hint="default" w:ascii="Times New Roman" w:hAnsi="Times New Roman" w:eastAsia="宋体" w:cs="Times New Roman"/>
                <w:color w:val="auto"/>
                <w:kern w:val="2"/>
                <w:sz w:val="24"/>
                <w:szCs w:val="24"/>
                <w:u w:val="none"/>
                <w:lang w:val="en-US" w:eastAsia="zh-CN" w:bidi="ar-SA"/>
              </w:rPr>
              <w:t>和生活垃圾。</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（1）一般固废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zh-CN" w:eastAsia="zh-CN" w:bidi="ar"/>
              </w:rPr>
            </w:pPr>
            <w:r>
              <w:rPr>
                <w:rFonts w:hint="eastAsia" w:ascii="Times New Roman" w:hAnsi="Times New Roman" w:eastAsia="宋体" w:cs="Times New Roman"/>
                <w:color w:val="auto"/>
                <w:kern w:val="0"/>
                <w:sz w:val="24"/>
                <w:szCs w:val="24"/>
                <w:highlight w:val="none"/>
                <w:lang w:val="zh-CN" w:eastAsia="zh-CN" w:bidi="ar"/>
              </w:rPr>
              <w:t>项目一般固废主要为生活垃圾、</w:t>
            </w:r>
            <w:r>
              <w:rPr>
                <w:rFonts w:hint="eastAsia" w:cs="Times New Roman"/>
                <w:color w:val="auto"/>
                <w:kern w:val="0"/>
                <w:sz w:val="24"/>
                <w:szCs w:val="24"/>
                <w:highlight w:val="none"/>
                <w:lang w:val="en-US" w:eastAsia="zh-CN" w:bidi="ar"/>
              </w:rPr>
              <w:t>生活污水处理站污泥、</w:t>
            </w:r>
            <w:r>
              <w:rPr>
                <w:rFonts w:hint="eastAsia" w:ascii="Times New Roman" w:hAnsi="Times New Roman" w:eastAsia="宋体" w:cs="Times New Roman"/>
                <w:color w:val="auto"/>
                <w:kern w:val="0"/>
                <w:sz w:val="24"/>
                <w:szCs w:val="24"/>
                <w:highlight w:val="none"/>
                <w:lang w:val="zh-CN" w:eastAsia="zh-CN" w:bidi="ar"/>
              </w:rPr>
              <w:t>化粪池污泥。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①</w:t>
            </w:r>
            <w:r>
              <w:rPr>
                <w:rFonts w:cs="Times New Roman"/>
                <w:color w:val="auto"/>
                <w:sz w:val="24"/>
                <w:szCs w:val="24"/>
                <w:highlight w:val="none"/>
              </w:rPr>
              <w:t>生活垃圾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项目营运中工作人员产生的生活垃圾，项目共设工作人员</w:t>
            </w:r>
            <w:r>
              <w:rPr>
                <w:rFonts w:hint="eastAsia" w:cs="Times New Roman"/>
                <w:color w:val="auto"/>
                <w:kern w:val="0"/>
                <w:sz w:val="24"/>
                <w:szCs w:val="24"/>
                <w:highlight w:val="none"/>
                <w:lang w:val="en-US" w:eastAsia="zh-CN" w:bidi="ar"/>
              </w:rPr>
              <w:t>28</w:t>
            </w:r>
            <w:r>
              <w:rPr>
                <w:rFonts w:hint="default" w:ascii="Times New Roman" w:hAnsi="Times New Roman" w:eastAsia="宋体" w:cs="Times New Roman"/>
                <w:color w:val="auto"/>
                <w:kern w:val="0"/>
                <w:sz w:val="24"/>
                <w:szCs w:val="24"/>
                <w:highlight w:val="none"/>
                <w:lang w:val="en-US" w:eastAsia="zh-CN" w:bidi="ar"/>
              </w:rPr>
              <w:t>人</w:t>
            </w:r>
            <w:r>
              <w:rPr>
                <w:rFonts w:hint="default" w:ascii="Times New Roman" w:hAnsi="Times New Roman" w:eastAsia="宋体" w:cs="Times New Roman"/>
                <w:color w:val="auto"/>
                <w:kern w:val="0"/>
                <w:sz w:val="24"/>
                <w:szCs w:val="24"/>
                <w:highlight w:val="none"/>
                <w:lang w:val="en-US" w:eastAsia="zh-CN" w:bidi="ar"/>
              </w:rPr>
              <w:t>，生活垃圾产生系数以0.5kg/d·人计，年运营时间按</w:t>
            </w:r>
            <w:r>
              <w:rPr>
                <w:rFonts w:hint="eastAsia" w:cs="Times New Roman"/>
                <w:color w:val="auto"/>
                <w:kern w:val="0"/>
                <w:sz w:val="24"/>
                <w:szCs w:val="24"/>
                <w:highlight w:val="none"/>
                <w:lang w:val="en-US" w:eastAsia="zh-CN" w:bidi="ar"/>
              </w:rPr>
              <w:t>350</w:t>
            </w:r>
            <w:r>
              <w:rPr>
                <w:rFonts w:hint="default" w:ascii="Times New Roman" w:hAnsi="Times New Roman" w:eastAsia="宋体" w:cs="Times New Roman"/>
                <w:color w:val="auto"/>
                <w:kern w:val="0"/>
                <w:sz w:val="24"/>
                <w:szCs w:val="24"/>
                <w:highlight w:val="none"/>
                <w:lang w:val="en-US" w:eastAsia="zh-CN" w:bidi="ar"/>
              </w:rPr>
              <w:t>天计，垃圾产生量为</w:t>
            </w:r>
            <w:r>
              <w:rPr>
                <w:rFonts w:hint="eastAsia" w:cs="Times New Roman"/>
                <w:color w:val="auto"/>
                <w:kern w:val="0"/>
                <w:sz w:val="24"/>
                <w:szCs w:val="24"/>
                <w:highlight w:val="none"/>
                <w:lang w:val="en-US" w:eastAsia="zh-CN" w:bidi="ar"/>
              </w:rPr>
              <w:t>4.9</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lang w:eastAsia="zh-CN"/>
              </w:rPr>
              <w:t>治理措施：在厂内垃圾桶收集后，由环卫部门清运处理。</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rPr>
              <w:t>②</w:t>
            </w:r>
            <w:r>
              <w:rPr>
                <w:rFonts w:hint="eastAsia" w:cs="Times New Roman"/>
                <w:color w:val="auto"/>
                <w:sz w:val="24"/>
                <w:szCs w:val="24"/>
                <w:highlight w:val="none"/>
                <w:lang w:eastAsia="zh-CN"/>
              </w:rPr>
              <w:t>化粪池污泥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本项目化粪池污泥产生量</w:t>
            </w:r>
            <w:r>
              <w:rPr>
                <w:rFonts w:hint="default" w:ascii="Times New Roman" w:hAnsi="Times New Roman" w:eastAsia="宋体" w:cs="Times New Roman"/>
                <w:color w:val="auto"/>
                <w:kern w:val="0"/>
                <w:sz w:val="24"/>
                <w:szCs w:val="24"/>
                <w:highlight w:val="none"/>
                <w:lang w:val="en-US" w:eastAsia="zh-CN" w:bidi="ar"/>
              </w:rPr>
              <w:t>约1.5t/a，定期清掏。</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cs="Times New Roman"/>
                <w:color w:val="auto"/>
                <w:sz w:val="24"/>
                <w:szCs w:val="24"/>
                <w:highlight w:val="none"/>
              </w:rPr>
            </w:pPr>
            <w:r>
              <w:rPr>
                <w:rFonts w:cs="Times New Roman"/>
                <w:color w:val="auto"/>
                <w:kern w:val="0"/>
                <w:sz w:val="24"/>
                <w:szCs w:val="24"/>
                <w:highlight w:val="none"/>
                <w:lang w:bidi="ar"/>
              </w:rPr>
              <w:t>治理措施：对</w:t>
            </w:r>
            <w:r>
              <w:rPr>
                <w:rFonts w:hint="eastAsia" w:cs="Times New Roman"/>
                <w:color w:val="auto"/>
                <w:kern w:val="0"/>
                <w:sz w:val="24"/>
                <w:szCs w:val="24"/>
                <w:highlight w:val="none"/>
                <w:lang w:eastAsia="zh-CN" w:bidi="ar"/>
              </w:rPr>
              <w:t>化粪池</w:t>
            </w:r>
            <w:r>
              <w:rPr>
                <w:rFonts w:hint="eastAsia" w:cs="Times New Roman"/>
                <w:color w:val="auto"/>
                <w:kern w:val="0"/>
                <w:sz w:val="24"/>
                <w:szCs w:val="24"/>
                <w:highlight w:val="none"/>
                <w:lang w:val="en-US" w:eastAsia="zh-CN" w:bidi="ar"/>
              </w:rPr>
              <w:t>进行</w:t>
            </w:r>
            <w:r>
              <w:rPr>
                <w:rFonts w:cs="Times New Roman"/>
                <w:color w:val="auto"/>
                <w:kern w:val="0"/>
                <w:sz w:val="24"/>
                <w:szCs w:val="24"/>
                <w:highlight w:val="none"/>
                <w:lang w:bidi="ar"/>
              </w:rPr>
              <w:t>定期清掏，</w:t>
            </w:r>
            <w:r>
              <w:rPr>
                <w:rFonts w:hint="eastAsia" w:cs="Times New Roman"/>
                <w:color w:val="auto"/>
                <w:kern w:val="0"/>
                <w:sz w:val="24"/>
                <w:szCs w:val="24"/>
                <w:highlight w:val="none"/>
                <w:lang w:eastAsia="zh-CN" w:bidi="ar"/>
              </w:rPr>
              <w:t>由环卫部门填埋处理</w:t>
            </w:r>
            <w:r>
              <w:rPr>
                <w:rFonts w:cs="Times New Roman"/>
                <w:color w:val="auto"/>
                <w:kern w:val="0"/>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zh-CN" w:eastAsia="zh-CN" w:bidi="ar"/>
              </w:rPr>
              <w:t>③</w:t>
            </w:r>
            <w:r>
              <w:rPr>
                <w:rFonts w:hint="eastAsia" w:cs="Times New Roman"/>
                <w:color w:val="auto"/>
                <w:kern w:val="0"/>
                <w:sz w:val="24"/>
                <w:szCs w:val="24"/>
                <w:highlight w:val="none"/>
                <w:lang w:val="en-US" w:eastAsia="zh-CN" w:bidi="ar"/>
              </w:rPr>
              <w:t>生活污水处理污泥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本项目生活污水处理污泥产生量约0.3t/a。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治理措施：及时清理污泥，由环卫部门填埋处理。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zh-CN" w:eastAsia="zh-CN" w:bidi="ar"/>
              </w:rPr>
              <w:t>④</w:t>
            </w:r>
            <w:r>
              <w:rPr>
                <w:rFonts w:hint="eastAsia" w:cs="Times New Roman"/>
                <w:color w:val="auto"/>
                <w:kern w:val="0"/>
                <w:sz w:val="24"/>
                <w:szCs w:val="24"/>
                <w:highlight w:val="none"/>
                <w:lang w:val="en-US" w:eastAsia="zh-CN" w:bidi="ar"/>
              </w:rPr>
              <w:t>食堂废水隔油池废油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本项目食堂废水隔油池废油产生量约0.06t/a。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zh-CN" w:eastAsia="zh-CN" w:bidi="ar"/>
              </w:rPr>
            </w:pPr>
            <w:r>
              <w:rPr>
                <w:rFonts w:cs="Times New Roman"/>
                <w:color w:val="auto"/>
                <w:kern w:val="0"/>
                <w:sz w:val="24"/>
                <w:szCs w:val="24"/>
                <w:highlight w:val="none"/>
                <w:lang w:bidi="ar"/>
              </w:rPr>
              <w:t>治理措施：对隔油池</w:t>
            </w:r>
            <w:r>
              <w:rPr>
                <w:rFonts w:hint="eastAsia" w:cs="Times New Roman"/>
                <w:color w:val="auto"/>
                <w:kern w:val="0"/>
                <w:sz w:val="24"/>
                <w:szCs w:val="24"/>
                <w:highlight w:val="none"/>
                <w:lang w:val="en-US" w:eastAsia="zh-CN" w:bidi="ar"/>
              </w:rPr>
              <w:t>进行</w:t>
            </w:r>
            <w:r>
              <w:rPr>
                <w:rFonts w:cs="Times New Roman"/>
                <w:color w:val="auto"/>
                <w:kern w:val="0"/>
                <w:sz w:val="24"/>
                <w:szCs w:val="24"/>
                <w:highlight w:val="none"/>
                <w:lang w:bidi="ar"/>
              </w:rPr>
              <w:t>定期清掏，交由</w:t>
            </w:r>
            <w:r>
              <w:rPr>
                <w:rFonts w:hint="eastAsia" w:cs="Times New Roman"/>
                <w:color w:val="auto"/>
                <w:kern w:val="0"/>
                <w:sz w:val="24"/>
                <w:szCs w:val="24"/>
                <w:highlight w:val="none"/>
                <w:lang w:bidi="ar"/>
              </w:rPr>
              <w:t>废油脂回收单位</w:t>
            </w:r>
            <w:r>
              <w:rPr>
                <w:rFonts w:cs="Times New Roman"/>
                <w:color w:val="auto"/>
                <w:kern w:val="0"/>
                <w:sz w:val="24"/>
                <w:szCs w:val="24"/>
                <w:highlight w:val="none"/>
                <w:lang w:bidi="ar"/>
              </w:rPr>
              <w:t>处理</w:t>
            </w:r>
            <w:r>
              <w:rPr>
                <w:rFonts w:cs="Times New Roman"/>
                <w:color w:val="auto"/>
                <w:kern w:val="0"/>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zh-CN" w:eastAsia="zh-CN" w:bidi="ar"/>
              </w:rPr>
            </w:pPr>
            <w:r>
              <w:rPr>
                <w:rFonts w:hint="eastAsia" w:ascii="Times New Roman" w:hAnsi="Times New Roman" w:eastAsia="宋体" w:cs="Times New Roman"/>
                <w:color w:val="auto"/>
                <w:kern w:val="0"/>
                <w:sz w:val="24"/>
                <w:szCs w:val="24"/>
                <w:highlight w:val="none"/>
                <w:lang w:val="zh-CN" w:eastAsia="zh-CN" w:bidi="ar"/>
              </w:rPr>
              <w:t>拟建项目一般固废排放情况见下表。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color w:val="auto"/>
                <w:kern w:val="0"/>
                <w:sz w:val="24"/>
                <w:szCs w:val="24"/>
                <w:highlight w:val="none"/>
                <w:lang w:val="zh-CN" w:eastAsia="zh-CN" w:bidi="ar"/>
              </w:rPr>
            </w:pPr>
            <w:r>
              <w:rPr>
                <w:rFonts w:hint="default" w:ascii="Times New Roman" w:hAnsi="Times New Roman" w:eastAsia="宋体" w:cs="Times New Roman"/>
                <w:b/>
                <w:bCs/>
                <w:color w:val="auto"/>
                <w:kern w:val="0"/>
                <w:sz w:val="24"/>
                <w:szCs w:val="24"/>
                <w:highlight w:val="none"/>
                <w:lang w:val="zh-CN" w:eastAsia="zh-CN" w:bidi="ar"/>
              </w:rPr>
              <w:t>表</w:t>
            </w:r>
            <w:r>
              <w:rPr>
                <w:rFonts w:hint="eastAsia" w:ascii="Times New Roman" w:hAnsi="Times New Roman" w:eastAsia="宋体" w:cs="Times New Roman"/>
                <w:b/>
                <w:bCs/>
                <w:color w:val="auto"/>
                <w:kern w:val="0"/>
                <w:sz w:val="24"/>
                <w:szCs w:val="24"/>
                <w:highlight w:val="none"/>
                <w:lang w:val="en-US" w:eastAsia="zh-CN" w:bidi="ar"/>
              </w:rPr>
              <w:t>4-2</w:t>
            </w:r>
            <w:r>
              <w:rPr>
                <w:rFonts w:hint="eastAsia"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zh-CN" w:eastAsia="zh-CN" w:bidi="ar"/>
              </w:rPr>
              <w:t xml:space="preserve">    </w:t>
            </w:r>
            <w:r>
              <w:rPr>
                <w:rFonts w:hint="eastAsia" w:ascii="Times New Roman" w:hAnsi="Times New Roman" w:eastAsia="宋体" w:cs="Times New Roman"/>
                <w:b/>
                <w:bCs/>
                <w:color w:val="auto"/>
                <w:kern w:val="0"/>
                <w:sz w:val="24"/>
                <w:szCs w:val="24"/>
                <w:highlight w:val="none"/>
                <w:lang w:val="zh-CN" w:eastAsia="zh-CN" w:bidi="ar"/>
              </w:rPr>
              <w:t>拟建项目</w:t>
            </w:r>
            <w:r>
              <w:rPr>
                <w:rFonts w:hint="default" w:ascii="Times New Roman" w:hAnsi="Times New Roman" w:eastAsia="宋体" w:cs="Times New Roman"/>
                <w:b/>
                <w:bCs/>
                <w:color w:val="auto"/>
                <w:kern w:val="0"/>
                <w:sz w:val="24"/>
                <w:szCs w:val="24"/>
                <w:highlight w:val="none"/>
                <w:lang w:val="zh-CN" w:eastAsia="zh-CN" w:bidi="ar"/>
              </w:rPr>
              <w:t>一般工业固体废物排放情况汇总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271"/>
              <w:gridCol w:w="1229"/>
              <w:gridCol w:w="1210"/>
              <w:gridCol w:w="837"/>
              <w:gridCol w:w="3013"/>
              <w:gridCol w:w="8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污染源</w:t>
                  </w:r>
                </w:p>
              </w:tc>
              <w:tc>
                <w:tcPr>
                  <w:tcW w:w="734"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污染物</w:t>
                  </w:r>
                </w:p>
              </w:tc>
              <w:tc>
                <w:tcPr>
                  <w:tcW w:w="72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拟建项目产生量（t/a）</w:t>
                  </w:r>
                </w:p>
              </w:tc>
              <w:tc>
                <w:tcPr>
                  <w:tcW w:w="500"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性质</w:t>
                  </w:r>
                </w:p>
              </w:tc>
              <w:tc>
                <w:tcPr>
                  <w:tcW w:w="1799" w:type="pct"/>
                  <w:tcBorders>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处置措施</w:t>
                  </w:r>
                </w:p>
              </w:tc>
              <w:tc>
                <w:tcPr>
                  <w:tcW w:w="483" w:type="pct"/>
                  <w:tcBorders>
                    <w:lef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排放量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日常生活</w:t>
                  </w:r>
                </w:p>
              </w:tc>
              <w:tc>
                <w:tcPr>
                  <w:tcW w:w="734"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生活垃圾</w:t>
                  </w:r>
                </w:p>
              </w:tc>
              <w:tc>
                <w:tcPr>
                  <w:tcW w:w="722" w:type="pct"/>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s="Times New Roman"/>
                      <w:i w:val="0"/>
                      <w:iCs w:val="0"/>
                      <w:color w:val="auto"/>
                      <w:kern w:val="0"/>
                      <w:sz w:val="21"/>
                      <w:szCs w:val="21"/>
                      <w:u w:val="none"/>
                      <w:lang w:val="en-US" w:eastAsia="zh-CN" w:bidi="ar"/>
                    </w:rPr>
                    <w:t>4.9</w:t>
                  </w:r>
                </w:p>
              </w:tc>
              <w:tc>
                <w:tcPr>
                  <w:tcW w:w="500" w:type="pct"/>
                  <w:vMerge w:val="restar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一般工业固体废物</w:t>
                  </w:r>
                </w:p>
              </w:tc>
              <w:tc>
                <w:tcPr>
                  <w:tcW w:w="1799" w:type="pct"/>
                  <w:tcBorders>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厂内垃圾桶收集后，由环卫部门清运处理</w:t>
                  </w:r>
                </w:p>
              </w:tc>
              <w:tc>
                <w:tcPr>
                  <w:tcW w:w="483" w:type="pct"/>
                  <w:tcBorders>
                    <w:lef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0t/a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化粪池</w:t>
                  </w:r>
                </w:p>
              </w:tc>
              <w:tc>
                <w:tcPr>
                  <w:tcW w:w="734"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化粪池污泥</w:t>
                  </w:r>
                </w:p>
              </w:tc>
              <w:tc>
                <w:tcPr>
                  <w:tcW w:w="72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500" w:type="pct"/>
                  <w:vMerge w:val="continue"/>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1799" w:type="pct"/>
                  <w:tcBorders>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定期清掏，由环卫部门填埋处理</w:t>
                  </w:r>
                </w:p>
              </w:tc>
              <w:tc>
                <w:tcPr>
                  <w:tcW w:w="483" w:type="pct"/>
                  <w:tcBorders>
                    <w:lef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0t/a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生活污水处理站</w:t>
                  </w:r>
                </w:p>
              </w:tc>
              <w:tc>
                <w:tcPr>
                  <w:tcW w:w="734"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污泥</w:t>
                  </w:r>
                </w:p>
              </w:tc>
              <w:tc>
                <w:tcPr>
                  <w:tcW w:w="72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w:t>
                  </w:r>
                </w:p>
              </w:tc>
              <w:tc>
                <w:tcPr>
                  <w:tcW w:w="500" w:type="pct"/>
                  <w:vMerge w:val="continue"/>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1799" w:type="pct"/>
                  <w:tcBorders>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及时清理污泥，由环卫部门填埋处理</w:t>
                  </w:r>
                </w:p>
              </w:tc>
              <w:tc>
                <w:tcPr>
                  <w:tcW w:w="483" w:type="pct"/>
                  <w:tcBorders>
                    <w:lef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食堂废水隔油池</w:t>
                  </w:r>
                </w:p>
              </w:tc>
              <w:tc>
                <w:tcPr>
                  <w:tcW w:w="734"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废油</w:t>
                  </w:r>
                </w:p>
              </w:tc>
              <w:tc>
                <w:tcPr>
                  <w:tcW w:w="722"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0.06</w:t>
                  </w:r>
                </w:p>
              </w:tc>
              <w:tc>
                <w:tcPr>
                  <w:tcW w:w="500" w:type="pct"/>
                  <w:vMerge w:val="continue"/>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1799" w:type="pct"/>
                  <w:tcBorders>
                    <w:righ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定期清掏，交由废油脂回收单位处理</w:t>
                  </w:r>
                </w:p>
              </w:tc>
              <w:tc>
                <w:tcPr>
                  <w:tcW w:w="483" w:type="pct"/>
                  <w:tcBorders>
                    <w:left w:val="single" w:color="auto" w:sz="4" w:space="0"/>
                  </w:tcBorders>
                  <w:noWrap w:val="0"/>
                  <w:vAlign w:val="center"/>
                </w:tcPr>
                <w:p>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lang w:val="en-US" w:eastAsia="zh-CN"/>
                    </w:rPr>
                    <w:t>0t/a</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（2）危险废物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拟建项目危险废物主要为</w:t>
            </w:r>
            <w:r>
              <w:rPr>
                <w:rFonts w:hint="eastAsia" w:cs="Times New Roman"/>
                <w:color w:val="auto"/>
                <w:kern w:val="2"/>
                <w:sz w:val="24"/>
                <w:szCs w:val="24"/>
                <w:u w:val="none"/>
                <w:lang w:val="en-US" w:eastAsia="zh-CN" w:bidi="ar-SA"/>
              </w:rPr>
              <w:t>罐底切水，油罐清洗废水，</w:t>
            </w:r>
            <w:r>
              <w:rPr>
                <w:rFonts w:hint="eastAsia" w:ascii="Times New Roman" w:hAnsi="Times New Roman" w:eastAsia="宋体" w:cs="Times New Roman"/>
                <w:color w:val="auto"/>
                <w:kern w:val="0"/>
                <w:sz w:val="24"/>
                <w:szCs w:val="24"/>
                <w:highlight w:val="none"/>
                <w:lang w:val="en-US" w:eastAsia="zh-CN" w:bidi="ar"/>
              </w:rPr>
              <w:t>储罐油泥，废水处理站污泥，废水处理设施废油，降质油，废活性炭，</w:t>
            </w:r>
            <w:r>
              <w:rPr>
                <w:rFonts w:hint="eastAsia" w:ascii="Times New Roman" w:hAnsi="Times New Roman" w:cs="Times New Roman"/>
                <w:color w:val="auto"/>
                <w:kern w:val="2"/>
                <w:sz w:val="24"/>
                <w:szCs w:val="24"/>
                <w:u w:val="none"/>
                <w:lang w:val="en-US" w:eastAsia="zh-CN" w:bidi="ar-SA"/>
              </w:rPr>
              <w:t>化验室废弃酸、碱、化学试剂和废渣，废含油抹布及劳保用品</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t>①储罐油泥</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各储油罐清洗周期为每3年清洗一次，该清洗过程中油泥的产生量可参照《油罐底泥的减量化和资源化技术》（徐加良，石油与天然气化工）的统计资料：“按洗罐周期为3年，油泥产生量占罐容的1%”进行计算，则项目产生的油泥量为270.63t/次（油泥密度约为873kg/m</w:t>
            </w:r>
            <w:r>
              <w:rPr>
                <w:rFonts w:hint="default"/>
                <w:color w:val="auto"/>
                <w:sz w:val="24"/>
                <w:szCs w:val="24"/>
                <w:vertAlign w:val="superscript"/>
                <w:lang w:val="en-US" w:eastAsia="zh-CN"/>
              </w:rPr>
              <w:t>3</w:t>
            </w:r>
            <w:r>
              <w:rPr>
                <w:rFonts w:hint="default"/>
                <w:color w:val="auto"/>
                <w:sz w:val="24"/>
                <w:szCs w:val="24"/>
                <w:lang w:val="en-US" w:eastAsia="zh-CN"/>
              </w:rPr>
              <w:t>）。该类废物属于危险废物（HW08</w:t>
            </w:r>
            <w:r>
              <w:rPr>
                <w:rFonts w:hint="eastAsia"/>
                <w:color w:val="auto"/>
                <w:sz w:val="24"/>
                <w:szCs w:val="24"/>
                <w:lang w:val="en-US" w:eastAsia="zh-CN"/>
              </w:rPr>
              <w:t>废矿物油与含矿物油废物</w:t>
            </w:r>
            <w:r>
              <w:rPr>
                <w:rFonts w:hint="default"/>
                <w:color w:val="auto"/>
                <w:sz w:val="24"/>
                <w:szCs w:val="24"/>
                <w:lang w:val="en-US" w:eastAsia="zh-CN"/>
              </w:rPr>
              <w:t>，清洗矿物油储存、输送设施过程中产生的油/水和烃/水混合物）。</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治理措施：</w:t>
            </w:r>
            <w:r>
              <w:rPr>
                <w:rFonts w:hint="default"/>
                <w:color w:val="auto"/>
                <w:sz w:val="24"/>
                <w:szCs w:val="24"/>
                <w:lang w:val="en-US" w:eastAsia="zh-CN"/>
              </w:rPr>
              <w:t>根据建设单位提供的资料，储罐清洗委托第三方专业单位进行，洗罐产生的油泥由第三方专业清洗单位直接带走。</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废水处理站</w:t>
            </w:r>
            <w:r>
              <w:rPr>
                <w:rFonts w:hint="default"/>
                <w:color w:val="auto"/>
                <w:sz w:val="24"/>
                <w:szCs w:val="24"/>
                <w:lang w:val="en-US" w:eastAsia="zh-CN"/>
              </w:rPr>
              <w:t>污泥</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eastAsia"/>
                <w:color w:val="auto"/>
                <w:sz w:val="24"/>
                <w:szCs w:val="24"/>
                <w:lang w:val="en-US" w:eastAsia="zh-CN"/>
              </w:rPr>
            </w:pPr>
            <w:r>
              <w:rPr>
                <w:rFonts w:hint="eastAsia"/>
                <w:color w:val="auto"/>
                <w:sz w:val="24"/>
                <w:szCs w:val="24"/>
                <w:lang w:val="en-US" w:eastAsia="zh-CN"/>
              </w:rPr>
              <w:t>本项目废水处理站</w:t>
            </w:r>
            <w:r>
              <w:rPr>
                <w:rFonts w:hint="default"/>
                <w:color w:val="auto"/>
                <w:sz w:val="24"/>
                <w:szCs w:val="24"/>
                <w:lang w:val="en-US" w:eastAsia="zh-CN"/>
              </w:rPr>
              <w:t>污泥的最大产生量约为1.39t/a。该类废物属于危险废物HW08废矿物油与</w:t>
            </w:r>
            <w:r>
              <w:rPr>
                <w:rFonts w:hint="eastAsia"/>
                <w:color w:val="auto"/>
                <w:sz w:val="24"/>
                <w:szCs w:val="24"/>
                <w:lang w:val="en-US" w:eastAsia="zh-CN"/>
              </w:rPr>
              <w:t>含矿物油废物</w:t>
            </w:r>
            <w:r>
              <w:rPr>
                <w:rFonts w:hint="default"/>
                <w:color w:val="auto"/>
                <w:sz w:val="24"/>
                <w:szCs w:val="24"/>
                <w:lang w:val="en-US" w:eastAsia="zh-CN"/>
              </w:rPr>
              <w:t>，</w:t>
            </w:r>
            <w:r>
              <w:rPr>
                <w:rFonts w:hint="eastAsia"/>
                <w:color w:val="auto"/>
                <w:sz w:val="24"/>
                <w:szCs w:val="24"/>
                <w:lang w:val="en-US" w:eastAsia="zh-CN"/>
              </w:rPr>
              <w:t>含油废水处理中隔油、气浮、沉淀等处理过程中产生的浮油、浮渣和污泥</w:t>
            </w:r>
            <w:r>
              <w:rPr>
                <w:rFonts w:hint="default"/>
                <w:color w:val="auto"/>
                <w:sz w:val="24"/>
                <w:szCs w:val="24"/>
                <w:lang w:val="en-US" w:eastAsia="zh-CN"/>
              </w:rPr>
              <w:t>（不包括废水生化处理污泥）</w:t>
            </w:r>
            <w:r>
              <w:rPr>
                <w:rFonts w:hint="eastAsia"/>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治理措施：废水处理站污泥</w:t>
            </w:r>
            <w:r>
              <w:rPr>
                <w:rFonts w:hint="default"/>
                <w:color w:val="auto"/>
                <w:sz w:val="24"/>
                <w:szCs w:val="24"/>
                <w:lang w:val="en-US" w:eastAsia="zh-CN"/>
              </w:rPr>
              <w:t>清理完后直接交由有相应危险废物处理资质的单位处置。</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③废水处理设施产生的废油</w:t>
            </w:r>
          </w:p>
          <w:p>
            <w:pPr>
              <w:keepNext w:val="0"/>
              <w:keepLines w:val="0"/>
              <w:pageBreakBefore w:val="0"/>
              <w:widowControl/>
              <w:kinsoku/>
              <w:wordWrap/>
              <w:overflowPunct/>
              <w:topLinePunct w:val="0"/>
              <w:bidi w:val="0"/>
              <w:spacing w:line="440" w:lineRule="exact"/>
              <w:ind w:firstLine="480" w:firstLineChars="200"/>
              <w:jc w:val="both"/>
              <w:textAlignment w:val="baseline"/>
              <w:rPr>
                <w:rFonts w:hint="eastAsia"/>
                <w:color w:val="auto"/>
                <w:sz w:val="24"/>
                <w:szCs w:val="24"/>
                <w:lang w:eastAsia="zh-CN"/>
              </w:rPr>
            </w:pPr>
            <w:r>
              <w:rPr>
                <w:rFonts w:hint="default"/>
                <w:color w:val="auto"/>
                <w:sz w:val="24"/>
                <w:szCs w:val="24"/>
              </w:rPr>
              <w:t>本项目建成后，营运期含油污水处理将会产生废油。根据本项目污水量及特点，类比现有工程废水处理设施产生的废油量，本项目废水处理设施产生的废油约为0.5t/a，该类废物属于危险废物HW08</w:t>
            </w:r>
            <w:r>
              <w:rPr>
                <w:rFonts w:hint="default"/>
                <w:color w:val="auto"/>
                <w:sz w:val="24"/>
                <w:szCs w:val="24"/>
                <w:lang w:val="en-US" w:eastAsia="zh-CN"/>
              </w:rPr>
              <w:t>废矿物油与</w:t>
            </w:r>
            <w:r>
              <w:rPr>
                <w:rFonts w:hint="eastAsia"/>
                <w:color w:val="auto"/>
                <w:sz w:val="24"/>
                <w:szCs w:val="24"/>
                <w:lang w:val="en-US" w:eastAsia="zh-CN"/>
              </w:rPr>
              <w:t>含矿物油废物</w:t>
            </w:r>
            <w:r>
              <w:rPr>
                <w:rFonts w:hint="default"/>
                <w:color w:val="auto"/>
                <w:sz w:val="24"/>
                <w:szCs w:val="24"/>
                <w:lang w:val="en-US" w:eastAsia="zh-CN"/>
              </w:rPr>
              <w:t>，</w:t>
            </w:r>
            <w:r>
              <w:rPr>
                <w:rFonts w:hint="eastAsia"/>
                <w:color w:val="auto"/>
                <w:sz w:val="24"/>
                <w:szCs w:val="24"/>
                <w:lang w:val="en-US" w:eastAsia="zh-CN"/>
              </w:rPr>
              <w:t>含油废水处理中隔油、气浮、沉淀等处理过程中产生的浮油、浮渣和污泥</w:t>
            </w:r>
            <w:r>
              <w:rPr>
                <w:rFonts w:hint="default"/>
                <w:color w:val="auto"/>
                <w:sz w:val="24"/>
                <w:szCs w:val="24"/>
                <w:lang w:val="en-US" w:eastAsia="zh-CN"/>
              </w:rPr>
              <w:t>（不包括废水生化处理污泥）</w:t>
            </w:r>
            <w:r>
              <w:rPr>
                <w:rFonts w:hint="eastAsia"/>
                <w:color w:val="auto"/>
                <w:sz w:val="24"/>
                <w:szCs w:val="24"/>
                <w:lang w:eastAsia="zh-CN"/>
              </w:rPr>
              <w:t>。</w:t>
            </w:r>
          </w:p>
          <w:p>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治理措施：废水处理设施产生的废油</w:t>
            </w:r>
            <w:r>
              <w:rPr>
                <w:rFonts w:hint="default"/>
                <w:color w:val="auto"/>
                <w:sz w:val="24"/>
                <w:szCs w:val="24"/>
              </w:rPr>
              <w:t>集中收集暂存于危险废物暂存间废油收集桶，定期交由有资质单位回收处理。</w:t>
            </w:r>
          </w:p>
          <w:p>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4 \* GB3 </w:instrText>
            </w:r>
            <w:r>
              <w:rPr>
                <w:rFonts w:hint="default"/>
                <w:color w:val="auto"/>
                <w:sz w:val="24"/>
                <w:szCs w:val="24"/>
              </w:rPr>
              <w:fldChar w:fldCharType="separate"/>
            </w:r>
            <w:r>
              <w:rPr>
                <w:rFonts w:hint="default"/>
                <w:color w:val="auto"/>
                <w:sz w:val="24"/>
                <w:szCs w:val="24"/>
              </w:rPr>
              <w:t>④</w:t>
            </w:r>
            <w:r>
              <w:rPr>
                <w:rFonts w:hint="default"/>
                <w:color w:val="auto"/>
                <w:sz w:val="24"/>
                <w:szCs w:val="24"/>
              </w:rPr>
              <w:fldChar w:fldCharType="end"/>
            </w:r>
            <w:r>
              <w:rPr>
                <w:rFonts w:hint="default"/>
                <w:color w:val="auto"/>
                <w:sz w:val="24"/>
                <w:szCs w:val="24"/>
              </w:rPr>
              <w:t>降质油</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项目运营后，每天定期对储油罐底油进行检验，检验过程中闭路取样器、过滤分离器中的底油进入质量检查罐，检验不合格的油品进入</w:t>
            </w:r>
            <w:r>
              <w:rPr>
                <w:rFonts w:hint="eastAsia"/>
                <w:color w:val="auto"/>
                <w:sz w:val="24"/>
                <w:szCs w:val="24"/>
                <w:lang w:val="en-US" w:eastAsia="zh-CN"/>
              </w:rPr>
              <w:t>危废间内的污油罐</w:t>
            </w:r>
            <w:r>
              <w:rPr>
                <w:rFonts w:hint="default"/>
                <w:color w:val="auto"/>
                <w:sz w:val="24"/>
                <w:szCs w:val="24"/>
                <w:lang w:val="en-US" w:eastAsia="zh-CN"/>
              </w:rPr>
              <w:t>，根据建设单位提供的数据，降质油产生量占总周转油品的比例为0.0023%，本项目年最大周转油品量</w:t>
            </w:r>
            <w:r>
              <w:rPr>
                <w:rFonts w:hint="eastAsia"/>
                <w:color w:val="auto"/>
                <w:sz w:val="24"/>
                <w:szCs w:val="24"/>
                <w:lang w:val="en-US" w:eastAsia="zh-CN"/>
              </w:rPr>
              <w:t>39.36</w:t>
            </w:r>
            <w:r>
              <w:rPr>
                <w:rFonts w:hint="default"/>
                <w:color w:val="auto"/>
                <w:sz w:val="24"/>
                <w:szCs w:val="24"/>
                <w:lang w:val="en-US" w:eastAsia="zh-CN"/>
              </w:rPr>
              <w:t>吨，则降质油的产生量约为</w:t>
            </w:r>
            <w:r>
              <w:rPr>
                <w:rFonts w:hint="eastAsia"/>
                <w:color w:val="auto"/>
                <w:sz w:val="24"/>
                <w:szCs w:val="24"/>
                <w:lang w:val="en-US" w:eastAsia="zh-CN"/>
              </w:rPr>
              <w:t>9.05</w:t>
            </w:r>
            <w:r>
              <w:rPr>
                <w:rFonts w:hint="default"/>
                <w:color w:val="auto"/>
                <w:sz w:val="24"/>
                <w:szCs w:val="24"/>
                <w:lang w:val="en-US" w:eastAsia="zh-CN"/>
              </w:rPr>
              <w:t>t/a。</w:t>
            </w:r>
            <w:r>
              <w:rPr>
                <w:rFonts w:hint="default"/>
                <w:color w:val="auto"/>
                <w:sz w:val="24"/>
                <w:szCs w:val="24"/>
                <w:lang w:val="en-US" w:eastAsia="zh-CN"/>
              </w:rPr>
              <w:t>该废物属于危险废物（HW08，废矿物油与含</w:t>
            </w:r>
            <w:r>
              <w:rPr>
                <w:rFonts w:hint="eastAsia"/>
                <w:color w:val="auto"/>
                <w:sz w:val="24"/>
                <w:szCs w:val="24"/>
                <w:lang w:val="en-US" w:eastAsia="zh-CN"/>
              </w:rPr>
              <w:t>矿物油废物</w:t>
            </w:r>
            <w:r>
              <w:rPr>
                <w:rFonts w:hint="default"/>
                <w:color w:val="auto"/>
                <w:sz w:val="24"/>
                <w:szCs w:val="24"/>
                <w:lang w:val="en-US" w:eastAsia="zh-CN"/>
              </w:rPr>
              <w:t>，其他生产、销售、使用过程中产生的废矿物油及</w:t>
            </w:r>
            <w:r>
              <w:rPr>
                <w:rFonts w:hint="eastAsia"/>
                <w:color w:val="auto"/>
                <w:sz w:val="24"/>
                <w:szCs w:val="24"/>
                <w:lang w:val="en-US" w:eastAsia="zh-CN"/>
              </w:rPr>
              <w:t>沾染矿物油的废弃包装物</w:t>
            </w:r>
            <w:r>
              <w:rPr>
                <w:rFonts w:hint="default"/>
                <w:color w:val="auto"/>
                <w:sz w:val="24"/>
                <w:szCs w:val="24"/>
                <w:lang w:val="en-US" w:eastAsia="zh-CN"/>
              </w:rPr>
              <w:t>）</w:t>
            </w:r>
            <w:r>
              <w:rPr>
                <w:rFonts w:hint="eastAsia"/>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治理措施：</w:t>
            </w:r>
            <w:r>
              <w:rPr>
                <w:rFonts w:hint="default"/>
                <w:color w:val="auto"/>
                <w:sz w:val="24"/>
                <w:szCs w:val="24"/>
                <w:lang w:val="en-US" w:eastAsia="zh-CN"/>
              </w:rPr>
              <w:t>降质油</w:t>
            </w:r>
            <w:r>
              <w:rPr>
                <w:rFonts w:hint="eastAsia"/>
                <w:color w:val="auto"/>
                <w:sz w:val="24"/>
                <w:szCs w:val="24"/>
                <w:lang w:val="en-US" w:eastAsia="zh-CN"/>
              </w:rPr>
              <w:t>暂存于危废间内的污油罐</w:t>
            </w:r>
            <w:r>
              <w:rPr>
                <w:rFonts w:hint="default"/>
                <w:color w:val="auto"/>
                <w:sz w:val="24"/>
                <w:szCs w:val="24"/>
                <w:lang w:val="en-US" w:eastAsia="zh-CN"/>
              </w:rPr>
              <w:t>，</w:t>
            </w:r>
            <w:r>
              <w:rPr>
                <w:rFonts w:hint="eastAsia"/>
                <w:color w:val="auto"/>
                <w:sz w:val="24"/>
                <w:szCs w:val="24"/>
                <w:lang w:val="en-US" w:eastAsia="zh-CN"/>
              </w:rPr>
              <w:t>定期</w:t>
            </w:r>
            <w:r>
              <w:rPr>
                <w:rFonts w:hint="default"/>
                <w:color w:val="auto"/>
                <w:sz w:val="24"/>
                <w:szCs w:val="24"/>
                <w:lang w:val="en-US" w:eastAsia="zh-CN"/>
              </w:rPr>
              <w:t>交由有资质单位回收处理。</w:t>
            </w:r>
          </w:p>
          <w:p>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eastAsia" w:eastAsia="宋体"/>
                <w:color w:val="auto"/>
                <w:sz w:val="24"/>
                <w:szCs w:val="24"/>
                <w:lang w:eastAsia="zh-CN"/>
              </w:rPr>
            </w:pPr>
            <w:r>
              <w:rPr>
                <w:rFonts w:hint="default"/>
                <w:color w:val="auto"/>
                <w:sz w:val="24"/>
                <w:szCs w:val="24"/>
              </w:rPr>
              <w:fldChar w:fldCharType="begin"/>
            </w:r>
            <w:r>
              <w:rPr>
                <w:rFonts w:hint="default"/>
                <w:color w:val="auto"/>
                <w:sz w:val="24"/>
                <w:szCs w:val="24"/>
              </w:rPr>
              <w:instrText xml:space="preserve"> = 5 \* GB3 </w:instrText>
            </w:r>
            <w:r>
              <w:rPr>
                <w:rFonts w:hint="default"/>
                <w:color w:val="auto"/>
                <w:sz w:val="24"/>
                <w:szCs w:val="24"/>
              </w:rPr>
              <w:fldChar w:fldCharType="separate"/>
            </w:r>
            <w:r>
              <w:rPr>
                <w:rFonts w:hint="default"/>
                <w:color w:val="auto"/>
                <w:sz w:val="24"/>
                <w:szCs w:val="24"/>
              </w:rPr>
              <w:t>⑤</w:t>
            </w:r>
            <w:r>
              <w:rPr>
                <w:rFonts w:hint="default"/>
                <w:color w:val="auto"/>
                <w:sz w:val="24"/>
                <w:szCs w:val="24"/>
              </w:rPr>
              <w:fldChar w:fldCharType="end"/>
            </w:r>
            <w:r>
              <w:rPr>
                <w:rFonts w:hint="default"/>
                <w:color w:val="auto"/>
                <w:sz w:val="24"/>
                <w:szCs w:val="24"/>
              </w:rPr>
              <w:t>废</w:t>
            </w:r>
            <w:r>
              <w:rPr>
                <w:rFonts w:hint="eastAsia"/>
                <w:color w:val="auto"/>
                <w:sz w:val="24"/>
                <w:szCs w:val="24"/>
                <w:lang w:eastAsia="zh-CN"/>
              </w:rPr>
              <w:t>活性炭</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both"/>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油气回收装置为</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个吸附箱并联，每个吸附箱内径</w:t>
            </w:r>
            <w:r>
              <w:rPr>
                <w:rFonts w:hint="default" w:ascii="Times New Roman" w:hAnsi="Times New Roman" w:eastAsia="宋体" w:cs="Times New Roman"/>
                <w:color w:val="auto"/>
                <w:sz w:val="24"/>
                <w:szCs w:val="24"/>
                <w:lang w:val="en-US" w:eastAsia="zh-CN"/>
              </w:rPr>
              <w:t>1.5m</w:t>
            </w:r>
            <w:r>
              <w:rPr>
                <w:rFonts w:hint="eastAsia" w:ascii="Times New Roman" w:hAnsi="Times New Roman" w:eastAsia="宋体" w:cs="Times New Roman"/>
                <w:color w:val="auto"/>
                <w:sz w:val="24"/>
                <w:szCs w:val="24"/>
                <w:lang w:val="en-US" w:eastAsia="zh-CN"/>
              </w:rPr>
              <w:t>，高</w:t>
            </w:r>
            <w:r>
              <w:rPr>
                <w:rFonts w:hint="default" w:ascii="Times New Roman" w:hAnsi="Times New Roman" w:eastAsia="宋体" w:cs="Times New Roman"/>
                <w:color w:val="auto"/>
                <w:sz w:val="24"/>
                <w:szCs w:val="24"/>
                <w:lang w:val="en-US" w:eastAsia="zh-CN"/>
              </w:rPr>
              <w:t>2m</w:t>
            </w:r>
            <w:r>
              <w:rPr>
                <w:rFonts w:hint="eastAsia" w:ascii="Times New Roman" w:hAnsi="Times New Roman" w:eastAsia="宋体" w:cs="Times New Roman"/>
                <w:color w:val="auto"/>
                <w:sz w:val="24"/>
                <w:szCs w:val="24"/>
                <w:lang w:val="en-US" w:eastAsia="zh-CN"/>
              </w:rPr>
              <w:t>，含</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t活性炭，活性炭更换周期为</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次，废活性炭产生量为2</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次。</w:t>
            </w:r>
            <w:r>
              <w:rPr>
                <w:rFonts w:hint="eastAsia" w:cs="Times New Roman"/>
                <w:color w:val="auto"/>
                <w:sz w:val="24"/>
                <w:szCs w:val="24"/>
                <w:lang w:val="en-US" w:eastAsia="zh-CN"/>
              </w:rPr>
              <w:t>该废物属于危险废物（HW49其他废物，烟气、VOCs治理过程产生的废活性炭）</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治理措施：</w:t>
            </w:r>
            <w:r>
              <w:rPr>
                <w:rFonts w:hint="default"/>
                <w:color w:val="auto"/>
                <w:sz w:val="24"/>
                <w:szCs w:val="24"/>
                <w:lang w:eastAsia="zh-CN"/>
              </w:rPr>
              <w:t>废活性炭</w:t>
            </w:r>
            <w:r>
              <w:rPr>
                <w:rFonts w:hint="default"/>
                <w:color w:val="auto"/>
                <w:sz w:val="24"/>
                <w:szCs w:val="24"/>
              </w:rPr>
              <w:t>委托有资质的单位进行定期收集和处置。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lang w:val="en-US" w:eastAsia="zh-CN"/>
              </w:rPr>
              <w:t>⑥化验室废弃酸、碱、化学药剂、废渣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highlight w:val="none"/>
                <w:lang w:val="en-US" w:eastAsia="zh-CN" w:bidi="ar"/>
              </w:rPr>
              <w:t>项目运营后，化验、检测过程中将会产生废弃酸、碱、化学试剂和废渣。类比原有工程，</w:t>
            </w:r>
            <w:r>
              <w:rPr>
                <w:rFonts w:hint="eastAsia" w:ascii="Times New Roman" w:hAnsi="Times New Roman" w:eastAsia="宋体" w:cs="Times New Roman"/>
                <w:color w:val="auto"/>
                <w:sz w:val="24"/>
                <w:szCs w:val="24"/>
                <w:lang w:val="en-US" w:eastAsia="zh-CN"/>
              </w:rPr>
              <w:t>化验室产生的废弃酸、碱、化学药剂、废渣约为0.5t/a，该类废物属于危险废物HW49其他废物。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lang w:val="en-US" w:eastAsia="zh-CN"/>
              </w:rPr>
              <w:t>治理措施：</w:t>
            </w:r>
            <w:r>
              <w:rPr>
                <w:rFonts w:hint="default" w:ascii="Times New Roman" w:hAnsi="Times New Roman" w:eastAsia="宋体" w:cs="Times New Roman"/>
                <w:color w:val="auto"/>
                <w:sz w:val="24"/>
                <w:szCs w:val="24"/>
                <w:lang w:val="en-US" w:eastAsia="zh-CN"/>
              </w:rPr>
              <w:t>由化验室统一收集暂存于化验废液集存池，</w:t>
            </w:r>
            <w:r>
              <w:rPr>
                <w:rFonts w:hint="eastAsia" w:ascii="Times New Roman" w:hAnsi="Times New Roman" w:eastAsia="宋体" w:cs="Times New Roman"/>
                <w:color w:val="auto"/>
                <w:sz w:val="24"/>
                <w:szCs w:val="24"/>
                <w:lang w:val="en-US" w:eastAsia="zh-CN"/>
              </w:rPr>
              <w:t>委托有资质单位处理。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⑦含油抹布及劳保用品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本项目运营期储油库作业区将会产生含油抹布及劳保用品。类比原油工程，项目运营期储油库作业区产生的含油抹布及劳保用品约0.2t/a，该类废物属于危险废物HW49其他废物。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治理措施：收集于塑料桶暂存于危废暂存间内，定期交由有资质单位处理。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⑧</w:t>
            </w:r>
            <w:r>
              <w:rPr>
                <w:rFonts w:hint="eastAsia" w:cs="Times New Roman"/>
                <w:color w:val="auto"/>
                <w:kern w:val="0"/>
                <w:sz w:val="24"/>
                <w:szCs w:val="24"/>
                <w:highlight w:val="none"/>
                <w:lang w:val="en-US" w:eastAsia="zh-CN" w:bidi="ar"/>
              </w:rPr>
              <w:t>罐底切水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根据水平衡，本项目罐底切水产生量为39.36t/a。该废物属于危险废物（HW09油/水、烃/水混合物或乳化液，其他生产工艺过程中产生的油/水、烃/水混合物或乳化液）。</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olor w:val="auto"/>
                <w:sz w:val="24"/>
                <w:szCs w:val="24"/>
                <w:lang w:val="en-US" w:eastAsia="zh-CN"/>
              </w:rPr>
              <w:t>治理措施：罐底切水暂存于暂存间</w:t>
            </w:r>
            <w:r>
              <w:rPr>
                <w:rFonts w:hint="default"/>
                <w:color w:val="auto"/>
                <w:sz w:val="24"/>
                <w:szCs w:val="24"/>
                <w:lang w:val="en-US" w:eastAsia="zh-CN"/>
              </w:rPr>
              <w:t>，</w:t>
            </w:r>
            <w:r>
              <w:rPr>
                <w:rFonts w:hint="eastAsia"/>
                <w:color w:val="auto"/>
                <w:sz w:val="24"/>
                <w:szCs w:val="24"/>
                <w:lang w:val="en-US" w:eastAsia="zh-CN"/>
              </w:rPr>
              <w:t>定期</w:t>
            </w:r>
            <w:r>
              <w:rPr>
                <w:rFonts w:hint="default"/>
                <w:color w:val="auto"/>
                <w:sz w:val="24"/>
                <w:szCs w:val="24"/>
                <w:lang w:val="en-US" w:eastAsia="zh-CN"/>
              </w:rPr>
              <w:t>交由有资质单位回收处理。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⑨</w:t>
            </w:r>
            <w:r>
              <w:rPr>
                <w:rFonts w:hint="eastAsia" w:cs="Times New Roman"/>
                <w:color w:val="auto"/>
                <w:kern w:val="0"/>
                <w:sz w:val="24"/>
                <w:szCs w:val="24"/>
                <w:highlight w:val="none"/>
                <w:lang w:val="en-US" w:eastAsia="zh-CN" w:bidi="ar"/>
              </w:rPr>
              <w:t>储罐清洗废水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根据水平衡，本项目储罐清洗废水产生量为864t/3a。</w:t>
            </w:r>
            <w:r>
              <w:rPr>
                <w:rFonts w:hint="default"/>
                <w:color w:val="auto"/>
                <w:sz w:val="24"/>
                <w:szCs w:val="24"/>
                <w:lang w:val="en-US" w:eastAsia="zh-CN"/>
              </w:rPr>
              <w:t>该类废物属于危险废物（HW08</w:t>
            </w:r>
            <w:r>
              <w:rPr>
                <w:rFonts w:hint="eastAsia"/>
                <w:color w:val="auto"/>
                <w:sz w:val="24"/>
                <w:szCs w:val="24"/>
                <w:lang w:val="en-US" w:eastAsia="zh-CN"/>
              </w:rPr>
              <w:t>废矿物油与含矿物油废物</w:t>
            </w:r>
            <w:r>
              <w:rPr>
                <w:rFonts w:hint="default"/>
                <w:color w:val="auto"/>
                <w:sz w:val="24"/>
                <w:szCs w:val="24"/>
                <w:lang w:val="en-US" w:eastAsia="zh-CN"/>
              </w:rPr>
              <w:t>，清洗矿物油储存、输送设施过程中产生的油/水和烃/水混合物）。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olor w:val="auto"/>
                <w:sz w:val="24"/>
                <w:szCs w:val="24"/>
                <w:lang w:val="en-US" w:eastAsia="zh-CN"/>
              </w:rPr>
              <w:t>治理措施：储罐清洗废水暂存于暂存间</w:t>
            </w:r>
            <w:r>
              <w:rPr>
                <w:rFonts w:hint="default"/>
                <w:color w:val="auto"/>
                <w:sz w:val="24"/>
                <w:szCs w:val="24"/>
                <w:lang w:val="en-US" w:eastAsia="zh-CN"/>
              </w:rPr>
              <w:t>，</w:t>
            </w:r>
            <w:r>
              <w:rPr>
                <w:rFonts w:hint="eastAsia"/>
                <w:color w:val="auto"/>
                <w:sz w:val="24"/>
                <w:szCs w:val="24"/>
                <w:lang w:val="en-US" w:eastAsia="zh-CN"/>
              </w:rPr>
              <w:t>定期</w:t>
            </w:r>
            <w:r>
              <w:rPr>
                <w:rFonts w:hint="default"/>
                <w:color w:val="auto"/>
                <w:sz w:val="24"/>
                <w:szCs w:val="24"/>
                <w:lang w:val="en-US" w:eastAsia="zh-CN"/>
              </w:rPr>
              <w:t>交由有资质单位回收处理。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项目危险废物排放情况见下表。</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4-28</w:t>
            </w:r>
            <w:r>
              <w:rPr>
                <w:b/>
                <w:bCs/>
                <w:color w:val="auto"/>
                <w:sz w:val="24"/>
                <w:szCs w:val="24"/>
                <w:highlight w:val="none"/>
              </w:rPr>
              <w:t xml:space="preserve">    </w:t>
            </w:r>
            <w:r>
              <w:rPr>
                <w:rFonts w:hint="eastAsia"/>
                <w:b/>
                <w:bCs/>
                <w:color w:val="auto"/>
                <w:sz w:val="24"/>
                <w:szCs w:val="24"/>
                <w:highlight w:val="none"/>
                <w:lang w:eastAsia="zh-CN"/>
              </w:rPr>
              <w:t>拟建项目</w:t>
            </w:r>
            <w:r>
              <w:rPr>
                <w:b/>
                <w:bCs/>
                <w:color w:val="auto"/>
                <w:sz w:val="24"/>
                <w:szCs w:val="24"/>
                <w:highlight w:val="none"/>
              </w:rPr>
              <w:t>危险废物汇总表</w:t>
            </w:r>
          </w:p>
          <w:tbl>
            <w:tblPr>
              <w:tblStyle w:val="1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8"/>
              <w:gridCol w:w="1063"/>
              <w:gridCol w:w="633"/>
              <w:gridCol w:w="676"/>
              <w:gridCol w:w="793"/>
              <w:gridCol w:w="704"/>
              <w:gridCol w:w="360"/>
              <w:gridCol w:w="496"/>
              <w:gridCol w:w="465"/>
              <w:gridCol w:w="445"/>
              <w:gridCol w:w="604"/>
              <w:gridCol w:w="554"/>
              <w:gridCol w:w="448"/>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48"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序号</w:t>
                  </w:r>
                </w:p>
              </w:tc>
              <w:tc>
                <w:tcPr>
                  <w:tcW w:w="636"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危险废物名称</w:t>
                  </w:r>
                </w:p>
              </w:tc>
              <w:tc>
                <w:tcPr>
                  <w:tcW w:w="378"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危险废物类别</w:t>
                  </w:r>
                </w:p>
              </w:tc>
              <w:tc>
                <w:tcPr>
                  <w:tcW w:w="404"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危险废物代码</w:t>
                  </w:r>
                </w:p>
              </w:tc>
              <w:tc>
                <w:tcPr>
                  <w:tcW w:w="474"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产生量（t/a）</w:t>
                  </w:r>
                </w:p>
              </w:tc>
              <w:tc>
                <w:tcPr>
                  <w:tcW w:w="421"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产生工序及装置</w:t>
                  </w:r>
                </w:p>
              </w:tc>
              <w:tc>
                <w:tcPr>
                  <w:tcW w:w="215"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形态</w:t>
                  </w:r>
                </w:p>
              </w:tc>
              <w:tc>
                <w:tcPr>
                  <w:tcW w:w="296"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主要成分</w:t>
                  </w:r>
                </w:p>
              </w:tc>
              <w:tc>
                <w:tcPr>
                  <w:tcW w:w="278"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有害成分</w:t>
                  </w:r>
                </w:p>
              </w:tc>
              <w:tc>
                <w:tcPr>
                  <w:tcW w:w="266"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产废周期</w:t>
                  </w:r>
                </w:p>
              </w:tc>
              <w:tc>
                <w:tcPr>
                  <w:tcW w:w="361"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危险特性</w:t>
                  </w:r>
                </w:p>
              </w:tc>
              <w:tc>
                <w:tcPr>
                  <w:tcW w:w="331"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default"/>
                      <w:color w:val="auto"/>
                      <w:spacing w:val="-10"/>
                      <w:sz w:val="21"/>
                      <w:szCs w:val="21"/>
                      <w:highlight w:val="none"/>
                    </w:rPr>
                    <w:t>最大贮存量</w:t>
                  </w:r>
                  <w:r>
                    <w:rPr>
                      <w:rFonts w:hint="eastAsia"/>
                      <w:color w:val="auto"/>
                      <w:spacing w:val="-10"/>
                      <w:sz w:val="21"/>
                      <w:szCs w:val="21"/>
                      <w:highlight w:val="none"/>
                      <w:lang w:eastAsia="zh-CN"/>
                    </w:rPr>
                    <w:t>（</w:t>
                  </w:r>
                  <w:r>
                    <w:rPr>
                      <w:rFonts w:hint="eastAsia"/>
                      <w:color w:val="auto"/>
                      <w:spacing w:val="-10"/>
                      <w:sz w:val="21"/>
                      <w:szCs w:val="21"/>
                      <w:highlight w:val="none"/>
                      <w:lang w:val="en-US" w:eastAsia="zh-CN"/>
                    </w:rPr>
                    <w:t>t）</w:t>
                  </w:r>
                </w:p>
              </w:tc>
              <w:tc>
                <w:tcPr>
                  <w:tcW w:w="268"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转运频次</w:t>
                  </w:r>
                </w:p>
              </w:tc>
              <w:tc>
                <w:tcPr>
                  <w:tcW w:w="518"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48"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1</w:t>
                  </w:r>
                </w:p>
              </w:tc>
              <w:tc>
                <w:tcPr>
                  <w:tcW w:w="636" w:type="pct"/>
                  <w:noWrap w:val="0"/>
                  <w:vAlign w:val="center"/>
                </w:tcPr>
                <w:p>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lang w:eastAsia="zh-CN"/>
                    </w:rPr>
                    <w:t>储罐油泥</w:t>
                  </w:r>
                  <w:r>
                    <w:rPr>
                      <w:rFonts w:hint="default"/>
                      <w:color w:val="auto"/>
                      <w:spacing w:val="-10"/>
                      <w:sz w:val="21"/>
                      <w:szCs w:val="21"/>
                      <w:highlight w:val="none"/>
                    </w:rPr>
                    <w:t>HW</w:t>
                  </w:r>
                  <w:r>
                    <w:rPr>
                      <w:rFonts w:hint="eastAsia"/>
                      <w:color w:val="auto"/>
                      <w:spacing w:val="-10"/>
                      <w:sz w:val="21"/>
                      <w:szCs w:val="21"/>
                      <w:highlight w:val="none"/>
                    </w:rPr>
                    <w:t>0</w:t>
                  </w:r>
                  <w:r>
                    <w:rPr>
                      <w:rFonts w:hint="eastAsia"/>
                      <w:color w:val="auto"/>
                      <w:spacing w:val="-10"/>
                      <w:sz w:val="21"/>
                      <w:szCs w:val="21"/>
                      <w:highlight w:val="none"/>
                      <w:lang w:val="en-US" w:eastAsia="zh-CN"/>
                    </w:rPr>
                    <w:t>8</w:t>
                  </w:r>
                </w:p>
              </w:tc>
              <w:tc>
                <w:tcPr>
                  <w:tcW w:w="378" w:type="pct"/>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毒性、易燃性废物</w:t>
                  </w:r>
                </w:p>
              </w:tc>
              <w:tc>
                <w:tcPr>
                  <w:tcW w:w="404" w:type="pct"/>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251-001-08</w:t>
                  </w:r>
                </w:p>
              </w:tc>
              <w:tc>
                <w:tcPr>
                  <w:tcW w:w="47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c>
                <w:tcPr>
                  <w:tcW w:w="421" w:type="pct"/>
                  <w:noWrap w:val="0"/>
                  <w:vAlign w:val="center"/>
                </w:tcPr>
                <w:p>
                  <w:pPr>
                    <w:pStyle w:val="29"/>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储罐清洗</w:t>
                  </w:r>
                </w:p>
              </w:tc>
              <w:tc>
                <w:tcPr>
                  <w:tcW w:w="215" w:type="pct"/>
                  <w:noWrap w:val="0"/>
                  <w:vAlign w:val="center"/>
                </w:tcPr>
                <w:p>
                  <w:pPr>
                    <w:pStyle w:val="2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sz w:val="21"/>
                      <w:szCs w:val="21"/>
                      <w:highlight w:val="none"/>
                    </w:rPr>
                    <w:t>固态</w:t>
                  </w:r>
                </w:p>
              </w:tc>
              <w:tc>
                <w:tcPr>
                  <w:tcW w:w="575" w:type="pct"/>
                  <w:gridSpan w:val="2"/>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矿物质油</w:t>
                  </w:r>
                </w:p>
              </w:tc>
              <w:tc>
                <w:tcPr>
                  <w:tcW w:w="266" w:type="pct"/>
                  <w:noWrap w:val="0"/>
                  <w:vAlign w:val="center"/>
                </w:tcPr>
                <w:p>
                  <w:pPr>
                    <w:pStyle w:val="2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3年</w:t>
                  </w:r>
                </w:p>
              </w:tc>
              <w:tc>
                <w:tcPr>
                  <w:tcW w:w="361" w:type="pct"/>
                  <w:noWrap w:val="0"/>
                  <w:vAlign w:val="center"/>
                </w:tcPr>
                <w:p>
                  <w:pPr>
                    <w:pStyle w:val="29"/>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w:t>
                  </w:r>
                </w:p>
              </w:tc>
              <w:tc>
                <w:tcPr>
                  <w:tcW w:w="33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eastAsia="宋体" w:cs="Times New Roman"/>
                      <w:color w:val="auto"/>
                      <w:spacing w:val="-10"/>
                      <w:kern w:val="2"/>
                      <w:sz w:val="21"/>
                      <w:szCs w:val="21"/>
                      <w:highlight w:val="none"/>
                      <w:lang w:val="en-US" w:eastAsia="zh-CN" w:bidi="ar-SA"/>
                    </w:rPr>
                    <w:t>--</w:t>
                  </w:r>
                </w:p>
              </w:tc>
              <w:tc>
                <w:tcPr>
                  <w:tcW w:w="268" w:type="pct"/>
                  <w:noWrap w:val="0"/>
                  <w:vAlign w:val="center"/>
                </w:tcPr>
                <w:p>
                  <w:pPr>
                    <w:pStyle w:val="2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w:t>
                  </w:r>
                  <w:r>
                    <w:rPr>
                      <w:rFonts w:hint="default"/>
                      <w:color w:val="auto"/>
                      <w:spacing w:val="-10"/>
                      <w:sz w:val="21"/>
                      <w:szCs w:val="21"/>
                      <w:highlight w:val="none"/>
                    </w:rPr>
                    <w:t>次/</w:t>
                  </w:r>
                  <w:r>
                    <w:rPr>
                      <w:rFonts w:hint="eastAsia"/>
                      <w:color w:val="auto"/>
                      <w:spacing w:val="-10"/>
                      <w:sz w:val="21"/>
                      <w:szCs w:val="21"/>
                      <w:highlight w:val="none"/>
                      <w:lang w:val="en-US" w:eastAsia="zh-CN"/>
                    </w:rPr>
                    <w:t>3</w:t>
                  </w:r>
                  <w:r>
                    <w:rPr>
                      <w:rFonts w:hint="default"/>
                      <w:color w:val="auto"/>
                      <w:spacing w:val="-10"/>
                      <w:sz w:val="21"/>
                      <w:szCs w:val="21"/>
                      <w:highlight w:val="none"/>
                    </w:rPr>
                    <w:t>a</w:t>
                  </w:r>
                </w:p>
              </w:tc>
              <w:tc>
                <w:tcPr>
                  <w:tcW w:w="518" w:type="pct"/>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由第三方专业单位清洗后直接带走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2</w:t>
                  </w:r>
                </w:p>
              </w:tc>
              <w:tc>
                <w:tcPr>
                  <w:tcW w:w="636"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eastAsia="zh-CN"/>
                    </w:rPr>
                    <w:t>废水处理站污泥</w:t>
                  </w:r>
                  <w:r>
                    <w:rPr>
                      <w:rFonts w:hint="eastAsia"/>
                      <w:color w:val="auto"/>
                      <w:spacing w:val="-10"/>
                      <w:sz w:val="21"/>
                      <w:szCs w:val="21"/>
                      <w:highlight w:val="none"/>
                    </w:rPr>
                    <w:t>HW0</w:t>
                  </w:r>
                  <w:r>
                    <w:rPr>
                      <w:rFonts w:hint="eastAsia"/>
                      <w:color w:val="auto"/>
                      <w:spacing w:val="-10"/>
                      <w:sz w:val="21"/>
                      <w:szCs w:val="21"/>
                      <w:highlight w:val="none"/>
                      <w:lang w:val="en-US" w:eastAsia="zh-CN"/>
                    </w:rPr>
                    <w:t>8</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rPr>
                  </w:pPr>
                  <w:r>
                    <w:rPr>
                      <w:rFonts w:hint="eastAsia"/>
                      <w:color w:val="auto"/>
                      <w:spacing w:val="-10"/>
                      <w:sz w:val="21"/>
                      <w:szCs w:val="21"/>
                      <w:highlight w:val="none"/>
                      <w:lang w:val="en-US" w:eastAsia="zh-CN"/>
                    </w:rPr>
                    <w:t>900-210-08</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1.39</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废水处理过程</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固态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lang w:eastAsia="zh-CN"/>
                    </w:rPr>
                    <w:t>矿物质油</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每天</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毒性、易燃性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eastAsia="宋体"/>
                      <w:color w:val="auto"/>
                      <w:spacing w:val="-10"/>
                      <w:sz w:val="21"/>
                      <w:szCs w:val="21"/>
                      <w:highlight w:val="none"/>
                      <w:lang w:val="en-US" w:eastAsia="zh-CN"/>
                    </w:rPr>
                    <w:t>--</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清理后直接交由有资质单位处理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3</w:t>
                  </w:r>
                </w:p>
              </w:tc>
              <w:tc>
                <w:tcPr>
                  <w:tcW w:w="636"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污水处理设施废油</w:t>
                  </w:r>
                  <w:r>
                    <w:rPr>
                      <w:rFonts w:hint="eastAsia"/>
                      <w:color w:val="auto"/>
                      <w:spacing w:val="-10"/>
                      <w:sz w:val="21"/>
                      <w:szCs w:val="21"/>
                      <w:highlight w:val="none"/>
                    </w:rPr>
                    <w:t>HW0</w:t>
                  </w:r>
                  <w:r>
                    <w:rPr>
                      <w:rFonts w:hint="eastAsia"/>
                      <w:color w:val="auto"/>
                      <w:spacing w:val="-10"/>
                      <w:sz w:val="21"/>
                      <w:szCs w:val="21"/>
                      <w:highlight w:val="none"/>
                      <w:lang w:val="en-US" w:eastAsia="zh-CN"/>
                    </w:rPr>
                    <w:t>8</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val="en-US" w:eastAsia="zh-CN"/>
                    </w:rPr>
                    <w:t>900-210-08</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0.5</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废水处理过程</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液态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矿物质油</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每天</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eastAsia="宋体"/>
                      <w:color w:val="auto"/>
                      <w:spacing w:val="-10"/>
                      <w:sz w:val="21"/>
                      <w:szCs w:val="21"/>
                      <w:highlight w:val="none"/>
                      <w:lang w:val="en-US" w:eastAsia="zh-CN"/>
                    </w:rPr>
                    <w:t>0.25</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val="en-US" w:eastAsia="zh-CN"/>
                    </w:rPr>
                    <w:t>暂存危废间</w:t>
                  </w:r>
                  <w:r>
                    <w:rPr>
                      <w:rFonts w:hint="eastAsia"/>
                      <w:color w:val="auto"/>
                      <w:spacing w:val="-10"/>
                      <w:sz w:val="21"/>
                      <w:szCs w:val="21"/>
                      <w:highlight w:val="none"/>
                      <w:lang w:eastAsia="zh-CN"/>
                    </w:rPr>
                    <w:t>，交由有资质单位处理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4</w:t>
                  </w:r>
                </w:p>
              </w:tc>
              <w:tc>
                <w:tcPr>
                  <w:tcW w:w="636" w:type="pct"/>
                  <w:tcBorders>
                    <w:tl2br w:val="nil"/>
                    <w:tr2bl w:val="nil"/>
                  </w:tcBorders>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eastAsia="zh-CN"/>
                    </w:rPr>
                  </w:pPr>
                  <w:r>
                    <w:rPr>
                      <w:rFonts w:hint="eastAsia" w:ascii="Times New Roman" w:cs="Times New Roman"/>
                      <w:color w:val="auto"/>
                      <w:spacing w:val="-10"/>
                      <w:kern w:val="2"/>
                      <w:sz w:val="21"/>
                      <w:szCs w:val="21"/>
                      <w:highlight w:val="none"/>
                      <w:lang w:eastAsia="zh-CN"/>
                    </w:rPr>
                    <w:t>降质油</w:t>
                  </w:r>
                  <w:r>
                    <w:rPr>
                      <w:rFonts w:hint="eastAsia" w:ascii="Times New Roman" w:cs="Times New Roman"/>
                      <w:color w:val="auto"/>
                      <w:spacing w:val="-10"/>
                      <w:kern w:val="2"/>
                      <w:sz w:val="21"/>
                      <w:szCs w:val="21"/>
                      <w:highlight w:val="none"/>
                    </w:rPr>
                    <w:t>HW0</w:t>
                  </w:r>
                  <w:r>
                    <w:rPr>
                      <w:rFonts w:hint="eastAsia" w:ascii="Times New Roman" w:cs="Times New Roman"/>
                      <w:color w:val="auto"/>
                      <w:spacing w:val="-10"/>
                      <w:kern w:val="2"/>
                      <w:sz w:val="21"/>
                      <w:szCs w:val="21"/>
                      <w:highlight w:val="none"/>
                      <w:lang w:val="en-US" w:eastAsia="zh-CN"/>
                    </w:rPr>
                    <w:t>8</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900-249-08</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9.05</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检测过程</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液态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矿物质油</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每天</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4.53</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暂存危废间，交由有资质单位回收处理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5</w:t>
                  </w:r>
                </w:p>
              </w:tc>
              <w:tc>
                <w:tcPr>
                  <w:tcW w:w="636" w:type="pct"/>
                  <w:tcBorders>
                    <w:tl2br w:val="nil"/>
                    <w:tr2bl w:val="nil"/>
                  </w:tcBorders>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eastAsia="zh-CN"/>
                    </w:rPr>
                    <w:t>废活性炭</w:t>
                  </w:r>
                  <w:r>
                    <w:rPr>
                      <w:rFonts w:hint="eastAsia" w:ascii="Times New Roman" w:cs="Times New Roman"/>
                      <w:color w:val="auto"/>
                      <w:spacing w:val="-10"/>
                      <w:kern w:val="2"/>
                      <w:sz w:val="21"/>
                      <w:szCs w:val="21"/>
                      <w:highlight w:val="none"/>
                      <w:lang w:val="en-US" w:eastAsia="zh-CN"/>
                    </w:rPr>
                    <w:t>HW49</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772-006-49</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2t/2a</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废气治理</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固态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有机物</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2a</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2</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1次/2a</w:t>
                  </w:r>
                </w:p>
              </w:tc>
              <w:tc>
                <w:tcPr>
                  <w:tcW w:w="518" w:type="pct"/>
                  <w:vMerge w:val="restar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暂存危废间，交由有资质单位处理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6</w:t>
                  </w:r>
                </w:p>
              </w:tc>
              <w:tc>
                <w:tcPr>
                  <w:tcW w:w="636" w:type="pct"/>
                  <w:tcBorders>
                    <w:tl2br w:val="nil"/>
                    <w:tr2bl w:val="nil"/>
                  </w:tcBorders>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val="en-US" w:eastAsia="zh-CN"/>
                    </w:rPr>
                    <w:t>废含油抹布及劳保用品HW49</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900-041-49</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0.2</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劳保过程</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固态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废矿物油、化纤布、棉布</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每天</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eastAsia="宋体"/>
                      <w:color w:val="auto"/>
                      <w:spacing w:val="-10"/>
                      <w:sz w:val="21"/>
                      <w:szCs w:val="21"/>
                      <w:highlight w:val="none"/>
                      <w:lang w:val="en-US" w:eastAsia="zh-CN"/>
                    </w:rPr>
                    <w:t>0.1</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2次/a</w:t>
                  </w:r>
                </w:p>
              </w:tc>
              <w:tc>
                <w:tcPr>
                  <w:tcW w:w="518" w:type="pct"/>
                  <w:vMerge w:val="continue"/>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7</w:t>
                  </w:r>
                </w:p>
              </w:tc>
              <w:tc>
                <w:tcPr>
                  <w:tcW w:w="636" w:type="pct"/>
                  <w:tcBorders>
                    <w:tl2br w:val="nil"/>
                    <w:tr2bl w:val="nil"/>
                  </w:tcBorders>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罐底切水HW09</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900-007-09</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39.36</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罐底切水</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液态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矿物质油</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每天</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19.68</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2次/a</w:t>
                  </w:r>
                </w:p>
              </w:tc>
              <w:tc>
                <w:tcPr>
                  <w:tcW w:w="518" w:type="pct"/>
                  <w:vMerge w:val="continue"/>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8</w:t>
                  </w:r>
                </w:p>
              </w:tc>
              <w:tc>
                <w:tcPr>
                  <w:tcW w:w="636" w:type="pct"/>
                  <w:tcBorders>
                    <w:tl2br w:val="nil"/>
                    <w:tr2bl w:val="nil"/>
                  </w:tcBorders>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储罐清洗废水HW08</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s="Times New Roman"/>
                      <w:color w:val="auto"/>
                      <w:spacing w:val="-10"/>
                      <w:kern w:val="2"/>
                      <w:sz w:val="21"/>
                      <w:szCs w:val="21"/>
                      <w:highlight w:val="none"/>
                      <w:lang w:val="en-US" w:eastAsia="zh-CN" w:bidi="ar-SA"/>
                    </w:rPr>
                    <w:t>251-001-08</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864t/3a</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储罐清洗</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液态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矿物质油</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3a</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864</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1次/3a</w:t>
                  </w:r>
                </w:p>
              </w:tc>
              <w:tc>
                <w:tcPr>
                  <w:tcW w:w="518" w:type="pct"/>
                  <w:vMerge w:val="continue"/>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w:t>
                  </w:r>
                </w:p>
              </w:tc>
              <w:tc>
                <w:tcPr>
                  <w:tcW w:w="636" w:type="pct"/>
                  <w:tcBorders>
                    <w:tl2br w:val="nil"/>
                    <w:tr2bl w:val="nil"/>
                  </w:tcBorders>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cs="Times New Roman"/>
                      <w:color w:val="auto"/>
                      <w:spacing w:val="-10"/>
                      <w:kern w:val="2"/>
                      <w:sz w:val="21"/>
                      <w:szCs w:val="21"/>
                      <w:highlight w:val="none"/>
                    </w:rPr>
                  </w:pPr>
                  <w:r>
                    <w:rPr>
                      <w:rFonts w:hint="eastAsia" w:ascii="Times New Roman" w:cs="Times New Roman"/>
                      <w:color w:val="auto"/>
                      <w:spacing w:val="-10"/>
                      <w:kern w:val="2"/>
                      <w:sz w:val="21"/>
                      <w:szCs w:val="21"/>
                      <w:highlight w:val="none"/>
                      <w:lang w:val="en-US" w:eastAsia="zh-CN"/>
                    </w:rPr>
                    <w:t>化验室废弃酸、碱、化学药剂、废渣HW49</w:t>
                  </w:r>
                </w:p>
              </w:tc>
              <w:tc>
                <w:tcPr>
                  <w:tcW w:w="37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rPr>
                  </w:pPr>
                  <w:r>
                    <w:rPr>
                      <w:rFonts w:hint="eastAsia"/>
                      <w:color w:val="auto"/>
                      <w:spacing w:val="-10"/>
                      <w:sz w:val="21"/>
                      <w:szCs w:val="21"/>
                      <w:highlight w:val="none"/>
                      <w:lang w:eastAsia="zh-CN"/>
                    </w:rPr>
                    <w:t>毒性、</w:t>
                  </w:r>
                  <w:r>
                    <w:rPr>
                      <w:rFonts w:hint="eastAsia"/>
                      <w:color w:val="auto"/>
                      <w:spacing w:val="-10"/>
                      <w:sz w:val="21"/>
                      <w:szCs w:val="21"/>
                      <w:highlight w:val="none"/>
                      <w:lang w:val="en-US" w:eastAsia="zh-CN"/>
                    </w:rPr>
                    <w:t>腐蚀性废物</w:t>
                  </w:r>
                </w:p>
              </w:tc>
              <w:tc>
                <w:tcPr>
                  <w:tcW w:w="40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val="en-US" w:eastAsia="zh-CN"/>
                    </w:rPr>
                    <w:t>900-047-49</w:t>
                  </w:r>
                </w:p>
              </w:tc>
              <w:tc>
                <w:tcPr>
                  <w:tcW w:w="47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0.5</w:t>
                  </w:r>
                </w:p>
              </w:tc>
              <w:tc>
                <w:tcPr>
                  <w:tcW w:w="42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化验、检测</w:t>
                  </w:r>
                </w:p>
              </w:tc>
              <w:tc>
                <w:tcPr>
                  <w:tcW w:w="215"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lang w:val="en-US" w:eastAsia="zh-CN"/>
                    </w:rPr>
                    <w:t>液态</w:t>
                  </w:r>
                </w:p>
              </w:tc>
              <w:tc>
                <w:tcPr>
                  <w:tcW w:w="57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酸、碱、重金属</w:t>
                  </w:r>
                </w:p>
              </w:tc>
              <w:tc>
                <w:tcPr>
                  <w:tcW w:w="266"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lang w:val="en-US" w:eastAsia="zh-CN"/>
                    </w:rPr>
                    <w:t>每天</w:t>
                  </w:r>
                </w:p>
              </w:tc>
              <w:tc>
                <w:tcPr>
                  <w:tcW w:w="36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毒性、腐蚀性</w:t>
                  </w:r>
                </w:p>
              </w:tc>
              <w:tc>
                <w:tcPr>
                  <w:tcW w:w="331"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eastAsia="宋体"/>
                      <w:color w:val="auto"/>
                      <w:spacing w:val="-10"/>
                      <w:sz w:val="21"/>
                      <w:szCs w:val="21"/>
                      <w:highlight w:val="none"/>
                      <w:lang w:val="en-US" w:eastAsia="zh-CN"/>
                    </w:rPr>
                    <w:t>0.25</w:t>
                  </w:r>
                </w:p>
              </w:tc>
              <w:tc>
                <w:tcPr>
                  <w:tcW w:w="26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暂存于化验废液集存池，交由有资质单位处理</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3）危险废物的收集和暂存</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本项目危险废物暂存时应严格按照《危险废物贮存污染控制标准》（GB18597-2001）要求进行，具体要求如下：危险废物在收集时，应清楚废物的类别及主要成份，以方便委托有资质单位处理，根据危险废物的性质和形态，盛装容器应足够安全，并经过周密检查，严防在装载、搬移或运输途中出现渗漏、溢出、抛洒或挥发等情况。对危险废物在厂区暂存时应做到以下几点：</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①现场产生的危险废物存放在指定的暂存间内，暂存区必须设置危废标示，做好“防渗、防淋、防晒”和其它相应处理，防止产生二次污染，防止污染扩散。危险废物应与其他固体废物严格隔离；其他一般固体废物应分类存放，禁止危险废物和生活垃圾混入。</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②应按《环境保护图形标志》（GB15562.2-1995）设置警示标志及环境保护图形标志。</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③危险废物应当使用符合标准的容器盛装，盛装危险废物的容器上必须粘贴符合标准的标签。</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④危险废物须做好危险废物情况的记录、记录上须标明危险废物的名称、来源、数量、入库时间、废物出库日期及接受单位名称。危险废物经过统一收集后暂存于危险废物暂存间，再交由有资质单位处置。</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危废暂存间应满足如下要求：</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①危险废物贮存设施应配备通讯设备、照明设施和消防设施。</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②贮存危险废物时应按危险废物的种类和特性进行分区贮存，每个贮存区域之间宜设置挡墙间隔，并应设置防雨、防火、防雷等装置。</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③贮存易燃易爆危险废物应配备有机气体报警、火灾报警装置和导出静电的接地装置。</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④危险废物贮存单位应建立危险废物贮存的台账制度，危险废物出入库交接记录内容应参照危废贮存技术规范标准执行。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u w:val="none"/>
              </w:rPr>
              <w:t>⑤危险废物贮存设施应根据贮存的废物种类和特性按照GB18597设置标志。</w:t>
            </w:r>
          </w:p>
          <w:p>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4）危险废物暂存污染防治措施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宋体" w:eastAsia="宋体"/>
                <w:color w:val="auto"/>
                <w:sz w:val="24"/>
                <w:szCs w:val="24"/>
                <w:lang w:val="en-US" w:eastAsia="zh-CN"/>
              </w:rPr>
            </w:pPr>
            <w:r>
              <w:rPr>
                <w:rFonts w:hint="eastAsia" w:ascii="Times New Roman" w:hAnsi="宋体"/>
                <w:color w:val="auto"/>
                <w:sz w:val="24"/>
                <w:szCs w:val="24"/>
                <w:lang w:val="en-US" w:eastAsia="zh-CN"/>
              </w:rPr>
              <w:t>本项目拟在厂区南部建设1座危险废物暂存间，面积约35m</w:t>
            </w:r>
            <w:r>
              <w:rPr>
                <w:rFonts w:hint="eastAsia" w:ascii="Times New Roman" w:hAnsi="宋体"/>
                <w:color w:val="auto"/>
                <w:sz w:val="24"/>
                <w:szCs w:val="24"/>
                <w:vertAlign w:val="superscript"/>
                <w:lang w:val="en-US" w:eastAsia="zh-CN"/>
              </w:rPr>
              <w:t>2</w:t>
            </w:r>
            <w:r>
              <w:rPr>
                <w:rFonts w:hint="eastAsia" w:ascii="Times New Roman" w:hAnsi="宋体"/>
                <w:color w:val="auto"/>
                <w:sz w:val="24"/>
                <w:szCs w:val="24"/>
                <w:lang w:val="en-US" w:eastAsia="zh-CN"/>
              </w:rPr>
              <w:t>。危险废物暂存于该危险废物暂存间内，交由有资质单位处理。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根据《危险废物贮存污染控制标准》（</w:t>
            </w:r>
            <w:r>
              <w:rPr>
                <w:rFonts w:ascii="Times New Roman"/>
                <w:color w:val="auto"/>
                <w:sz w:val="24"/>
                <w:szCs w:val="24"/>
              </w:rPr>
              <w:t>GB18597</w:t>
            </w:r>
            <w:r>
              <w:rPr>
                <w:rFonts w:ascii="Times New Roman" w:hAnsi="宋体"/>
                <w:color w:val="auto"/>
                <w:sz w:val="24"/>
                <w:szCs w:val="24"/>
              </w:rPr>
              <w:t>－</w:t>
            </w:r>
            <w:r>
              <w:rPr>
                <w:rFonts w:ascii="Times New Roman"/>
                <w:color w:val="auto"/>
                <w:sz w:val="24"/>
                <w:szCs w:val="24"/>
              </w:rPr>
              <w:t>2001</w:t>
            </w:r>
            <w:r>
              <w:rPr>
                <w:rFonts w:ascii="Times New Roman" w:hAnsi="宋体"/>
                <w:color w:val="auto"/>
                <w:sz w:val="24"/>
                <w:szCs w:val="24"/>
              </w:rPr>
              <w:t>）及其修改单的有关规定，</w:t>
            </w:r>
            <w:r>
              <w:rPr>
                <w:rFonts w:hint="eastAsia" w:ascii="Times New Roman" w:hAnsi="宋体"/>
                <w:color w:val="auto"/>
                <w:sz w:val="24"/>
                <w:szCs w:val="24"/>
                <w:lang w:eastAsia="zh-CN"/>
              </w:rPr>
              <w:t>对现有危废暂存间提出以下要求</w:t>
            </w:r>
            <w:r>
              <w:rPr>
                <w:rFonts w:ascii="Times New Roman"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hint="eastAsia" w:ascii="Times New Roman" w:hAnsi="宋体"/>
                <w:color w:val="auto"/>
                <w:sz w:val="24"/>
                <w:szCs w:val="24"/>
                <w:lang w:val="en-US" w:eastAsia="zh-CN"/>
              </w:rPr>
              <w:t>1</w:t>
            </w:r>
            <w:r>
              <w:rPr>
                <w:rFonts w:hint="eastAsia" w:ascii="Times New Roman" w:hAnsi="宋体"/>
                <w:color w:val="auto"/>
                <w:sz w:val="24"/>
                <w:szCs w:val="24"/>
                <w:lang w:eastAsia="zh-CN"/>
              </w:rPr>
              <w:t>）</w:t>
            </w:r>
            <w:r>
              <w:rPr>
                <w:rFonts w:ascii="Times New Roman" w:hAnsi="宋体"/>
                <w:color w:val="auto"/>
                <w:sz w:val="24"/>
                <w:szCs w:val="24"/>
              </w:rPr>
              <w:t>危险废物贮存容器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①应当使用符合标准的容器盛装危险废物。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②装载危险废物的容器及材质要满足相应的强度要求。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③装载危险废物的容器必须完好无损。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④盛装危险废物的容器材质和衬里要与危险废物相容（不相互反应）。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hint="eastAsia" w:ascii="Times New Roman" w:hAnsi="宋体"/>
                <w:color w:val="auto"/>
                <w:sz w:val="24"/>
                <w:szCs w:val="24"/>
                <w:lang w:val="en-US" w:eastAsia="zh-CN"/>
              </w:rPr>
              <w:t>2</w:t>
            </w:r>
            <w:r>
              <w:rPr>
                <w:rFonts w:hint="eastAsia" w:ascii="Times New Roman" w:hAnsi="宋体"/>
                <w:color w:val="auto"/>
                <w:sz w:val="24"/>
                <w:szCs w:val="24"/>
                <w:lang w:eastAsia="zh-CN"/>
              </w:rPr>
              <w:t>）</w:t>
            </w:r>
            <w:r>
              <w:rPr>
                <w:rFonts w:ascii="Times New Roman" w:hAnsi="宋体"/>
                <w:color w:val="auto"/>
                <w:sz w:val="24"/>
                <w:szCs w:val="24"/>
              </w:rPr>
              <w:t>危险废物贮存设施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①地面与裙脚要用坚固、防渗的材料建造，建筑材料必须与危险废物相容。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②必须有泄漏液体收集装置、气体导出口及气体净化装置。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③设施内要有安全照明设施和观察窗口。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④用以存放装载液体、半固体危险废物容器的地方，必须有耐腐蚀的硬化地面，且表面无裂隙。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⑤应设计堵截泄漏的裙脚，地面与裙脚所围建的容积不低于堵截最大容器的最大储量或总储量的五分之一。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⑥不相容的危险废物必须分开存放，并设有隔离间隔断。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hint="eastAsia" w:ascii="Times New Roman" w:hAnsi="宋体"/>
                <w:color w:val="auto"/>
                <w:sz w:val="24"/>
                <w:szCs w:val="24"/>
                <w:lang w:val="en-US" w:eastAsia="zh-CN"/>
              </w:rPr>
              <w:t>3</w:t>
            </w:r>
            <w:r>
              <w:rPr>
                <w:rFonts w:hint="eastAsia" w:ascii="Times New Roman" w:hAnsi="宋体"/>
                <w:color w:val="auto"/>
                <w:sz w:val="24"/>
                <w:szCs w:val="24"/>
                <w:lang w:eastAsia="zh-CN"/>
              </w:rPr>
              <w:t>）</w:t>
            </w:r>
            <w:r>
              <w:rPr>
                <w:rFonts w:ascii="Times New Roman" w:hAnsi="宋体"/>
                <w:color w:val="auto"/>
                <w:sz w:val="24"/>
                <w:szCs w:val="24"/>
              </w:rPr>
              <w:t>危险废物的堆放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①水泥硬化处理后均匀涂刷环氧树脂涂刷三层环氧树脂，防腐平均厚度大于</w:t>
            </w:r>
            <w:r>
              <w:rPr>
                <w:rFonts w:ascii="Times New Roman"/>
                <w:color w:val="auto"/>
                <w:sz w:val="24"/>
                <w:szCs w:val="24"/>
              </w:rPr>
              <w:t>2.5mm</w:t>
            </w:r>
            <w:r>
              <w:rPr>
                <w:rFonts w:ascii="Times New Roman" w:hAnsi="宋体"/>
                <w:color w:val="auto"/>
                <w:sz w:val="24"/>
                <w:szCs w:val="24"/>
              </w:rPr>
              <w:t>，渗透系数</w:t>
            </w:r>
            <w:r>
              <w:rPr>
                <w:rFonts w:ascii="Times New Roman"/>
                <w:color w:val="auto"/>
                <w:sz w:val="24"/>
                <w:szCs w:val="24"/>
              </w:rPr>
              <w:t>≤1×10</w:t>
            </w:r>
            <w:r>
              <w:rPr>
                <w:rFonts w:ascii="Times New Roman"/>
                <w:color w:val="auto"/>
                <w:sz w:val="24"/>
                <w:szCs w:val="24"/>
                <w:vertAlign w:val="superscript"/>
              </w:rPr>
              <w:t>-10</w:t>
            </w:r>
            <w:r>
              <w:rPr>
                <w:rFonts w:ascii="Times New Roman"/>
                <w:color w:val="auto"/>
                <w:sz w:val="24"/>
                <w:szCs w:val="24"/>
              </w:rPr>
              <w:t>cm/s</w:t>
            </w:r>
            <w:r>
              <w:rPr>
                <w:rFonts w:ascii="Times New Roman"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②堆放危险废物的高度应根据地面承载能力确定。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③衬层上需建有渗滤液收集清除系统、径流疏导系统、雨水收集池。</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④在储存过程中进行妥善处理，采用不易破损、变形、老化的容器运装废物，在装有危险废物的容器上贴注标签，在标签上详细标明危险废物的名称、重量、成分、特性以及发生泄漏、扩散污染事故时的应急措施和补救方法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⑤在危险废物贮存设施处，设立危险废物标志。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宋体"/>
                <w:color w:val="auto"/>
                <w:sz w:val="24"/>
                <w:szCs w:val="24"/>
              </w:rPr>
            </w:pPr>
            <w:r>
              <w:rPr>
                <w:rFonts w:ascii="Times New Roman" w:hAnsi="宋体"/>
                <w:color w:val="auto"/>
                <w:sz w:val="24"/>
                <w:szCs w:val="24"/>
              </w:rPr>
              <w:t>⑥建设单位须制定完善的保障制度，符合《中华人民共和国固体废物污染环境防治法》和《危险废物贮存污染控制标准》（</w:t>
            </w:r>
            <w:r>
              <w:rPr>
                <w:rFonts w:ascii="Times New Roman"/>
                <w:color w:val="auto"/>
                <w:sz w:val="24"/>
                <w:szCs w:val="24"/>
              </w:rPr>
              <w:t>GB18597</w:t>
            </w:r>
            <w:r>
              <w:rPr>
                <w:rFonts w:ascii="Times New Roman" w:hAnsi="宋体"/>
                <w:color w:val="auto"/>
                <w:sz w:val="24"/>
                <w:szCs w:val="24"/>
              </w:rPr>
              <w:t>－</w:t>
            </w:r>
            <w:r>
              <w:rPr>
                <w:rFonts w:ascii="Times New Roman"/>
                <w:color w:val="auto"/>
                <w:sz w:val="24"/>
                <w:szCs w:val="24"/>
              </w:rPr>
              <w:t>2001</w:t>
            </w:r>
            <w:r>
              <w:rPr>
                <w:rFonts w:ascii="Times New Roman" w:hAnsi="宋体"/>
                <w:color w:val="auto"/>
                <w:sz w:val="24"/>
                <w:szCs w:val="24"/>
              </w:rPr>
              <w:t>）及其修改单的有关规定要求。</w:t>
            </w:r>
          </w:p>
          <w:p>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5）暂存场所建设要求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hint="eastAsia" w:ascii="Times New Roman" w:hAnsi="宋体"/>
                <w:color w:val="auto"/>
                <w:sz w:val="24"/>
                <w:szCs w:val="24"/>
                <w:lang w:val="en-US" w:eastAsia="zh-CN"/>
              </w:rPr>
              <w:t>本项目拟在厂区南部建设1座危险废物暂存间，面积约35m</w:t>
            </w:r>
            <w:r>
              <w:rPr>
                <w:rFonts w:hint="eastAsia" w:ascii="Times New Roman" w:hAnsi="宋体"/>
                <w:color w:val="auto"/>
                <w:sz w:val="24"/>
                <w:szCs w:val="24"/>
                <w:vertAlign w:val="superscript"/>
                <w:lang w:val="en-US" w:eastAsia="zh-CN"/>
              </w:rPr>
              <w:t>2</w:t>
            </w:r>
            <w:r>
              <w:rPr>
                <w:rFonts w:hint="eastAsia" w:ascii="Times New Roman" w:hAnsi="宋体"/>
                <w:color w:val="auto"/>
                <w:sz w:val="24"/>
                <w:szCs w:val="24"/>
                <w:vertAlign w:val="baseline"/>
                <w:lang w:val="en-US" w:eastAsia="zh-CN"/>
              </w:rPr>
              <w:t>，</w:t>
            </w:r>
            <w:r>
              <w:rPr>
                <w:rFonts w:hint="eastAsia" w:ascii="Times New Roman" w:hAnsi="Times New Roman" w:eastAsia="宋体" w:cs="Times New Roman"/>
                <w:color w:val="auto"/>
                <w:kern w:val="2"/>
                <w:sz w:val="24"/>
                <w:szCs w:val="24"/>
                <w:highlight w:val="none"/>
                <w:lang w:val="en-US" w:eastAsia="zh-CN" w:bidi="ar-SA"/>
              </w:rPr>
              <w:t>均</w:t>
            </w:r>
            <w:r>
              <w:rPr>
                <w:rFonts w:ascii="Times New Roman" w:hAnsi="Times New Roman" w:eastAsia="宋体" w:cs="Times New Roman"/>
                <w:color w:val="auto"/>
                <w:kern w:val="2"/>
                <w:sz w:val="24"/>
                <w:szCs w:val="24"/>
                <w:highlight w:val="none"/>
                <w:lang w:val="en-US" w:eastAsia="zh-CN" w:bidi="ar-SA"/>
              </w:rPr>
              <w:t>进行重点防渗。环评要求，建设单位在贮存</w:t>
            </w:r>
            <w:r>
              <w:rPr>
                <w:rFonts w:hint="eastAsia" w:ascii="Times New Roman" w:hAnsi="Times New Roman" w:eastAsia="宋体" w:cs="Times New Roman"/>
                <w:color w:val="auto"/>
                <w:kern w:val="2"/>
                <w:sz w:val="24"/>
                <w:szCs w:val="24"/>
                <w:highlight w:val="none"/>
                <w:lang w:val="en-US" w:eastAsia="zh-CN" w:bidi="ar-SA"/>
              </w:rPr>
              <w:t>危险废物</w:t>
            </w:r>
            <w:r>
              <w:rPr>
                <w:rFonts w:ascii="Times New Roman" w:hAnsi="Times New Roman" w:eastAsia="宋体" w:cs="Times New Roman"/>
                <w:color w:val="auto"/>
                <w:kern w:val="2"/>
                <w:sz w:val="24"/>
                <w:szCs w:val="24"/>
                <w:highlight w:val="none"/>
                <w:lang w:val="en-US" w:eastAsia="zh-CN" w:bidi="ar-SA"/>
              </w:rPr>
              <w:t>期间需严格按照《危险废物贮存污染物控制标准》(GB18597-2001)执行。</w:t>
            </w:r>
            <w:r>
              <w:rPr>
                <w:rFonts w:hint="eastAsia" w:ascii="Times New Roman" w:hAnsi="Times New Roman" w:eastAsia="宋体" w:cs="Times New Roman"/>
                <w:color w:val="auto"/>
                <w:kern w:val="2"/>
                <w:sz w:val="24"/>
                <w:szCs w:val="24"/>
                <w:highlight w:val="none"/>
                <w:lang w:val="en-US" w:eastAsia="zh-CN" w:bidi="ar-SA"/>
              </w:rPr>
              <w:t>拟建项目危废暂存间</w:t>
            </w:r>
            <w:r>
              <w:rPr>
                <w:rFonts w:ascii="Times New Roman" w:hAnsi="Times New Roman" w:eastAsia="宋体" w:cs="Times New Roman"/>
                <w:color w:val="auto"/>
                <w:kern w:val="2"/>
                <w:sz w:val="24"/>
                <w:szCs w:val="24"/>
                <w:highlight w:val="none"/>
                <w:lang w:val="en-US" w:eastAsia="zh-CN" w:bidi="ar-SA"/>
              </w:rPr>
              <w:t>应做好如下要求：</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应建有堵截泄漏的裙脚，地面与裙脚要用坚固防渗的材料建造。应有隔离设施、防风、防晒、防雨</w:t>
            </w:r>
            <w:r>
              <w:rPr>
                <w:rFonts w:hint="eastAsia" w:ascii="Times New Roman" w:hAnsi="Times New Roman" w:eastAsia="宋体" w:cs="Times New Roman"/>
                <w:color w:val="auto"/>
                <w:kern w:val="2"/>
                <w:sz w:val="24"/>
                <w:szCs w:val="24"/>
                <w:highlight w:val="none"/>
                <w:lang w:val="en-US" w:eastAsia="zh-CN" w:bidi="ar-SA"/>
              </w:rPr>
              <w:t>、防渗漏</w:t>
            </w:r>
            <w:r>
              <w:rPr>
                <w:rFonts w:ascii="Times New Roman" w:hAnsi="Times New Roman" w:eastAsia="宋体" w:cs="Times New Roman"/>
                <w:color w:val="auto"/>
                <w:kern w:val="2"/>
                <w:sz w:val="24"/>
                <w:szCs w:val="24"/>
                <w:highlight w:val="none"/>
                <w:lang w:val="en-US" w:eastAsia="zh-CN" w:bidi="ar-SA"/>
              </w:rPr>
              <w:t>设施。暂存间还须设置耐腐蚀的硬化地面，地面应无裂隙；</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不相容的危险废物必须分开存放，并设有隔离间隔断。储存危险废物，必须按照危险废物特性分类进行，禁止储存性质不相容而未经安全性处置的危险废物；</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基础防渗层为粘士层的，其厚度应在1m以上，渗透系数应小于1.0×10</w:t>
            </w:r>
            <w:r>
              <w:rPr>
                <w:rFonts w:ascii="Times New Roman" w:hAnsi="Times New Roman" w:eastAsia="宋体" w:cs="Times New Roman"/>
                <w:color w:val="auto"/>
                <w:kern w:val="2"/>
                <w:sz w:val="24"/>
                <w:szCs w:val="24"/>
                <w:highlight w:val="none"/>
                <w:vertAlign w:val="superscript"/>
                <w:lang w:val="en-US" w:eastAsia="zh-CN" w:bidi="ar-SA"/>
              </w:rPr>
              <w:t>-</w:t>
            </w:r>
            <w:r>
              <w:rPr>
                <w:rFonts w:hint="eastAsia" w:ascii="Times New Roman" w:hAnsi="Times New Roman" w:eastAsia="宋体" w:cs="Times New Roman"/>
                <w:color w:val="auto"/>
                <w:kern w:val="2"/>
                <w:sz w:val="24"/>
                <w:szCs w:val="24"/>
                <w:highlight w:val="none"/>
                <w:vertAlign w:val="superscript"/>
                <w:lang w:val="en-US" w:eastAsia="zh-CN" w:bidi="ar-SA"/>
              </w:rPr>
              <w:t>10</w:t>
            </w:r>
            <w:r>
              <w:rPr>
                <w:rFonts w:ascii="Times New Roman" w:hAnsi="Times New Roman" w:eastAsia="宋体" w:cs="Times New Roman"/>
                <w:color w:val="auto"/>
                <w:kern w:val="2"/>
                <w:sz w:val="24"/>
                <w:szCs w:val="24"/>
                <w:highlight w:val="none"/>
                <w:lang w:val="en-US" w:eastAsia="zh-CN" w:bidi="ar-SA"/>
              </w:rPr>
              <w:t>cm/s；</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暂存间所必须保持干燥，室温应在35℃以下，暂存间应远离热源和避免阳光直射，禁止一切烟火，并有相应的防火安全措施，设置防火标示牌；</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暂存点摆放废物暂存桶，并标明暂存废物的种类，并保证危险废物与</w:t>
            </w:r>
            <w:r>
              <w:rPr>
                <w:rFonts w:hint="eastAsia" w:ascii="Times New Roman" w:hAnsi="Times New Roman" w:eastAsia="宋体" w:cs="Times New Roman"/>
                <w:color w:val="auto"/>
                <w:kern w:val="2"/>
                <w:sz w:val="24"/>
                <w:szCs w:val="24"/>
                <w:highlight w:val="none"/>
                <w:lang w:val="en-US" w:eastAsia="zh-CN" w:bidi="ar-SA"/>
              </w:rPr>
              <w:t>一</w:t>
            </w:r>
            <w:r>
              <w:rPr>
                <w:rFonts w:ascii="Times New Roman" w:hAnsi="Times New Roman" w:eastAsia="宋体" w:cs="Times New Roman"/>
                <w:color w:val="auto"/>
                <w:kern w:val="2"/>
                <w:sz w:val="24"/>
                <w:szCs w:val="24"/>
                <w:highlight w:val="none"/>
                <w:lang w:val="en-US" w:eastAsia="zh-CN" w:bidi="ar-SA"/>
              </w:rPr>
              <w:t>般性固废完全分开；</w:t>
            </w: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危废暂存点必须按GB15562.2的规定设置明显的警示标志。</w:t>
            </w:r>
          </w:p>
          <w:p>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6）暂存场所</w:t>
            </w:r>
            <w:r>
              <w:rPr>
                <w:rFonts w:hint="default" w:ascii="Times New Roman" w:hAnsi="Times New Roman" w:cs="Times New Roman"/>
                <w:b/>
                <w:color w:val="auto"/>
                <w:sz w:val="24"/>
                <w:szCs w:val="24"/>
                <w:highlight w:val="none"/>
              </w:rPr>
              <w:t>建设方案</w:t>
            </w:r>
          </w:p>
          <w:p>
            <w:pPr>
              <w:pStyle w:val="2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cs="Times New Roman"/>
                <w:b w:val="0"/>
                <w:bCs w:val="0"/>
                <w:color w:val="auto"/>
                <w:sz w:val="24"/>
                <w:szCs w:val="24"/>
                <w:highlight w:val="none"/>
                <w:lang w:eastAsia="zh-CN"/>
              </w:rPr>
              <w:t>根据《建设项目危险废物环境影响评价指南》，危险废物暂存间基本情况如下：</w:t>
            </w:r>
          </w:p>
          <w:p>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4-29</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eastAsia="zh-CN"/>
              </w:rPr>
              <w:t>危废暂存间</w:t>
            </w:r>
            <w:r>
              <w:rPr>
                <w:rFonts w:hint="default" w:ascii="Times New Roman" w:hAnsi="Times New Roman" w:cs="Times New Roman"/>
                <w:b/>
                <w:bCs/>
                <w:color w:val="auto"/>
                <w:sz w:val="24"/>
                <w:szCs w:val="24"/>
                <w:highlight w:val="none"/>
              </w:rPr>
              <w:t>基本情况一览表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215"/>
              <w:gridCol w:w="915"/>
              <w:gridCol w:w="1021"/>
              <w:gridCol w:w="856"/>
              <w:gridCol w:w="791"/>
              <w:gridCol w:w="900"/>
              <w:gridCol w:w="900"/>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贮存场所名称</w:t>
                  </w:r>
                </w:p>
              </w:tc>
              <w:tc>
                <w:tcPr>
                  <w:tcW w:w="725"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危险废物名称</w:t>
                  </w:r>
                </w:p>
              </w:tc>
              <w:tc>
                <w:tcPr>
                  <w:tcW w:w="54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危险废物类别</w:t>
                  </w:r>
                </w:p>
              </w:tc>
              <w:tc>
                <w:tcPr>
                  <w:tcW w:w="60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危险废物代码</w:t>
                  </w:r>
                </w:p>
              </w:tc>
              <w:tc>
                <w:tcPr>
                  <w:tcW w:w="51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位置</w:t>
                  </w:r>
                </w:p>
              </w:tc>
              <w:tc>
                <w:tcPr>
                  <w:tcW w:w="47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占地面积</w:t>
                  </w:r>
                </w:p>
              </w:tc>
              <w:tc>
                <w:tcPr>
                  <w:tcW w:w="5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贮存方式</w:t>
                  </w:r>
                </w:p>
              </w:tc>
              <w:tc>
                <w:tcPr>
                  <w:tcW w:w="5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贮存能力（t）</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危险废物暂存间</w:t>
                  </w:r>
                </w:p>
              </w:tc>
              <w:tc>
                <w:tcPr>
                  <w:tcW w:w="72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污水处理设施废油</w:t>
                  </w:r>
                  <w:r>
                    <w:rPr>
                      <w:rFonts w:hint="eastAsia"/>
                      <w:color w:val="auto"/>
                      <w:spacing w:val="-10"/>
                      <w:sz w:val="21"/>
                      <w:szCs w:val="21"/>
                      <w:highlight w:val="none"/>
                    </w:rPr>
                    <w:t>HW0</w:t>
                  </w:r>
                  <w:r>
                    <w:rPr>
                      <w:rFonts w:hint="eastAsia"/>
                      <w:color w:val="auto"/>
                      <w:spacing w:val="-10"/>
                      <w:sz w:val="21"/>
                      <w:szCs w:val="21"/>
                      <w:highlight w:val="none"/>
                      <w:lang w:val="en-US" w:eastAsia="zh-CN"/>
                    </w:rPr>
                    <w:t>8</w:t>
                  </w:r>
                </w:p>
              </w:tc>
              <w:tc>
                <w:tcPr>
                  <w:tcW w:w="54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毒性、易燃性废物</w:t>
                  </w:r>
                </w:p>
              </w:tc>
              <w:tc>
                <w:tcPr>
                  <w:tcW w:w="60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900-210-08</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废油暂存区</w:t>
                  </w:r>
                </w:p>
              </w:tc>
              <w:tc>
                <w:tcPr>
                  <w:tcW w:w="4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桶装</w:t>
                  </w:r>
                </w:p>
              </w:tc>
              <w:tc>
                <w:tcPr>
                  <w:tcW w:w="537" w:type="pct"/>
                  <w:noWrap w:val="0"/>
                  <w:vAlign w:val="center"/>
                </w:tcPr>
                <w:p>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highlight w:val="none"/>
                      <w:lang w:val="en-US" w:eastAsia="zh-CN" w:bidi="ar-SA"/>
                    </w:rPr>
                    <w:t>0.25</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废活性炭</w:t>
                  </w:r>
                  <w:r>
                    <w:rPr>
                      <w:rFonts w:hint="eastAsia" w:ascii="Times New Roman" w:cs="Times New Roman"/>
                      <w:color w:val="auto"/>
                      <w:spacing w:val="-10"/>
                      <w:kern w:val="2"/>
                      <w:sz w:val="21"/>
                      <w:szCs w:val="21"/>
                      <w:highlight w:val="none"/>
                      <w:lang w:val="en-US" w:eastAsia="zh-CN"/>
                    </w:rPr>
                    <w:t>HW49</w:t>
                  </w:r>
                </w:p>
              </w:tc>
              <w:tc>
                <w:tcPr>
                  <w:tcW w:w="54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毒性、感染性废物</w:t>
                  </w:r>
                </w:p>
              </w:tc>
              <w:tc>
                <w:tcPr>
                  <w:tcW w:w="60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772-006-49</w:t>
                  </w:r>
                </w:p>
              </w:tc>
              <w:tc>
                <w:tcPr>
                  <w:tcW w:w="51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废活性炭暂存区</w:t>
                  </w:r>
                </w:p>
              </w:tc>
              <w:tc>
                <w:tcPr>
                  <w:tcW w:w="4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袋装</w:t>
                  </w:r>
                </w:p>
              </w:tc>
              <w:tc>
                <w:tcPr>
                  <w:tcW w:w="537" w:type="pct"/>
                  <w:noWrap w:val="0"/>
                  <w:vAlign w:val="center"/>
                </w:tcPr>
                <w:p>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2.0</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val="en-US" w:eastAsia="zh-CN"/>
                    </w:rPr>
                    <w:t>废含油抹布及劳保用品HW49</w:t>
                  </w:r>
                </w:p>
              </w:tc>
              <w:tc>
                <w:tcPr>
                  <w:tcW w:w="546"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性废物</w:t>
                  </w:r>
                </w:p>
              </w:tc>
              <w:tc>
                <w:tcPr>
                  <w:tcW w:w="609"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900-041-49</w:t>
                  </w:r>
                </w:p>
              </w:tc>
              <w:tc>
                <w:tcPr>
                  <w:tcW w:w="51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废含油抹布暂存区</w:t>
                  </w:r>
                </w:p>
              </w:tc>
              <w:tc>
                <w:tcPr>
                  <w:tcW w:w="4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5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桶装</w:t>
                  </w:r>
                </w:p>
              </w:tc>
              <w:tc>
                <w:tcPr>
                  <w:tcW w:w="537" w:type="pct"/>
                  <w:noWrap w:val="0"/>
                  <w:vAlign w:val="center"/>
                </w:tcPr>
                <w:p>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highlight w:val="none"/>
                      <w:lang w:val="en-US" w:eastAsia="zh-CN" w:bidi="ar-SA"/>
                    </w:rPr>
                    <w:t>0.1</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w:t>
                  </w:r>
                  <w:r>
                    <w:rPr>
                      <w:rFonts w:hint="eastAsia" w:eastAsia="宋体" w:cs="Times New Roman"/>
                      <w:color w:val="auto"/>
                      <w:kern w:val="2"/>
                      <w:sz w:val="21"/>
                      <w:szCs w:val="21"/>
                      <w:highlight w:val="none"/>
                      <w:lang w:val="en-US" w:eastAsia="zh-CN" w:bidi="ar-S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Times New Roman" w:eastAsia="宋体" w:cs="Times New Roman"/>
                      <w:color w:val="auto"/>
                      <w:spacing w:val="-10"/>
                      <w:kern w:val="0"/>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降质油</w:t>
                  </w:r>
                  <w:r>
                    <w:rPr>
                      <w:rFonts w:hint="eastAsia" w:ascii="Times New Roman" w:cs="Times New Roman"/>
                      <w:color w:val="auto"/>
                      <w:spacing w:val="-10"/>
                      <w:kern w:val="2"/>
                      <w:sz w:val="21"/>
                      <w:szCs w:val="21"/>
                      <w:highlight w:val="none"/>
                    </w:rPr>
                    <w:t>HW0</w:t>
                  </w:r>
                  <w:r>
                    <w:rPr>
                      <w:rFonts w:hint="eastAsia" w:ascii="Times New Roman" w:cs="Times New Roman"/>
                      <w:color w:val="auto"/>
                      <w:spacing w:val="-10"/>
                      <w:kern w:val="2"/>
                      <w:sz w:val="21"/>
                      <w:szCs w:val="21"/>
                      <w:highlight w:val="none"/>
                      <w:lang w:val="en-US" w:eastAsia="zh-CN"/>
                    </w:rPr>
                    <w:t>8</w:t>
                  </w:r>
                </w:p>
              </w:tc>
              <w:tc>
                <w:tcPr>
                  <w:tcW w:w="546" w:type="pct"/>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毒性、易燃性废物</w:t>
                  </w:r>
                </w:p>
              </w:tc>
              <w:tc>
                <w:tcPr>
                  <w:tcW w:w="609" w:type="pct"/>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900-249-08</w:t>
                  </w:r>
                </w:p>
              </w:tc>
              <w:tc>
                <w:tcPr>
                  <w:tcW w:w="51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污油罐</w:t>
                  </w:r>
                </w:p>
              </w:tc>
              <w:tc>
                <w:tcPr>
                  <w:tcW w:w="4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5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罐装</w:t>
                  </w:r>
                </w:p>
              </w:tc>
              <w:tc>
                <w:tcPr>
                  <w:tcW w:w="537" w:type="pct"/>
                  <w:noWrap w:val="0"/>
                  <w:vAlign w:val="center"/>
                </w:tcPr>
                <w:p>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4.53</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罐底切水HW09</w:t>
                  </w:r>
                </w:p>
              </w:tc>
              <w:tc>
                <w:tcPr>
                  <w:tcW w:w="546" w:type="pct"/>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609" w:type="pct"/>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900-007-09</w:t>
                  </w:r>
                </w:p>
              </w:tc>
              <w:tc>
                <w:tcPr>
                  <w:tcW w:w="51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废水暂存区</w:t>
                  </w:r>
                </w:p>
              </w:tc>
              <w:tc>
                <w:tcPr>
                  <w:tcW w:w="4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5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罐装</w:t>
                  </w:r>
                </w:p>
              </w:tc>
              <w:tc>
                <w:tcPr>
                  <w:tcW w:w="537" w:type="pct"/>
                  <w:noWrap w:val="0"/>
                  <w:vAlign w:val="center"/>
                </w:tcPr>
                <w:p>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19.68</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储罐清洗废水HW08</w:t>
                  </w:r>
                </w:p>
              </w:tc>
              <w:tc>
                <w:tcPr>
                  <w:tcW w:w="546" w:type="pct"/>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609" w:type="pct"/>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s="Times New Roman"/>
                      <w:color w:val="auto"/>
                      <w:spacing w:val="-10"/>
                      <w:kern w:val="2"/>
                      <w:sz w:val="21"/>
                      <w:szCs w:val="21"/>
                      <w:highlight w:val="none"/>
                      <w:lang w:val="en-US" w:eastAsia="zh-CN" w:bidi="ar-SA"/>
                    </w:rPr>
                    <w:t>251-001-08</w:t>
                  </w:r>
                </w:p>
              </w:tc>
              <w:tc>
                <w:tcPr>
                  <w:tcW w:w="51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废水暂存区</w:t>
                  </w:r>
                </w:p>
              </w:tc>
              <w:tc>
                <w:tcPr>
                  <w:tcW w:w="47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53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罐装</w:t>
                  </w:r>
                </w:p>
              </w:tc>
              <w:tc>
                <w:tcPr>
                  <w:tcW w:w="537" w:type="pct"/>
                  <w:noWrap w:val="0"/>
                  <w:vAlign w:val="center"/>
                </w:tcPr>
                <w:p>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864</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合计</w:t>
                  </w:r>
                </w:p>
              </w:tc>
              <w:tc>
                <w:tcPr>
                  <w:tcW w:w="725"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54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60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511"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47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53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53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eastAsia="宋体"/>
                      <w:color w:val="auto"/>
                      <w:sz w:val="21"/>
                      <w:szCs w:val="21"/>
                      <w:highlight w:val="none"/>
                      <w:lang w:val="en-US" w:eastAsia="zh-CN"/>
                    </w:rPr>
                  </w:pPr>
                  <w:r>
                    <w:rPr>
                      <w:rFonts w:hint="eastAsia" w:cs="Times New Roman"/>
                      <w:i w:val="0"/>
                      <w:iCs w:val="0"/>
                      <w:color w:val="auto"/>
                      <w:kern w:val="0"/>
                      <w:sz w:val="21"/>
                      <w:szCs w:val="21"/>
                      <w:u w:val="none"/>
                      <w:lang w:val="en-US" w:eastAsia="zh-CN" w:bidi="ar"/>
                    </w:rPr>
                    <w:t>886.03</w:t>
                  </w:r>
                </w:p>
              </w:tc>
              <w:tc>
                <w:tcPr>
                  <w:tcW w:w="53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r>
          </w:tbl>
          <w:p>
            <w:pPr>
              <w:pStyle w:val="29"/>
              <w:spacing w:line="480" w:lineRule="exact"/>
              <w:ind w:firstLine="480"/>
              <w:rPr>
                <w:color w:val="auto"/>
                <w:sz w:val="24"/>
                <w:szCs w:val="24"/>
                <w:highlight w:val="none"/>
              </w:rPr>
            </w:pPr>
            <w:r>
              <w:rPr>
                <w:rFonts w:hint="eastAsia" w:ascii="Times New Roman" w:hAnsi="宋体"/>
                <w:color w:val="auto"/>
                <w:sz w:val="24"/>
                <w:szCs w:val="24"/>
                <w:lang w:val="en-US" w:eastAsia="zh-CN"/>
              </w:rPr>
              <w:t>本项目拟在厂区南部建设1座危险废物暂存间，面积约35m</w:t>
            </w:r>
            <w:r>
              <w:rPr>
                <w:rFonts w:hint="eastAsia" w:ascii="Times New Roman" w:hAnsi="宋体"/>
                <w:color w:val="auto"/>
                <w:sz w:val="24"/>
                <w:szCs w:val="24"/>
                <w:vertAlign w:val="superscript"/>
                <w:lang w:val="en-US" w:eastAsia="zh-CN"/>
              </w:rPr>
              <w:t>2</w:t>
            </w:r>
            <w:r>
              <w:rPr>
                <w:rFonts w:hint="eastAsia" w:ascii="Times New Roman" w:hAnsi="宋体"/>
                <w:color w:val="auto"/>
                <w:sz w:val="24"/>
                <w:szCs w:val="24"/>
                <w:vertAlign w:val="baseline"/>
                <w:lang w:val="en-US" w:eastAsia="zh-CN"/>
              </w:rPr>
              <w:t>，</w:t>
            </w:r>
            <w:r>
              <w:rPr>
                <w:rFonts w:hint="eastAsia"/>
                <w:color w:val="auto"/>
                <w:sz w:val="24"/>
                <w:szCs w:val="24"/>
                <w:highlight w:val="none"/>
              </w:rPr>
              <w:t>可满足</w:t>
            </w:r>
            <w:r>
              <w:rPr>
                <w:rFonts w:hint="eastAsia"/>
                <w:color w:val="auto"/>
                <w:sz w:val="24"/>
                <w:szCs w:val="24"/>
                <w:highlight w:val="none"/>
                <w:lang w:eastAsia="zh-CN"/>
              </w:rPr>
              <w:t>厂区</w:t>
            </w:r>
            <w:r>
              <w:rPr>
                <w:rFonts w:hint="eastAsia"/>
                <w:color w:val="auto"/>
                <w:sz w:val="24"/>
                <w:szCs w:val="24"/>
                <w:highlight w:val="none"/>
              </w:rPr>
              <w:t>需求。</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b/>
                <w:bCs/>
                <w:color w:val="auto"/>
                <w:sz w:val="24"/>
                <w:szCs w:val="24"/>
                <w:highlight w:val="none"/>
              </w:rPr>
              <w:t>表</w:t>
            </w:r>
            <w:r>
              <w:rPr>
                <w:rFonts w:hint="eastAsia"/>
                <w:b/>
                <w:bCs/>
                <w:color w:val="auto"/>
                <w:sz w:val="24"/>
                <w:szCs w:val="24"/>
                <w:highlight w:val="none"/>
                <w:lang w:val="en-US" w:eastAsia="zh-CN"/>
              </w:rPr>
              <w:t xml:space="preserve">4-30 </w:t>
            </w:r>
            <w:r>
              <w:rPr>
                <w:b/>
                <w:bCs/>
                <w:color w:val="auto"/>
                <w:sz w:val="24"/>
                <w:szCs w:val="24"/>
                <w:highlight w:val="none"/>
              </w:rPr>
              <w:t xml:space="preserve">   </w:t>
            </w:r>
            <w:r>
              <w:rPr>
                <w:rFonts w:hint="eastAsia"/>
                <w:b/>
                <w:bCs/>
                <w:color w:val="auto"/>
                <w:sz w:val="24"/>
                <w:szCs w:val="24"/>
                <w:highlight w:val="none"/>
                <w:lang w:eastAsia="zh-CN"/>
              </w:rPr>
              <w:t>危险废物</w:t>
            </w:r>
            <w:r>
              <w:rPr>
                <w:b/>
                <w:bCs/>
                <w:color w:val="auto"/>
                <w:sz w:val="24"/>
                <w:szCs w:val="24"/>
                <w:highlight w:val="none"/>
              </w:rPr>
              <w:t>标识要求</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602"/>
              <w:gridCol w:w="3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场合</w:t>
                  </w:r>
                </w:p>
              </w:tc>
              <w:tc>
                <w:tcPr>
                  <w:tcW w:w="36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样式</w:t>
                  </w:r>
                </w:p>
              </w:tc>
              <w:tc>
                <w:tcPr>
                  <w:tcW w:w="36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1006" w:type="dxa"/>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室</w:t>
                  </w:r>
                  <w:r>
                    <w:rPr>
                      <w:rFonts w:hint="eastAsia" w:ascii="Times New Roman" w:hAnsi="Times New Roman" w:cs="Times New Roman"/>
                      <w:color w:val="auto"/>
                      <w:kern w:val="0"/>
                      <w:sz w:val="21"/>
                      <w:szCs w:val="21"/>
                      <w:lang w:eastAsia="zh-CN"/>
                    </w:rPr>
                    <w:t>内</w:t>
                  </w:r>
                  <w:r>
                    <w:rPr>
                      <w:rFonts w:ascii="Times New Roman" w:hAnsi="Times New Roman" w:cs="Times New Roman"/>
                      <w:color w:val="auto"/>
                      <w:kern w:val="0"/>
                      <w:sz w:val="21"/>
                      <w:szCs w:val="21"/>
                    </w:rPr>
                    <w:t>外（粘贴于门上或悬挂）</w:t>
                  </w:r>
                </w:p>
              </w:tc>
              <w:tc>
                <w:tcPr>
                  <w:tcW w:w="3602" w:type="dxa"/>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color w:val="auto"/>
                    </w:rPr>
                    <w:drawing>
                      <wp:inline distT="0" distB="0" distL="114300" distR="114300">
                        <wp:extent cx="1223010" cy="1085215"/>
                        <wp:effectExtent l="0" t="0" r="15240" b="635"/>
                        <wp:docPr id="2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8"/>
                                <pic:cNvPicPr>
                                  <a:picLocks noChangeAspect="1"/>
                                </pic:cNvPicPr>
                              </pic:nvPicPr>
                              <pic:blipFill>
                                <a:blip r:embed="rId45"/>
                                <a:stretch>
                                  <a:fillRect/>
                                </a:stretch>
                              </pic:blipFill>
                              <pic:spPr>
                                <a:xfrm>
                                  <a:off x="0" y="0"/>
                                  <a:ext cx="1223010" cy="1085215"/>
                                </a:xfrm>
                                <a:prstGeom prst="rect">
                                  <a:avLst/>
                                </a:prstGeom>
                                <a:noFill/>
                                <a:ln>
                                  <a:noFill/>
                                </a:ln>
                              </pic:spPr>
                            </pic:pic>
                          </a:graphicData>
                        </a:graphic>
                      </wp:inline>
                    </w:drawing>
                  </w:r>
                </w:p>
              </w:tc>
              <w:tc>
                <w:tcPr>
                  <w:tcW w:w="3694" w:type="dxa"/>
                  <w:tcBorders>
                    <w:bottom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1、危险废物标签尺寸颜色：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形状：等边三角形，边长40cm</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颜色：背景为黄色，图形为黑色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字体：黑体字，字体颜色：黑色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1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室</w:t>
                  </w:r>
                  <w:r>
                    <w:rPr>
                      <w:rFonts w:hint="eastAsia" w:ascii="Times New Roman" w:hAnsi="Times New Roman" w:cs="Times New Roman"/>
                      <w:color w:val="auto"/>
                      <w:sz w:val="21"/>
                      <w:szCs w:val="21"/>
                      <w:lang w:eastAsia="zh-CN"/>
                    </w:rPr>
                    <w:t>内</w:t>
                  </w:r>
                  <w:r>
                    <w:rPr>
                      <w:rFonts w:ascii="Times New Roman" w:hAnsi="Times New Roman" w:cs="Times New Roman"/>
                      <w:color w:val="auto"/>
                      <w:sz w:val="21"/>
                      <w:szCs w:val="21"/>
                    </w:rPr>
                    <w:t>外</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（粘贴于门上或悬挂）</w:t>
                  </w:r>
                </w:p>
              </w:tc>
              <w:tc>
                <w:tcPr>
                  <w:tcW w:w="36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drawing>
                      <wp:inline distT="0" distB="0" distL="114300" distR="114300">
                        <wp:extent cx="1642745" cy="1230630"/>
                        <wp:effectExtent l="0" t="0" r="14605" b="7620"/>
                        <wp:docPr id="29" name="图片 59" descr="wpsF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9" descr="wpsF916"/>
                                <pic:cNvPicPr>
                                  <a:picLocks noChangeAspect="1"/>
                                </pic:cNvPicPr>
                              </pic:nvPicPr>
                              <pic:blipFill>
                                <a:blip r:embed="rId46"/>
                                <a:stretch>
                                  <a:fillRect/>
                                </a:stretch>
                              </pic:blipFill>
                              <pic:spPr>
                                <a:xfrm>
                                  <a:off x="0" y="0"/>
                                  <a:ext cx="1642745" cy="1230630"/>
                                </a:xfrm>
                                <a:prstGeom prst="rect">
                                  <a:avLst/>
                                </a:prstGeom>
                                <a:noFill/>
                                <a:ln>
                                  <a:noFill/>
                                </a:ln>
                              </pic:spPr>
                            </pic:pic>
                          </a:graphicData>
                        </a:graphic>
                      </wp:inline>
                    </w:drawing>
                  </w:r>
                </w:p>
              </w:tc>
              <w:tc>
                <w:tcPr>
                  <w:tcW w:w="36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1、危险废物标签尺寸颜色：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尺寸：40×40cm</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底色：醒目的橘黄色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字体：黑体字</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字体颜色：黑色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0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粘贴于危险废物储存容器</w:t>
                  </w:r>
                </w:p>
              </w:tc>
              <w:tc>
                <w:tcPr>
                  <w:tcW w:w="36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drawing>
                      <wp:inline distT="0" distB="0" distL="114300" distR="114300">
                        <wp:extent cx="1682115" cy="1259205"/>
                        <wp:effectExtent l="0" t="0" r="13335" b="17145"/>
                        <wp:docPr id="30" name="图片 60" descr="wpsF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0" descr="wpsF916"/>
                                <pic:cNvPicPr>
                                  <a:picLocks noChangeAspect="1"/>
                                </pic:cNvPicPr>
                              </pic:nvPicPr>
                              <pic:blipFill>
                                <a:blip r:embed="rId46"/>
                                <a:stretch>
                                  <a:fillRect/>
                                </a:stretch>
                              </pic:blipFill>
                              <pic:spPr>
                                <a:xfrm>
                                  <a:off x="0" y="0"/>
                                  <a:ext cx="1682115" cy="1259205"/>
                                </a:xfrm>
                                <a:prstGeom prst="rect">
                                  <a:avLst/>
                                </a:prstGeom>
                                <a:noFill/>
                                <a:ln>
                                  <a:noFill/>
                                </a:ln>
                              </pic:spPr>
                            </pic:pic>
                          </a:graphicData>
                        </a:graphic>
                      </wp:inline>
                    </w:drawing>
                  </w:r>
                </w:p>
              </w:tc>
              <w:tc>
                <w:tcPr>
                  <w:tcW w:w="36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1、危险废物标签尺寸颜色：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尺寸：20×20cm</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底色：醒目的橘黄色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字体：黑体字</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字体颜色：黑色</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1006" w:type="dxa"/>
                  <w:noWrap w:val="0"/>
                  <w:vAlign w:val="center"/>
                </w:tcPr>
                <w:p>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系挂于袋装危险废物包装物上</w:t>
                  </w:r>
                </w:p>
              </w:tc>
              <w:tc>
                <w:tcPr>
                  <w:tcW w:w="3602"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color w:val="auto"/>
                    </w:rPr>
                    <w:drawing>
                      <wp:inline distT="0" distB="0" distL="114300" distR="114300">
                        <wp:extent cx="1950720" cy="1374775"/>
                        <wp:effectExtent l="0" t="0" r="11430" b="15875"/>
                        <wp:docPr id="3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1"/>
                                <pic:cNvPicPr>
                                  <a:picLocks noChangeAspect="1"/>
                                </pic:cNvPicPr>
                              </pic:nvPicPr>
                              <pic:blipFill>
                                <a:blip r:embed="rId47"/>
                                <a:stretch>
                                  <a:fillRect/>
                                </a:stretch>
                              </pic:blipFill>
                              <pic:spPr>
                                <a:xfrm>
                                  <a:off x="0" y="0"/>
                                  <a:ext cx="1950720" cy="1374775"/>
                                </a:xfrm>
                                <a:prstGeom prst="rect">
                                  <a:avLst/>
                                </a:prstGeom>
                                <a:noFill/>
                                <a:ln>
                                  <a:noFill/>
                                </a:ln>
                              </pic:spPr>
                            </pic:pic>
                          </a:graphicData>
                        </a:graphic>
                      </wp:inline>
                    </w:drawing>
                  </w:r>
                </w:p>
              </w:tc>
              <w:tc>
                <w:tcPr>
                  <w:tcW w:w="36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1、危险废物标签尺寸颜色：</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尺寸：</w:t>
                  </w:r>
                  <w:r>
                    <w:rPr>
                      <w:rFonts w:hint="eastAsia" w:ascii="Times New Roman" w:hAnsi="Times New Roman" w:eastAsia="宋体"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0×</w:t>
                  </w:r>
                  <w:r>
                    <w:rPr>
                      <w:rFonts w:hint="eastAsia" w:ascii="Times New Roman" w:hAnsi="Times New Roman" w:eastAsia="宋体"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0cm</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底色：醒目的橘黄色</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字体：黑体字</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字体颜色：黑色</w:t>
                  </w:r>
                </w:p>
                <w:p>
                  <w:pPr>
                    <w:keepNext w:val="0"/>
                    <w:keepLines w:val="0"/>
                    <w:pageBreakBefore w:val="0"/>
                    <w:widowControl w:val="0"/>
                    <w:numPr>
                      <w:ilvl w:val="0"/>
                      <w:numId w:val="19"/>
                    </w:numPr>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危险类别：按危险废物种类选择</w:t>
                  </w:r>
                </w:p>
                <w:p>
                  <w:pPr>
                    <w:keepNext w:val="0"/>
                    <w:keepLines w:val="0"/>
                    <w:pageBreakBefore w:val="0"/>
                    <w:widowControl w:val="0"/>
                    <w:numPr>
                      <w:ilvl w:val="0"/>
                      <w:numId w:val="19"/>
                    </w:numPr>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bidi="ar-SA"/>
                    </w:rPr>
                    <w:t>材料为印刷品</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7）防腐防渗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b/>
                <w:bCs/>
                <w:color w:val="auto"/>
                <w:sz w:val="24"/>
                <w:szCs w:val="24"/>
                <w:highlight w:val="none"/>
              </w:rPr>
            </w:pPr>
            <w:r>
              <w:rPr>
                <w:rFonts w:hint="eastAsia" w:ascii="Times New Roman" w:hAnsi="宋体"/>
                <w:color w:val="auto"/>
                <w:sz w:val="24"/>
                <w:szCs w:val="24"/>
                <w:lang w:eastAsia="zh-CN"/>
              </w:rPr>
              <w:t>危废暂存间</w:t>
            </w:r>
            <w:r>
              <w:rPr>
                <w:rFonts w:ascii="Times New Roman" w:hAnsi="宋体"/>
                <w:color w:val="auto"/>
                <w:sz w:val="24"/>
                <w:szCs w:val="24"/>
              </w:rPr>
              <w:t>地面设计按《危险废物贮存污染控制标准》（</w:t>
            </w:r>
            <w:r>
              <w:rPr>
                <w:rFonts w:ascii="Times New Roman"/>
                <w:color w:val="auto"/>
                <w:sz w:val="24"/>
                <w:szCs w:val="24"/>
              </w:rPr>
              <w:t>GB18597-2001</w:t>
            </w:r>
            <w:r>
              <w:rPr>
                <w:rFonts w:ascii="Times New Roman" w:hAnsi="宋体"/>
                <w:color w:val="auto"/>
                <w:sz w:val="24"/>
                <w:szCs w:val="24"/>
              </w:rPr>
              <w:t>）中的要求进行防腐防渗，并设置堵截渗漏的裙脚，暂存间门口设置</w:t>
            </w:r>
            <w:r>
              <w:rPr>
                <w:rFonts w:ascii="Times New Roman"/>
                <w:color w:val="auto"/>
                <w:sz w:val="24"/>
                <w:szCs w:val="24"/>
              </w:rPr>
              <w:t>20cm</w:t>
            </w:r>
            <w:r>
              <w:rPr>
                <w:rFonts w:ascii="Times New Roman" w:hAnsi="宋体"/>
                <w:color w:val="auto"/>
                <w:sz w:val="24"/>
                <w:szCs w:val="24"/>
              </w:rPr>
              <w:t>防溢流围堰；渗透系数低于</w:t>
            </w:r>
            <w:r>
              <w:rPr>
                <w:rFonts w:ascii="Times New Roman"/>
                <w:color w:val="auto"/>
                <w:sz w:val="24"/>
                <w:szCs w:val="24"/>
              </w:rPr>
              <w:t>10</w:t>
            </w:r>
            <w:r>
              <w:rPr>
                <w:rFonts w:ascii="Times New Roman"/>
                <w:color w:val="auto"/>
                <w:sz w:val="24"/>
                <w:szCs w:val="24"/>
                <w:vertAlign w:val="superscript"/>
              </w:rPr>
              <w:t>-10</w:t>
            </w:r>
            <w:r>
              <w:rPr>
                <w:rFonts w:ascii="Times New Roman"/>
                <w:color w:val="auto"/>
                <w:sz w:val="24"/>
                <w:szCs w:val="24"/>
              </w:rPr>
              <w:t>cm/s</w:t>
            </w:r>
            <w:r>
              <w:rPr>
                <w:rFonts w:ascii="Times New Roman" w:hAnsi="宋体"/>
                <w:color w:val="auto"/>
                <w:sz w:val="24"/>
                <w:szCs w:val="24"/>
              </w:rPr>
              <w:t>，</w:t>
            </w:r>
            <w:r>
              <w:rPr>
                <w:rFonts w:hint="eastAsia" w:ascii="Times New Roman" w:hAnsi="宋体"/>
                <w:color w:val="auto"/>
                <w:sz w:val="24"/>
                <w:szCs w:val="24"/>
                <w:lang w:eastAsia="zh-CN"/>
              </w:rPr>
              <w:t>危废暂存间</w:t>
            </w:r>
            <w:r>
              <w:rPr>
                <w:rFonts w:ascii="Times New Roman" w:hAnsi="宋体"/>
                <w:color w:val="auto"/>
                <w:sz w:val="24"/>
                <w:szCs w:val="24"/>
              </w:rPr>
              <w:t>设立危险物警示标志。</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8）危险废物的转移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b/>
                <w:bCs/>
                <w:color w:val="auto"/>
                <w:sz w:val="24"/>
                <w:szCs w:val="24"/>
                <w:highlight w:val="none"/>
              </w:rPr>
            </w:pPr>
            <w:r>
              <w:rPr>
                <w:rFonts w:ascii="Times New Roman" w:hAnsi="宋体"/>
                <w:color w:val="auto"/>
                <w:sz w:val="24"/>
                <w:szCs w:val="24"/>
              </w:rPr>
              <w:t>按照</w:t>
            </w:r>
            <w:r>
              <w:rPr>
                <w:rFonts w:hint="eastAsia" w:ascii="Times New Roman" w:hAnsi="宋体"/>
                <w:color w:val="auto"/>
                <w:sz w:val="24"/>
                <w:szCs w:val="24"/>
              </w:rPr>
              <w:t>《危险废物转移管理办法》（2021年11月30日生态环境部、公安部、交通运输部令第23号公布）</w:t>
            </w:r>
            <w:r>
              <w:rPr>
                <w:rFonts w:ascii="Times New Roman" w:hAnsi="Times New Roman" w:cs="Times New Roman"/>
                <w:color w:val="auto"/>
                <w:kern w:val="0"/>
                <w:sz w:val="24"/>
                <w:szCs w:val="24"/>
              </w:rPr>
              <w:t>和《</w:t>
            </w:r>
            <w:r>
              <w:rPr>
                <w:rFonts w:hint="eastAsia" w:ascii="Times New Roman" w:hAnsi="Times New Roman" w:cs="Times New Roman"/>
                <w:color w:val="auto"/>
                <w:kern w:val="0"/>
                <w:sz w:val="24"/>
                <w:szCs w:val="24"/>
                <w:lang w:eastAsia="zh-CN"/>
              </w:rPr>
              <w:t>四川</w:t>
            </w:r>
            <w:r>
              <w:rPr>
                <w:rFonts w:ascii="Times New Roman" w:hAnsi="Times New Roman" w:cs="Times New Roman"/>
                <w:color w:val="auto"/>
                <w:kern w:val="0"/>
                <w:sz w:val="24"/>
                <w:szCs w:val="24"/>
              </w:rPr>
              <w:t>省固体废物管理</w:t>
            </w:r>
            <w:r>
              <w:rPr>
                <w:rFonts w:hint="eastAsia" w:ascii="Times New Roman" w:hAnsi="Times New Roman" w:cs="Times New Roman"/>
                <w:color w:val="auto"/>
                <w:kern w:val="0"/>
                <w:sz w:val="24"/>
                <w:szCs w:val="24"/>
                <w:lang w:eastAsia="zh-CN"/>
              </w:rPr>
              <w:t>信息</w:t>
            </w:r>
            <w:r>
              <w:rPr>
                <w:rFonts w:ascii="Times New Roman" w:hAnsi="Times New Roman" w:cs="Times New Roman"/>
                <w:color w:val="auto"/>
                <w:kern w:val="0"/>
                <w:sz w:val="24"/>
                <w:szCs w:val="24"/>
              </w:rPr>
              <w:t>系统》</w:t>
            </w:r>
            <w:r>
              <w:rPr>
                <w:rFonts w:ascii="Times New Roman" w:hAnsi="宋体"/>
                <w:color w:val="auto"/>
                <w:sz w:val="24"/>
                <w:szCs w:val="24"/>
              </w:rPr>
              <w:t>，危险废物纸质转移联单（包括电子转移联单的打印联、转移信息台账记录）保存期限一般为危险废物利用或者处置完毕后三年；危险废物电子转移联单数据永久保留；以填埋方式处置危险废物的，其纸质转移联单（包括电子转移联单的打印联、转移信息台账记录）保存至危险废物填埋场封场后</w:t>
            </w:r>
            <w:r>
              <w:rPr>
                <w:rFonts w:ascii="Times New Roman"/>
                <w:color w:val="auto"/>
                <w:sz w:val="24"/>
                <w:szCs w:val="24"/>
              </w:rPr>
              <w:t>30</w:t>
            </w:r>
            <w:r>
              <w:rPr>
                <w:rFonts w:ascii="Times New Roman" w:hAnsi="宋体"/>
                <w:color w:val="auto"/>
                <w:sz w:val="24"/>
                <w:szCs w:val="24"/>
              </w:rPr>
              <w:t>年。</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9）运输</w:t>
            </w:r>
          </w:p>
          <w:p>
            <w:pPr>
              <w:keepNext w:val="0"/>
              <w:keepLines w:val="0"/>
              <w:pageBreakBefore w:val="0"/>
              <w:widowControl w:val="0"/>
              <w:kinsoku/>
              <w:wordWrap/>
              <w:overflowPunct/>
              <w:topLinePunct w:val="0"/>
              <w:autoSpaceDE/>
              <w:autoSpaceDN/>
              <w:bidi w:val="0"/>
              <w:adjustRightInd/>
              <w:snapToGrid/>
              <w:spacing w:line="440" w:lineRule="atLeast"/>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运输过程中，必须配备押运人员，并随时处于押运人员的监管之下，不得超装、超载，严格按照所在城市规定的行车时间和行车路线行驶，不得进入危险化学品运输车辆禁止通行的区域。危险废物在运输途中如有丢失、被盗等情况，应立即报告当地交通运输、环境保护主管部门，并由交通运输主管部门会同公安部门和环保部门查处。</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10）固废环境影响分析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拟建项目产生的一般固废、危险废物均得到了妥善处置，且收集、贮存、运输所采取的措施可行。拟建项目固废不外排，不会对周围环境产生影响。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b/>
                <w:bCs/>
                <w:color w:val="auto"/>
                <w:sz w:val="24"/>
                <w:szCs w:val="24"/>
                <w:highlight w:val="none"/>
              </w:rPr>
            </w:pPr>
            <w:r>
              <w:rPr>
                <w:rFonts w:hint="default" w:ascii="Times New Roman" w:hAnsi="Times New Roman" w:cs="Times New Roman"/>
                <w:color w:val="auto"/>
                <w:sz w:val="24"/>
                <w:szCs w:val="24"/>
              </w:rPr>
              <w:t>综上，通过以上措施后，项目</w:t>
            </w:r>
            <w:r>
              <w:rPr>
                <w:rFonts w:hint="default" w:ascii="Times New Roman" w:hAnsi="Times New Roman" w:cs="Times New Roman"/>
                <w:color w:val="auto"/>
                <w:sz w:val="24"/>
                <w:szCs w:val="24"/>
                <w:lang w:eastAsia="zh-CN"/>
              </w:rPr>
              <w:t>运营期产生的</w:t>
            </w:r>
            <w:r>
              <w:rPr>
                <w:rFonts w:hint="default" w:ascii="Times New Roman" w:hAnsi="Times New Roman" w:cs="Times New Roman"/>
                <w:color w:val="auto"/>
                <w:sz w:val="24"/>
                <w:szCs w:val="24"/>
              </w:rPr>
              <w:t>固体废弃物</w:t>
            </w:r>
            <w:r>
              <w:rPr>
                <w:rFonts w:hint="default" w:ascii="Times New Roman" w:hAnsi="Times New Roman" w:cs="Times New Roman"/>
                <w:color w:val="auto"/>
                <w:sz w:val="24"/>
                <w:szCs w:val="24"/>
                <w:lang w:eastAsia="zh-CN"/>
              </w:rPr>
              <w:t>均</w:t>
            </w:r>
            <w:r>
              <w:rPr>
                <w:rFonts w:hint="default" w:ascii="Times New Roman" w:hAnsi="Times New Roman" w:cs="Times New Roman"/>
                <w:color w:val="auto"/>
                <w:sz w:val="24"/>
                <w:szCs w:val="24"/>
              </w:rPr>
              <w:t>可得到有效处置，不会形成二次污染。</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6、地下水、土壤环境影响分析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（1）污染源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根据项目实际情况，拟建项目可能对地下水和土壤产生影响的污染源主要为储罐区、管线、废水处理站、</w:t>
            </w:r>
            <w:r>
              <w:rPr>
                <w:rFonts w:hint="eastAsia" w:cs="Times New Roman"/>
                <w:color w:val="auto"/>
                <w:sz w:val="24"/>
                <w:szCs w:val="24"/>
                <w:lang w:val="en-US" w:eastAsia="zh-CN"/>
              </w:rPr>
              <w:t>化验废液集存池、油气回收装置区、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危废暂存间、化粪池、隔油池、</w:t>
            </w:r>
            <w:r>
              <w:rPr>
                <w:rFonts w:hint="eastAsia" w:cs="Times New Roman"/>
                <w:color w:val="auto"/>
                <w:sz w:val="24"/>
                <w:szCs w:val="24"/>
                <w:lang w:val="en-US" w:eastAsia="zh-CN"/>
              </w:rPr>
              <w:t>生活污水处理站、</w:t>
            </w:r>
            <w:r>
              <w:rPr>
                <w:rFonts w:hint="eastAsia" w:ascii="Times New Roman" w:hAnsi="Times New Roman" w:eastAsia="宋体" w:cs="Times New Roman"/>
                <w:color w:val="auto"/>
                <w:sz w:val="24"/>
                <w:szCs w:val="24"/>
                <w:lang w:val="en-US" w:eastAsia="zh-CN"/>
              </w:rPr>
              <w:t>漏油及事故污水收集池等。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拟建项目废水主要为生活污水（含食堂废水）、初期雨水、降温喷淋水、地面冲洗水。</w:t>
            </w:r>
            <w:r>
              <w:rPr>
                <w:rFonts w:hint="eastAsia" w:cs="Times New Roman"/>
                <w:color w:val="auto"/>
                <w:sz w:val="24"/>
                <w:szCs w:val="24"/>
                <w:lang w:val="en-US" w:eastAsia="zh-CN"/>
              </w:rPr>
              <w:t>双龙镇污水处理厂扩建完成后</w:t>
            </w:r>
            <w:r>
              <w:rPr>
                <w:rFonts w:hint="eastAsia" w:ascii="Times New Roman" w:hAnsi="Times New Roman" w:eastAsia="宋体" w:cs="Times New Roman"/>
                <w:color w:val="auto"/>
                <w:sz w:val="24"/>
                <w:szCs w:val="24"/>
                <w:lang w:val="en-US" w:eastAsia="zh-CN"/>
              </w:rPr>
              <w:t>生活污水（食堂废水经隔油池处理后）经</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化粪池</w:t>
            </w:r>
            <w:r>
              <w:rPr>
                <w:rFonts w:hint="eastAsia" w:cs="Times New Roman"/>
                <w:color w:val="auto"/>
                <w:sz w:val="24"/>
                <w:szCs w:val="24"/>
                <w:lang w:val="en-US" w:eastAsia="zh-CN"/>
              </w:rPr>
              <w:t>+埋地式生活污水处理装置”</w:t>
            </w:r>
            <w:r>
              <w:rPr>
                <w:rFonts w:hint="eastAsia" w:ascii="Times New Roman" w:hAnsi="Times New Roman" w:eastAsia="宋体" w:cs="Times New Roman"/>
                <w:color w:val="auto"/>
                <w:sz w:val="24"/>
                <w:szCs w:val="24"/>
                <w:lang w:val="en-US" w:eastAsia="zh-CN"/>
              </w:rPr>
              <w:t>处理后排入园区污水管网，生产过程中产生的含油废水经“废水处理站”处理后排入园区污水管网。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拟建项目废水污染物为COD、BOD、SS、氨氮、石油类、动植物油等。危废暂存间主要暂存废水处理设施废油、废活性炭、</w:t>
            </w:r>
            <w:r>
              <w:rPr>
                <w:rFonts w:hint="eastAsia" w:cs="Times New Roman"/>
                <w:color w:val="auto"/>
                <w:sz w:val="24"/>
                <w:szCs w:val="24"/>
                <w:lang w:val="en-US" w:eastAsia="zh-CN"/>
              </w:rPr>
              <w:t>油罐切水、储罐清洗废水、</w:t>
            </w:r>
            <w:r>
              <w:rPr>
                <w:rFonts w:hint="eastAsia" w:ascii="Times New Roman" w:hAnsi="Times New Roman" w:eastAsia="宋体" w:cs="Times New Roman"/>
                <w:color w:val="auto"/>
                <w:sz w:val="24"/>
                <w:szCs w:val="24"/>
                <w:lang w:val="en-US" w:eastAsia="zh-CN"/>
              </w:rPr>
              <w:t>废含油抹布及劳保用品</w:t>
            </w:r>
            <w:r>
              <w:rPr>
                <w:rFonts w:hint="eastAsia" w:cs="Times New Roman"/>
                <w:color w:val="auto"/>
                <w:sz w:val="24"/>
                <w:szCs w:val="24"/>
                <w:lang w:val="en-US" w:eastAsia="zh-CN"/>
              </w:rPr>
              <w:t>、降质油</w:t>
            </w:r>
            <w:r>
              <w:rPr>
                <w:rFonts w:hint="eastAsia" w:ascii="Times New Roman" w:hAnsi="Times New Roman" w:eastAsia="宋体" w:cs="Times New Roman"/>
                <w:color w:val="auto"/>
                <w:sz w:val="24"/>
                <w:szCs w:val="24"/>
                <w:lang w:val="en-US" w:eastAsia="zh-CN"/>
              </w:rPr>
              <w:t>；废水处理站污泥和储罐油泥不在场内暂存；化验室废弃酸、碱、化学药剂、废渣暂存于化验废液集存池内。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（2）污染类型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1）正常工况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正常工况下，储罐区、管线、废水处理站、危废暂存间、化粪池、隔油池、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漏油及事故污水收集池等采取了严格的</w:t>
            </w:r>
            <w:r>
              <w:rPr>
                <w:rFonts w:hint="default" w:ascii="Times New Roman" w:hAnsi="Times New Roman" w:eastAsia="宋体" w:cs="Times New Roman"/>
                <w:color w:val="auto"/>
                <w:sz w:val="24"/>
                <w:szCs w:val="24"/>
                <w:lang w:val="en-US" w:eastAsia="zh-CN"/>
              </w:rPr>
              <w:t>重点防渗措施，</w:t>
            </w:r>
            <w:r>
              <w:rPr>
                <w:rFonts w:hint="default" w:ascii="Times New Roman" w:hAnsi="Times New Roman" w:cs="Times New Roman"/>
                <w:color w:val="auto"/>
                <w:kern w:val="0"/>
                <w:sz w:val="24"/>
                <w:szCs w:val="24"/>
                <w:highlight w:val="none"/>
              </w:rPr>
              <w:t>使等效等效黏土防渗层Mb≥6.0m，K≤1×10</w:t>
            </w:r>
            <w:r>
              <w:rPr>
                <w:rFonts w:hint="default" w:ascii="Times New Roman" w:hAnsi="Times New Roman" w:cs="Times New Roman"/>
                <w:color w:val="auto"/>
                <w:kern w:val="0"/>
                <w:sz w:val="24"/>
                <w:szCs w:val="24"/>
                <w:highlight w:val="none"/>
                <w:vertAlign w:val="superscript"/>
              </w:rPr>
              <w:t>-7</w:t>
            </w:r>
            <w:r>
              <w:rPr>
                <w:rFonts w:hint="default" w:ascii="Times New Roman" w:hAnsi="Times New Roman" w:cs="Times New Roman"/>
                <w:color w:val="auto"/>
                <w:kern w:val="0"/>
                <w:sz w:val="24"/>
                <w:szCs w:val="24"/>
                <w:highlight w:val="none"/>
              </w:rPr>
              <w:t>cm/s；或参照GB18598执行</w:t>
            </w:r>
            <w:r>
              <w:rPr>
                <w:rFonts w:hint="eastAsia" w:cs="Times New Roman"/>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2）非正常工况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非正常状况下，储罐区、管线、废水处理站、危废暂存间、化粪池、隔油池、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漏油及事故污水收集池防渗层因腐蚀、老化等原因出现裂隙，会导致污染物渗漏垂直进入包气带，污</w:t>
            </w:r>
            <w:r>
              <w:rPr>
                <w:rFonts w:hint="eastAsia" w:ascii="Times New Roman" w:hAnsi="Times New Roman" w:cs="Times New Roman"/>
                <w:color w:val="auto"/>
                <w:kern w:val="0"/>
                <w:sz w:val="24"/>
                <w:lang w:val="en-US" w:eastAsia="zh-CN"/>
              </w:rPr>
              <w:t>进入包气带的污染物在物理、化学和生物作用下经吸附、转化、迁移和分解后输入地下水、土壤，</w:t>
            </w:r>
            <w:r>
              <w:rPr>
                <w:rFonts w:hint="eastAsia" w:ascii="Times New Roman" w:hAnsi="Times New Roman" w:eastAsia="宋体" w:cs="Times New Roman"/>
                <w:color w:val="auto"/>
                <w:sz w:val="24"/>
                <w:szCs w:val="24"/>
                <w:lang w:val="en-US" w:eastAsia="zh-CN"/>
              </w:rPr>
              <w:t>可能对地下水、土壤造成影响。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（3）污染途径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kern w:val="0"/>
                <w:sz w:val="24"/>
                <w:lang w:val="en-US" w:eastAsia="zh-CN"/>
              </w:rPr>
              <w:t>根据工程所处区域的地质情况，拟建项目可能对地下水、土壤造成的污染途径有如下几种：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1）项目废水通过收集管道、各级废水处理池、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漏油及事故污水收集池渗入土壤和地下；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2）危废暂存间内贮存的废物通过地面渗入土壤和地下；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3）油品通过储罐区及管线渗入土壤和地下。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（4）影响分析</w:t>
            </w:r>
          </w:p>
          <w:p>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eastAsia="宋体" w:cs="Times New Roman"/>
                <w:color w:val="auto"/>
                <w:sz w:val="24"/>
                <w:szCs w:val="24"/>
                <w:lang w:val="en-US" w:eastAsia="zh-CN"/>
              </w:rPr>
              <w:t>1）</w:t>
            </w:r>
            <w:r>
              <w:rPr>
                <w:rFonts w:hint="eastAsia" w:ascii="Times New Roman" w:hAnsi="Times New Roman" w:cs="Times New Roman"/>
                <w:color w:val="auto"/>
                <w:kern w:val="0"/>
                <w:sz w:val="24"/>
                <w:lang w:val="en-US" w:eastAsia="zh-CN"/>
              </w:rPr>
              <w:t>对浅层地下水的污染影响</w:t>
            </w:r>
          </w:p>
          <w:p>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正常情况下，对浅层地下水的污染主要是由于污染物迁移穿过包气带进入含水层造成的。根据现场调查，工程场地土壤从上到下依次为粘性土及含卵石粘性土等组成，下伏基岩，其渗透系数为0.05m/d，包气带防污性能为中级，说明浅层地下水不太容易受到污染，若发生泄漏，污染物不会很快穿过包气带进入浅层地下水，对浅层地下水的影响很小。</w:t>
            </w:r>
          </w:p>
          <w:p>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2）对深层地下水的污染影响</w:t>
            </w:r>
          </w:p>
          <w:p>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判断深层地下水是否会受到污染影响，通常分析深层地下水含水组上覆地层的防污性能和有无与浅层地下水的水力联系。通过对水文地质条件和浅层地下水影响的分析，项目深层地下水不会受到污染。</w:t>
            </w:r>
          </w:p>
          <w:p>
            <w:pPr>
              <w:spacing w:line="440" w:lineRule="exact"/>
              <w:ind w:firstLine="480" w:firstLineChars="200"/>
              <w:textAlignment w:val="baseline"/>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3）对土壤的污染影响</w:t>
            </w:r>
          </w:p>
          <w:p>
            <w:pPr>
              <w:pStyle w:val="17"/>
              <w:spacing w:before="0" w:beforeAutospacing="0" w:after="0" w:afterAutospacing="0" w:line="440" w:lineRule="exact"/>
              <w:ind w:firstLine="480" w:firstLineChars="200"/>
              <w:textAlignment w:val="baseline"/>
              <w:rPr>
                <w:rFonts w:hint="eastAsia" w:ascii="Times New Roman" w:hAnsi="Times New Roman" w:eastAsia="宋体"/>
                <w:color w:val="auto"/>
                <w:szCs w:val="24"/>
                <w:lang w:eastAsia="zh-CN" w:bidi="ar"/>
              </w:rPr>
            </w:pPr>
            <w:r>
              <w:rPr>
                <w:rFonts w:hint="eastAsia" w:ascii="Times New Roman" w:hAnsi="Times New Roman"/>
                <w:color w:val="auto"/>
                <w:szCs w:val="24"/>
                <w:lang w:eastAsia="zh-CN" w:bidi="ar"/>
              </w:rPr>
              <w:t>拟建项目</w:t>
            </w:r>
            <w:r>
              <w:rPr>
                <w:rFonts w:hint="eastAsia" w:ascii="Times New Roman" w:hAnsi="Times New Roman"/>
                <w:color w:val="auto"/>
                <w:szCs w:val="24"/>
                <w:lang w:bidi="ar"/>
              </w:rPr>
              <w:t>位于</w:t>
            </w:r>
            <w:r>
              <w:rPr>
                <w:rFonts w:hint="eastAsia" w:ascii="Times New Roman" w:hAnsi="Times New Roman" w:eastAsia="宋体" w:cs="Times New Roman"/>
                <w:color w:val="auto"/>
                <w:sz w:val="24"/>
                <w:szCs w:val="24"/>
                <w:highlight w:val="none"/>
                <w:lang w:eastAsia="zh-CN"/>
              </w:rPr>
              <w:t>达州市通川区双龙铁路物流园</w:t>
            </w:r>
            <w:r>
              <w:rPr>
                <w:rFonts w:hint="eastAsia" w:ascii="Times New Roman" w:hAnsi="Times New Roman" w:cs="Times New Roman"/>
                <w:color w:val="auto"/>
                <w:sz w:val="24"/>
                <w:szCs w:val="24"/>
                <w:highlight w:val="none"/>
                <w:lang w:eastAsia="zh-CN"/>
              </w:rPr>
              <w:t>，</w:t>
            </w:r>
            <w:r>
              <w:rPr>
                <w:rFonts w:hint="eastAsia" w:ascii="Times New Roman" w:hAnsi="Times New Roman"/>
                <w:color w:val="auto"/>
                <w:szCs w:val="24"/>
                <w:lang w:eastAsia="zh-CN" w:bidi="ar"/>
              </w:rPr>
              <w:t>项目周围敏感目标主要为耕地。污染物发生泄漏和漫流会垂直、漫流进入土壤，对土壤造成污染。</w:t>
            </w:r>
          </w:p>
          <w:p>
            <w:pPr>
              <w:pStyle w:val="17"/>
              <w:spacing w:before="0" w:beforeAutospacing="0" w:after="0" w:afterAutospacing="0" w:line="440" w:lineRule="exact"/>
              <w:ind w:firstLine="480" w:firstLineChars="200"/>
              <w:textAlignment w:val="baseline"/>
              <w:rPr>
                <w:rFonts w:hint="eastAsia" w:ascii="Times New Roman" w:hAnsi="Times New Roman"/>
                <w:color w:val="auto"/>
                <w:szCs w:val="24"/>
                <w:lang w:bidi="ar"/>
              </w:rPr>
            </w:pPr>
            <w:r>
              <w:rPr>
                <w:rFonts w:hint="eastAsia" w:ascii="Times New Roman" w:hAnsi="Times New Roman" w:cs="Times New Roman"/>
                <w:color w:val="auto"/>
                <w:kern w:val="0"/>
                <w:sz w:val="24"/>
                <w:lang w:val="en-US" w:eastAsia="zh-CN"/>
              </w:rPr>
              <w:t>为避免污染土壤和地下水，拟建项目</w:t>
            </w:r>
            <w:r>
              <w:rPr>
                <w:rFonts w:hint="eastAsia" w:ascii="Times New Roman" w:hAnsi="Times New Roman" w:eastAsia="宋体" w:cs="Times New Roman"/>
                <w:color w:val="auto"/>
                <w:sz w:val="24"/>
                <w:szCs w:val="24"/>
                <w:lang w:val="en-US" w:eastAsia="zh-CN"/>
              </w:rPr>
              <w:t>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w:t>
            </w:r>
            <w:r>
              <w:rPr>
                <w:rFonts w:hint="eastAsia" w:ascii="Times New Roman" w:hAnsi="Times New Roman" w:cs="Times New Roman"/>
                <w:color w:val="auto"/>
                <w:kern w:val="0"/>
                <w:sz w:val="24"/>
                <w:lang w:val="en-US" w:eastAsia="zh-CN"/>
              </w:rPr>
              <w:t>应采取必要的防渗措施。</w:t>
            </w:r>
          </w:p>
          <w:p>
            <w:pPr>
              <w:spacing w:line="440" w:lineRule="exact"/>
              <w:ind w:firstLine="480" w:firstLineChars="200"/>
              <w:textAlignment w:val="baseline"/>
              <w:rPr>
                <w:rFonts w:hint="eastAsia" w:ascii="Times New Roman" w:hAnsi="Times New Roman"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（5）防治措施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val="en-US" w:eastAsia="zh-CN"/>
              </w:rPr>
              <w:t>1）</w:t>
            </w:r>
            <w:r>
              <w:rPr>
                <w:rFonts w:cs="Times New Roman"/>
                <w:color w:val="auto"/>
                <w:sz w:val="24"/>
                <w:szCs w:val="24"/>
                <w:highlight w:val="none"/>
              </w:rPr>
              <w:t>源头控制</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baseline"/>
              <w:rPr>
                <w:rFonts w:cs="Times New Roman"/>
                <w:color w:val="auto"/>
                <w:sz w:val="24"/>
                <w:szCs w:val="24"/>
                <w:highlight w:val="none"/>
              </w:rPr>
            </w:pPr>
            <w:r>
              <w:rPr>
                <w:rFonts w:hint="eastAsia" w:ascii="Times New Roman" w:hAnsi="Times New Roman" w:cs="Times New Roman"/>
                <w:color w:val="auto"/>
                <w:kern w:val="0"/>
                <w:sz w:val="24"/>
                <w:szCs w:val="24"/>
                <w:u w:val="none"/>
                <w:lang w:val="en-US" w:eastAsia="zh-CN" w:bidi="ar"/>
              </w:rPr>
              <w:t>储罐</w:t>
            </w:r>
            <w:r>
              <w:rPr>
                <w:rFonts w:hint="default" w:ascii="Times New Roman" w:hAnsi="Times New Roman" w:eastAsia="宋体" w:cs="Times New Roman"/>
                <w:color w:val="auto"/>
                <w:kern w:val="0"/>
                <w:sz w:val="24"/>
                <w:szCs w:val="24"/>
                <w:u w:val="none"/>
                <w:lang w:val="en-US" w:eastAsia="zh-CN" w:bidi="ar"/>
              </w:rPr>
              <w:t>区严格按照《石油库设计规范》（GB50074-2014）等相关要求进行建设，可减少污染物的排放量，可将污染物跑、冒、滴、漏降到最低限度。</w:t>
            </w:r>
            <w:r>
              <w:rPr>
                <w:rFonts w:hint="default" w:ascii="Times New Roman" w:hAnsi="Times New Roman" w:eastAsia="宋体" w:cs="Times New Roman"/>
                <w:color w:val="auto"/>
                <w:sz w:val="24"/>
                <w:szCs w:val="24"/>
                <w:lang w:val="en-US" w:eastAsia="zh-CN"/>
              </w:rPr>
              <w:t>项目对于进出罐区的物料管道，除起讫点设置阀门外，全线均采用钢管焊接密闭输送，以确保正常情况下无油气泄露；</w:t>
            </w:r>
            <w:r>
              <w:rPr>
                <w:rFonts w:cs="Times New Roman"/>
                <w:color w:val="auto"/>
                <w:sz w:val="24"/>
                <w:szCs w:val="24"/>
                <w:highlight w:val="none"/>
              </w:rPr>
              <w:t>对</w:t>
            </w:r>
            <w:r>
              <w:rPr>
                <w:rFonts w:hint="eastAsia" w:ascii="Times New Roman" w:hAnsi="Times New Roman" w:eastAsia="宋体" w:cs="Times New Roman"/>
                <w:color w:val="auto"/>
                <w:sz w:val="24"/>
                <w:szCs w:val="24"/>
                <w:lang w:val="en-US" w:eastAsia="zh-CN"/>
              </w:rPr>
              <w:t>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w:t>
            </w:r>
            <w:r>
              <w:rPr>
                <w:rFonts w:cs="Times New Roman"/>
                <w:color w:val="auto"/>
                <w:sz w:val="24"/>
                <w:szCs w:val="24"/>
                <w:highlight w:val="none"/>
              </w:rPr>
              <w:t>采取严格管理，定期进行全面检查，每日进行例行检查，并记录设备运行情况，发现问题后及时处理，并上报相关部门负责人。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2）过程控制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储罐</w:t>
            </w:r>
            <w:r>
              <w:rPr>
                <w:rFonts w:hint="default" w:ascii="Times New Roman" w:hAnsi="Times New Roman" w:eastAsia="宋体" w:cs="Times New Roman"/>
                <w:color w:val="auto"/>
                <w:sz w:val="24"/>
                <w:szCs w:val="24"/>
                <w:lang w:val="en-US" w:eastAsia="zh-CN"/>
              </w:rPr>
              <w:t>区为相对独立的区域，</w:t>
            </w:r>
            <w:r>
              <w:rPr>
                <w:rFonts w:hint="eastAsia" w:ascii="Times New Roman" w:hAnsi="Times New Roman" w:eastAsia="宋体" w:cs="Times New Roman"/>
                <w:color w:val="auto"/>
                <w:sz w:val="24"/>
                <w:szCs w:val="24"/>
                <w:lang w:val="en-US" w:eastAsia="zh-CN"/>
              </w:rPr>
              <w:t>储罐</w:t>
            </w:r>
            <w:r>
              <w:rPr>
                <w:rFonts w:hint="default" w:ascii="Times New Roman" w:hAnsi="Times New Roman" w:eastAsia="宋体" w:cs="Times New Roman"/>
                <w:color w:val="auto"/>
                <w:sz w:val="24"/>
                <w:szCs w:val="24"/>
                <w:lang w:val="en-US" w:eastAsia="zh-CN"/>
              </w:rPr>
              <w:t>区将设置2m高的围堰</w:t>
            </w:r>
            <w:r>
              <w:rPr>
                <w:rFonts w:hint="eastAsia" w:ascii="Times New Roman" w:hAnsi="Times New Roman" w:eastAsia="宋体" w:cs="Times New Roman"/>
                <w:color w:val="auto"/>
                <w:sz w:val="24"/>
                <w:szCs w:val="24"/>
                <w:lang w:val="en-US" w:eastAsia="zh-CN"/>
              </w:rPr>
              <w:t>（防火堤）；新建漏油及事故废水收集池；实行“雨污分流”，在厂区雨水排放口设置可控闸板</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控制废水排入外环境。</w:t>
            </w:r>
            <w:r>
              <w:rPr>
                <w:rFonts w:hint="default" w:ascii="Times New Roman" w:hAnsi="Times New Roman" w:eastAsia="宋体" w:cs="Times New Roman"/>
                <w:color w:val="auto"/>
                <w:sz w:val="24"/>
                <w:szCs w:val="24"/>
                <w:lang w:val="en-US" w:eastAsia="zh-CN"/>
              </w:rPr>
              <w:t>项目在有可能散发易燃易爆气体的场所，如罐区等，均设有监控系统，并有控制室进行监控；另外在项目入口设立明显标志，禁止使用手机等通讯设施。同时环评建议项目在易散发易燃易爆气体的场所，如罐区等安装可燃气体检测报警仪，同时，引入控制室进行监控</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val="en-US" w:eastAsia="zh-CN"/>
              </w:rPr>
              <w:t>3）</w:t>
            </w:r>
            <w:r>
              <w:rPr>
                <w:rFonts w:cs="Times New Roman"/>
                <w:color w:val="auto"/>
                <w:sz w:val="24"/>
                <w:szCs w:val="24"/>
                <w:highlight w:val="none"/>
              </w:rPr>
              <w:t>分区防控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color w:val="auto"/>
                <w:sz w:val="24"/>
                <w:szCs w:val="24"/>
                <w:highlight w:val="none"/>
              </w:rPr>
              <w:t>依据《环境影响评价技术导则  地下水环境》（HJ610-2016），根据建设项目场地天然气包气带防污性能、污染控制难易程度和污染物特性等条件，确定场地地下水污染物分区防渗要求。</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baseline"/>
              <w:rPr>
                <w:rFonts w:hint="eastAsia" w:eastAsia="宋体"/>
                <w:b/>
                <w:color w:val="auto"/>
                <w:sz w:val="24"/>
                <w:szCs w:val="24"/>
                <w:highlight w:val="none"/>
                <w:lang w:eastAsia="zh-CN"/>
              </w:rPr>
            </w:pPr>
            <w:r>
              <w:rPr>
                <w:rFonts w:hint="eastAsia"/>
                <w:b/>
                <w:color w:val="auto"/>
                <w:sz w:val="24"/>
                <w:szCs w:val="24"/>
                <w:highlight w:val="none"/>
                <w:lang w:eastAsia="zh-CN"/>
              </w:rPr>
              <w:t>具体分区防渗见下表。</w:t>
            </w:r>
          </w:p>
          <w:p>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baseline"/>
              <w:rPr>
                <w:b/>
                <w:color w:val="auto"/>
                <w:sz w:val="24"/>
                <w:szCs w:val="24"/>
                <w:highlight w:val="none"/>
              </w:rPr>
            </w:pPr>
            <w:r>
              <w:rPr>
                <w:b/>
                <w:color w:val="auto"/>
                <w:sz w:val="24"/>
                <w:szCs w:val="24"/>
                <w:highlight w:val="none"/>
              </w:rPr>
              <w:t>表</w:t>
            </w:r>
            <w:r>
              <w:rPr>
                <w:rFonts w:hint="eastAsia"/>
                <w:b/>
                <w:color w:val="auto"/>
                <w:sz w:val="24"/>
                <w:szCs w:val="24"/>
                <w:highlight w:val="none"/>
                <w:lang w:val="en-US" w:eastAsia="zh-CN"/>
              </w:rPr>
              <w:t xml:space="preserve">4-31 </w:t>
            </w:r>
            <w:r>
              <w:rPr>
                <w:b/>
                <w:color w:val="auto"/>
                <w:sz w:val="24"/>
                <w:szCs w:val="24"/>
                <w:highlight w:val="none"/>
              </w:rPr>
              <w:t xml:space="preserve">   项目污染区划分、防渗等级及防渗措施一览表</w:t>
            </w:r>
          </w:p>
          <w:tbl>
            <w:tblPr>
              <w:tblStyle w:val="19"/>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3"/>
              <w:gridCol w:w="460"/>
              <w:gridCol w:w="1303"/>
              <w:gridCol w:w="1137"/>
              <w:gridCol w:w="4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序号</w:t>
                  </w:r>
                </w:p>
              </w:tc>
              <w:tc>
                <w:tcPr>
                  <w:tcW w:w="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类别</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名称</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防渗技术要求</w:t>
                  </w:r>
                </w:p>
              </w:tc>
              <w:tc>
                <w:tcPr>
                  <w:tcW w:w="48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建议防渗措施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1</w:t>
                  </w:r>
                </w:p>
              </w:tc>
              <w:tc>
                <w:tcPr>
                  <w:tcW w:w="46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重点防渗区</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eastAsia="zh-CN"/>
                    </w:rPr>
                    <w:t>储罐及围堰</w:t>
                  </w:r>
                </w:p>
              </w:tc>
              <w:tc>
                <w:tcPr>
                  <w:tcW w:w="113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等效黏土防渗层Mb≥6.0m，K≤1×10</w:t>
                  </w:r>
                  <w:r>
                    <w:rPr>
                      <w:rFonts w:hint="default"/>
                      <w:snapToGrid w:val="0"/>
                      <w:color w:val="auto"/>
                      <w:kern w:val="0"/>
                      <w:sz w:val="21"/>
                      <w:szCs w:val="21"/>
                      <w:highlight w:val="none"/>
                      <w:vertAlign w:val="superscript"/>
                    </w:rPr>
                    <w:t>-7</w:t>
                  </w:r>
                  <w:r>
                    <w:rPr>
                      <w:rFonts w:hint="default"/>
                      <w:snapToGrid w:val="0"/>
                      <w:color w:val="auto"/>
                      <w:kern w:val="0"/>
                      <w:sz w:val="21"/>
                      <w:szCs w:val="21"/>
                      <w:highlight w:val="none"/>
                    </w:rPr>
                    <w:t>cm/s；或参照GB18598执行</w:t>
                  </w:r>
                </w:p>
              </w:tc>
              <w:tc>
                <w:tcPr>
                  <w:tcW w:w="4889"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default" w:ascii="Times New Roman" w:hAnsi="Times New Roman" w:eastAsia="宋体" w:cs="Times New Roman"/>
                      <w:color w:val="auto"/>
                      <w:kern w:val="0"/>
                      <w:sz w:val="21"/>
                      <w:szCs w:val="21"/>
                      <w:u w:val="none"/>
                    </w:rPr>
                    <w:t>罐体进行了基础防腐处理，</w:t>
                  </w:r>
                  <w:r>
                    <w:rPr>
                      <w:rFonts w:hint="eastAsia" w:ascii="Times New Roman" w:hAnsi="Times New Roman" w:eastAsia="宋体" w:cs="Times New Roman"/>
                      <w:color w:val="auto"/>
                      <w:kern w:val="0"/>
                      <w:sz w:val="21"/>
                      <w:szCs w:val="21"/>
                      <w:u w:val="none"/>
                      <w:lang w:eastAsia="zh-CN"/>
                    </w:rPr>
                    <w:t>防止</w:t>
                  </w:r>
                  <w:r>
                    <w:rPr>
                      <w:rFonts w:hint="default" w:ascii="Times New Roman" w:hAnsi="Times New Roman" w:eastAsia="宋体" w:cs="Times New Roman"/>
                      <w:color w:val="auto"/>
                      <w:kern w:val="0"/>
                      <w:sz w:val="21"/>
                      <w:szCs w:val="21"/>
                      <w:u w:val="none"/>
                    </w:rPr>
                    <w:t>因腐蚀造成的泄</w:t>
                  </w:r>
                  <w:r>
                    <w:rPr>
                      <w:rFonts w:hint="eastAsia" w:ascii="Times New Roman" w:hAnsi="Times New Roman" w:eastAsia="宋体" w:cs="Times New Roman"/>
                      <w:color w:val="auto"/>
                      <w:kern w:val="0"/>
                      <w:sz w:val="21"/>
                      <w:szCs w:val="21"/>
                      <w:u w:val="none"/>
                      <w:lang w:eastAsia="zh-CN"/>
                    </w:rPr>
                    <w:t>漏，</w:t>
                  </w:r>
                  <w:r>
                    <w:rPr>
                      <w:rFonts w:hint="default" w:ascii="Times New Roman" w:hAnsi="Times New Roman" w:eastAsia="宋体" w:cs="Times New Roman"/>
                      <w:color w:val="auto"/>
                      <w:kern w:val="0"/>
                      <w:sz w:val="21"/>
                      <w:szCs w:val="21"/>
                      <w:u w:val="none"/>
                    </w:rPr>
                    <w:t>罐区设置了</w:t>
                  </w:r>
                  <w:r>
                    <w:rPr>
                      <w:rFonts w:hint="eastAsia" w:ascii="Times New Roman" w:hAnsi="Times New Roman" w:eastAsia="宋体" w:cs="Times New Roman"/>
                      <w:color w:val="auto"/>
                      <w:kern w:val="0"/>
                      <w:sz w:val="21"/>
                      <w:szCs w:val="21"/>
                      <w:u w:val="none"/>
                      <w:lang w:eastAsia="zh-CN"/>
                    </w:rPr>
                    <w:t>防火堤</w:t>
                  </w:r>
                  <w:r>
                    <w:rPr>
                      <w:rFonts w:hint="default" w:ascii="Times New Roman" w:hAnsi="Times New Roman" w:eastAsia="宋体" w:cs="Times New Roman"/>
                      <w:color w:val="auto"/>
                      <w:kern w:val="0"/>
                      <w:sz w:val="21"/>
                      <w:szCs w:val="21"/>
                      <w:u w:val="none"/>
                    </w:rPr>
                    <w:t>，围堰在基础层面上进行了混凝土硬化，对硬化地面涂抹防渗材料；</w:t>
                  </w:r>
                  <w:r>
                    <w:rPr>
                      <w:rFonts w:hint="default" w:ascii="Times New Roman" w:hAnsi="Times New Roman" w:eastAsia="宋体" w:cs="Times New Roman"/>
                      <w:color w:val="auto"/>
                      <w:sz w:val="21"/>
                      <w:szCs w:val="21"/>
                      <w:highlight w:val="none"/>
                      <w:lang w:val="en-US" w:eastAsia="zh-CN"/>
                    </w:rPr>
                    <w:t>等效黏土防渗层 Mb≥6.0m，K≤1×10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cm/s的其他方式</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eastAsia" w:eastAsia="宋体"/>
                      <w:snapToGrid w:val="0"/>
                      <w:color w:val="auto"/>
                      <w:kern w:val="0"/>
                      <w:sz w:val="21"/>
                      <w:szCs w:val="21"/>
                      <w:highlight w:val="none"/>
                      <w:lang w:eastAsia="zh-CN"/>
                    </w:rPr>
                    <w:t>储罐基础</w:t>
                  </w:r>
                </w:p>
              </w:tc>
              <w:tc>
                <w:tcPr>
                  <w:tcW w:w="113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889"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u w:val="none"/>
                    </w:rPr>
                    <w:t>采用钢筋混凝土筏板加钻孔灌注桩基础。储罐基础地基施工，从下到上依次厚碎石垫层、C10素混凝土垫层、厚钢筋混凝土底板、中粗砂垫层、细粒式沥青混凝土、沥青砂面层。本项目的地基所采用的沥青砂面层、细粒式沥青混凝土、钢筋混凝土底板、混凝土垫层均具有一定的油类吸附、阻滞能力。其中沥青绝缘层的渗透系数约为0.7×10</w:t>
                  </w:r>
                  <w:r>
                    <w:rPr>
                      <w:rFonts w:hint="default" w:ascii="Times New Roman" w:hAnsi="Times New Roman" w:eastAsia="宋体" w:cs="Times New Roman"/>
                      <w:color w:val="auto"/>
                      <w:kern w:val="0"/>
                      <w:sz w:val="21"/>
                      <w:szCs w:val="21"/>
                      <w:u w:val="none"/>
                      <w:vertAlign w:val="superscript"/>
                    </w:rPr>
                    <w:t>-7</w:t>
                  </w:r>
                  <w:r>
                    <w:rPr>
                      <w:rFonts w:hint="default" w:ascii="Times New Roman" w:hAnsi="Times New Roman" w:eastAsia="宋体" w:cs="Times New Roman"/>
                      <w:color w:val="auto"/>
                      <w:kern w:val="0"/>
                      <w:sz w:val="21"/>
                      <w:szCs w:val="21"/>
                      <w:u w:val="none"/>
                    </w:rPr>
                    <w:t>cm/s，混凝土的渗透系数约为1×10</w:t>
                  </w:r>
                  <w:r>
                    <w:rPr>
                      <w:rFonts w:hint="default" w:ascii="Times New Roman" w:hAnsi="Times New Roman" w:eastAsia="宋体" w:cs="Times New Roman"/>
                      <w:color w:val="auto"/>
                      <w:kern w:val="0"/>
                      <w:sz w:val="21"/>
                      <w:szCs w:val="21"/>
                      <w:u w:val="none"/>
                      <w:vertAlign w:val="superscript"/>
                    </w:rPr>
                    <w:t>-6</w:t>
                  </w:r>
                  <w:r>
                    <w:rPr>
                      <w:rFonts w:hint="default" w:ascii="Times New Roman" w:hAnsi="Times New Roman" w:eastAsia="宋体" w:cs="Times New Roman"/>
                      <w:color w:val="auto"/>
                      <w:kern w:val="0"/>
                      <w:sz w:val="21"/>
                      <w:szCs w:val="21"/>
                      <w:u w:val="none"/>
                    </w:rPr>
                    <w:t>cm/s至1×10</w:t>
                  </w:r>
                  <w:r>
                    <w:rPr>
                      <w:rFonts w:hint="default" w:ascii="Times New Roman" w:hAnsi="Times New Roman" w:eastAsia="宋体" w:cs="Times New Roman"/>
                      <w:color w:val="auto"/>
                      <w:kern w:val="0"/>
                      <w:sz w:val="21"/>
                      <w:szCs w:val="21"/>
                      <w:u w:val="none"/>
                      <w:vertAlign w:val="superscript"/>
                    </w:rPr>
                    <w:t>-10</w:t>
                  </w:r>
                  <w:r>
                    <w:rPr>
                      <w:rFonts w:hint="default" w:ascii="Times New Roman" w:hAnsi="Times New Roman" w:eastAsia="宋体" w:cs="Times New Roman"/>
                      <w:color w:val="auto"/>
                      <w:kern w:val="0"/>
                      <w:sz w:val="21"/>
                      <w:szCs w:val="21"/>
                      <w:u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snapToGrid w:val="0"/>
                      <w:color w:val="auto"/>
                      <w:kern w:val="0"/>
                      <w:sz w:val="21"/>
                      <w:szCs w:val="21"/>
                      <w:highlight w:val="none"/>
                      <w:lang w:val="en-US" w:eastAsia="zh-CN"/>
                    </w:rPr>
                  </w:pPr>
                  <w:r>
                    <w:rPr>
                      <w:rFonts w:hint="default" w:ascii="Times New Roman" w:hAnsi="Times New Roman" w:eastAsia="宋体" w:cs="Times New Roman"/>
                      <w:bCs/>
                      <w:color w:val="auto"/>
                      <w:spacing w:val="-2"/>
                      <w:kern w:val="0"/>
                      <w:sz w:val="21"/>
                      <w:szCs w:val="21"/>
                    </w:rPr>
                    <w:t>储罐组及扫仓罐区内地面、油气回收装置设施地面</w:t>
                  </w:r>
                </w:p>
              </w:tc>
              <w:tc>
                <w:tcPr>
                  <w:tcW w:w="113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889"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bCs/>
                      <w:color w:val="auto"/>
                      <w:spacing w:val="-2"/>
                      <w:kern w:val="0"/>
                      <w:sz w:val="21"/>
                      <w:szCs w:val="21"/>
                    </w:rPr>
                    <w:t>100mmC30混凝土面层、200m水泥稳定砂层、600g/m</w:t>
                  </w:r>
                  <w:r>
                    <w:rPr>
                      <w:rFonts w:hint="default" w:ascii="Times New Roman" w:hAnsi="Times New Roman" w:eastAsia="宋体" w:cs="Times New Roman"/>
                      <w:bCs/>
                      <w:color w:val="auto"/>
                      <w:spacing w:val="-2"/>
                      <w:kern w:val="0"/>
                      <w:sz w:val="21"/>
                      <w:szCs w:val="21"/>
                      <w:vertAlign w:val="superscript"/>
                    </w:rPr>
                    <w:t>2</w:t>
                  </w:r>
                  <w:r>
                    <w:rPr>
                      <w:rFonts w:hint="default" w:ascii="Times New Roman" w:hAnsi="Times New Roman" w:eastAsia="宋体" w:cs="Times New Roman"/>
                      <w:bCs/>
                      <w:color w:val="auto"/>
                      <w:spacing w:val="-2"/>
                      <w:kern w:val="0"/>
                      <w:sz w:val="21"/>
                      <w:szCs w:val="21"/>
                    </w:rPr>
                    <w:t>长丝无纺土工布、2mmHDPE防渗膜、600g/m</w:t>
                  </w:r>
                  <w:r>
                    <w:rPr>
                      <w:rFonts w:hint="default" w:ascii="Times New Roman" w:hAnsi="Times New Roman" w:eastAsia="宋体" w:cs="Times New Roman"/>
                      <w:bCs/>
                      <w:color w:val="auto"/>
                      <w:spacing w:val="-2"/>
                      <w:kern w:val="0"/>
                      <w:sz w:val="21"/>
                      <w:szCs w:val="21"/>
                      <w:vertAlign w:val="superscript"/>
                    </w:rPr>
                    <w:t>2</w:t>
                  </w:r>
                  <w:r>
                    <w:rPr>
                      <w:rFonts w:hint="default" w:ascii="Times New Roman" w:hAnsi="Times New Roman" w:eastAsia="宋体" w:cs="Times New Roman"/>
                      <w:bCs/>
                      <w:color w:val="auto"/>
                      <w:spacing w:val="-2"/>
                      <w:kern w:val="0"/>
                      <w:sz w:val="21"/>
                      <w:szCs w:val="21"/>
                    </w:rPr>
                    <w:t>长丝无纺土工布、200mm细（中）砂保护层、300mm三七灰土垫层</w:t>
                  </w:r>
                  <w:r>
                    <w:rPr>
                      <w:rFonts w:hint="eastAsia" w:ascii="Times New Roman" w:hAnsi="Times New Roman" w:eastAsia="宋体" w:cs="Times New Roman"/>
                      <w:bCs/>
                      <w:color w:val="auto"/>
                      <w:spacing w:val="-2"/>
                      <w:kern w:val="0"/>
                      <w:sz w:val="21"/>
                      <w:szCs w:val="21"/>
                      <w:lang w:eastAsia="zh-CN"/>
                    </w:rPr>
                    <w:t>或其他防渗方式，</w:t>
                  </w:r>
                  <w:r>
                    <w:rPr>
                      <w:rFonts w:hint="default" w:ascii="Times New Roman" w:hAnsi="Times New Roman" w:eastAsia="宋体" w:cs="Times New Roman"/>
                      <w:color w:val="auto"/>
                      <w:sz w:val="21"/>
                      <w:szCs w:val="21"/>
                      <w:highlight w:val="none"/>
                      <w:lang w:val="en-US" w:eastAsia="zh-CN"/>
                    </w:rPr>
                    <w:t>等效黏土防渗层 Mb≥6.0m，K≤1×10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cm/s的其他方式</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val="en-US" w:eastAsia="zh-CN"/>
                    </w:rPr>
                    <w:t>危废暂存间</w:t>
                  </w:r>
                </w:p>
              </w:tc>
              <w:tc>
                <w:tcPr>
                  <w:tcW w:w="113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889"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0"/>
                      <w:sz w:val="21"/>
                      <w:szCs w:val="21"/>
                    </w:rPr>
                  </w:pPr>
                  <w:r>
                    <w:rPr>
                      <w:rFonts w:hint="default" w:ascii="Times New Roman" w:hAnsi="Times New Roman" w:eastAsia="宋体" w:cs="Times New Roman"/>
                      <w:bCs/>
                      <w:color w:val="auto"/>
                      <w:spacing w:val="-2"/>
                      <w:kern w:val="0"/>
                      <w:sz w:val="21"/>
                      <w:szCs w:val="21"/>
                    </w:rPr>
                    <w:t>危废间地面：8mm浅黄色防滑地砖（600mm*600mm）干水泥擦缝，撒素水泥面（洒适量清水），30mm1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4干硬性水泥砂浆结合层，素水泥浆结合层一道，1.5mm密度400g/m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SBC-120型防水卷材遇墙上卷400mm，遇立管上卷300mm，20mm1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3水泥砂浆找坡层抹平，100mmC30混凝土垫层。</w:t>
                  </w:r>
                </w:p>
                <w:p>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eastAsia="宋体" w:cs="Times New Roman"/>
                      <w:bCs/>
                      <w:color w:val="auto"/>
                      <w:spacing w:val="-2"/>
                      <w:kern w:val="0"/>
                      <w:sz w:val="21"/>
                      <w:szCs w:val="21"/>
                    </w:rPr>
                    <w:t>危废间墙面：刷白色内墙涂料两遍，2mm面层耐水腻子分遍刮平，1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5mm聚合物水泥基复合防水涂料防水层，12mm1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6水泥石灰。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ascii="Times New Roman" w:hAnsi="宋体"/>
                      <w:color w:val="auto"/>
                      <w:sz w:val="21"/>
                      <w:szCs w:val="21"/>
                    </w:rPr>
                    <w:t>渗透系数低于</w:t>
                  </w:r>
                  <w:r>
                    <w:rPr>
                      <w:rFonts w:ascii="Times New Roman"/>
                      <w:color w:val="auto"/>
                      <w:sz w:val="21"/>
                      <w:szCs w:val="21"/>
                    </w:rPr>
                    <w:t>10</w:t>
                  </w:r>
                  <w:r>
                    <w:rPr>
                      <w:rFonts w:ascii="Times New Roman"/>
                      <w:color w:val="auto"/>
                      <w:sz w:val="21"/>
                      <w:szCs w:val="21"/>
                      <w:vertAlign w:val="superscript"/>
                    </w:rPr>
                    <w:t>-10</w:t>
                  </w:r>
                  <w:r>
                    <w:rPr>
                      <w:rFonts w:ascii="Times New Roman"/>
                      <w:color w:val="auto"/>
                      <w:sz w:val="21"/>
                      <w:szCs w:val="21"/>
                    </w:rPr>
                    <w:t>cm/s</w:t>
                  </w:r>
                  <w:r>
                    <w:rPr>
                      <w:rFonts w:hint="eastAsia" w:ascii="Times New Roman"/>
                      <w:color w:val="auto"/>
                      <w:sz w:val="21"/>
                      <w:szCs w:val="21"/>
                      <w:lang w:eastAsia="zh-CN"/>
                    </w:rPr>
                    <w:t>，或采用其他防渗方式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val="en-US" w:eastAsia="zh-CN"/>
                    </w:rPr>
                    <w:t>隔油池、化粪池、</w:t>
                  </w:r>
                  <w:r>
                    <w:rPr>
                      <w:rFonts w:hint="eastAsia"/>
                      <w:snapToGrid w:val="0"/>
                      <w:color w:val="auto"/>
                      <w:kern w:val="0"/>
                      <w:sz w:val="21"/>
                      <w:szCs w:val="21"/>
                      <w:highlight w:val="none"/>
                      <w:lang w:val="en-US" w:eastAsia="zh-CN"/>
                    </w:rPr>
                    <w:t>漏油及事故污水收集池</w:t>
                  </w:r>
                  <w:r>
                    <w:rPr>
                      <w:rFonts w:hint="eastAsia" w:eastAsia="宋体"/>
                      <w:snapToGrid w:val="0"/>
                      <w:color w:val="auto"/>
                      <w:kern w:val="0"/>
                      <w:sz w:val="21"/>
                      <w:szCs w:val="21"/>
                      <w:highlight w:val="none"/>
                      <w:lang w:val="en-US" w:eastAsia="zh-CN"/>
                    </w:rPr>
                    <w:t>、化验废液集存池、生活污水处理站</w:t>
                  </w:r>
                  <w:r>
                    <w:rPr>
                      <w:rFonts w:hint="eastAsia" w:eastAsia="宋体"/>
                      <w:snapToGrid w:val="0"/>
                      <w:color w:val="auto"/>
                      <w:kern w:val="0"/>
                      <w:sz w:val="21"/>
                      <w:szCs w:val="21"/>
                      <w:highlight w:val="none"/>
                      <w:lang w:val="en-US" w:eastAsia="zh-CN"/>
                    </w:rPr>
                    <w:t>、废水处理站</w:t>
                  </w:r>
                </w:p>
              </w:tc>
              <w:tc>
                <w:tcPr>
                  <w:tcW w:w="1137"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等效黏土防渗层Mb≥6.0m，K≤1×10</w:t>
                  </w:r>
                  <w:r>
                    <w:rPr>
                      <w:rFonts w:hint="default"/>
                      <w:snapToGrid w:val="0"/>
                      <w:color w:val="auto"/>
                      <w:kern w:val="0"/>
                      <w:sz w:val="21"/>
                      <w:szCs w:val="21"/>
                      <w:highlight w:val="none"/>
                      <w:vertAlign w:val="superscript"/>
                    </w:rPr>
                    <w:t>-7</w:t>
                  </w:r>
                  <w:r>
                    <w:rPr>
                      <w:rFonts w:hint="default"/>
                      <w:snapToGrid w:val="0"/>
                      <w:color w:val="auto"/>
                      <w:kern w:val="0"/>
                      <w:sz w:val="21"/>
                      <w:szCs w:val="21"/>
                      <w:highlight w:val="none"/>
                    </w:rPr>
                    <w:t>cm/s；或参照GB18598执行</w:t>
                  </w:r>
                </w:p>
              </w:tc>
              <w:tc>
                <w:tcPr>
                  <w:tcW w:w="4889"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C30、P8级抗渗钢筋砼结构，内部防水砂浆抹面厚20mm全池涂环氧树脂防腐防渗</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或其他能达到同等防渗效果的方式</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val="en-US" w:eastAsia="zh-CN"/>
                    </w:rPr>
                    <w:t>物料输送管线</w:t>
                  </w:r>
                </w:p>
              </w:tc>
              <w:tc>
                <w:tcPr>
                  <w:tcW w:w="1137"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w:t>
                  </w:r>
                </w:p>
              </w:tc>
              <w:tc>
                <w:tcPr>
                  <w:tcW w:w="4889"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管道基础防渗采用黏土铺地，而在上层铺设10-15cm的水泥进行硬化，对管道进行涂漆防渗处理。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2</w:t>
                  </w:r>
                </w:p>
              </w:tc>
              <w:tc>
                <w:tcPr>
                  <w:tcW w:w="46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一般防渗区</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lang w:eastAsia="zh-CN"/>
                    </w:rPr>
                    <w:t>装卸车棚地面</w:t>
                  </w:r>
                </w:p>
              </w:tc>
              <w:tc>
                <w:tcPr>
                  <w:tcW w:w="113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等效黏土防渗层Mb≥1.5m，K≤1×10</w:t>
                  </w:r>
                  <w:r>
                    <w:rPr>
                      <w:rFonts w:hint="default"/>
                      <w:color w:val="auto"/>
                      <w:sz w:val="21"/>
                      <w:szCs w:val="21"/>
                      <w:highlight w:val="none"/>
                      <w:vertAlign w:val="superscript"/>
                    </w:rPr>
                    <w:t>-7</w:t>
                  </w:r>
                  <w:r>
                    <w:rPr>
                      <w:rFonts w:hint="default"/>
                      <w:color w:val="auto"/>
                      <w:sz w:val="21"/>
                      <w:szCs w:val="21"/>
                      <w:highlight w:val="none"/>
                    </w:rPr>
                    <w:t>cm/s；或参照GB18598执行</w:t>
                  </w:r>
                </w:p>
              </w:tc>
              <w:tc>
                <w:tcPr>
                  <w:tcW w:w="4889"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250mmC35混凝土面层、200mm水泥稳定砂垫层、600g/m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长丝无纺土工布、2mmHDPE防渗膜、600g/m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长丝无纺土工布、200mm细（中）砂保护层、300mm三七灰土垫层</w:t>
                  </w:r>
                  <w:r>
                    <w:rPr>
                      <w:rFonts w:hint="eastAsia" w:ascii="Times New Roman" w:hAnsi="Times New Roman" w:eastAsia="宋体" w:cs="Times New Roman"/>
                      <w:color w:val="auto"/>
                      <w:sz w:val="21"/>
                      <w:szCs w:val="21"/>
                      <w:highlight w:val="none"/>
                    </w:rPr>
                    <w:t>，</w:t>
                  </w:r>
                  <w:r>
                    <w:rPr>
                      <w:rFonts w:hint="eastAsia"/>
                      <w:color w:val="auto"/>
                      <w:sz w:val="21"/>
                      <w:szCs w:val="21"/>
                      <w:highlight w:val="none"/>
                    </w:rPr>
                    <w:t>或采取其他防渗措施，</w:t>
                  </w:r>
                  <w:r>
                    <w:rPr>
                      <w:rFonts w:hint="default"/>
                      <w:color w:val="auto"/>
                      <w:sz w:val="21"/>
                      <w:szCs w:val="21"/>
                      <w:highlight w:val="none"/>
                    </w:rPr>
                    <w:t>使等效黏土防渗层Mb≥1.5m，K≤1×10</w:t>
                  </w:r>
                  <w:r>
                    <w:rPr>
                      <w:rFonts w:hint="default"/>
                      <w:color w:val="auto"/>
                      <w:sz w:val="21"/>
                      <w:szCs w:val="21"/>
                      <w:highlight w:val="none"/>
                      <w:vertAlign w:val="superscript"/>
                    </w:rPr>
                    <w:t>-7</w:t>
                  </w:r>
                  <w:r>
                    <w:rPr>
                      <w:rFonts w:hint="default"/>
                      <w:color w:val="auto"/>
                      <w:sz w:val="21"/>
                      <w:szCs w:val="21"/>
                      <w:highlight w:val="none"/>
                    </w:rPr>
                    <w:t>cm/s</w:t>
                  </w:r>
                  <w:r>
                    <w:rPr>
                      <w:rFonts w:hint="default"/>
                      <w:bCs/>
                      <w:color w:val="auto"/>
                      <w:sz w:val="21"/>
                      <w:szCs w:val="21"/>
                      <w:highlight w:val="none"/>
                    </w:rPr>
                    <w:t>要求</w:t>
                  </w:r>
                  <w:r>
                    <w:rPr>
                      <w:rFonts w:hint="default"/>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snapToGrid w:val="0"/>
                      <w:color w:val="auto"/>
                      <w:kern w:val="0"/>
                      <w:sz w:val="21"/>
                      <w:szCs w:val="21"/>
                      <w:highlight w:val="none"/>
                      <w:lang w:eastAsia="zh-CN"/>
                    </w:rPr>
                  </w:pPr>
                  <w:r>
                    <w:rPr>
                      <w:rFonts w:hint="eastAsia" w:eastAsia="宋体"/>
                      <w:snapToGrid w:val="0"/>
                      <w:color w:val="auto"/>
                      <w:kern w:val="0"/>
                      <w:sz w:val="21"/>
                      <w:szCs w:val="21"/>
                      <w:highlight w:val="none"/>
                      <w:lang w:val="en-US" w:eastAsia="zh-CN"/>
                    </w:rPr>
                    <w:t>含油污水处理装置棚地面</w:t>
                  </w:r>
                </w:p>
              </w:tc>
              <w:tc>
                <w:tcPr>
                  <w:tcW w:w="113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4889"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100mmC30混凝土不发火花面层（内掺白云石）、200mm水泥稳定砂垫层、600g/m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长丝无纺土工布、2mmHDPE防渗膜、600g/m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长丝无纺土工布、200mm细（中）砂保护层、300mm三七灰土垫层</w:t>
                  </w:r>
                  <w:r>
                    <w:rPr>
                      <w:rFonts w:hint="eastAsia" w:ascii="Times New Roman" w:hAnsi="Times New Roman" w:eastAsia="宋体" w:cs="Times New Roman"/>
                      <w:color w:val="auto"/>
                      <w:sz w:val="21"/>
                      <w:szCs w:val="21"/>
                      <w:highlight w:val="none"/>
                      <w:lang w:val="en-US" w:eastAsia="zh-CN"/>
                    </w:rPr>
                    <w:t>。</w:t>
                  </w:r>
                  <w:r>
                    <w:rPr>
                      <w:rFonts w:hint="eastAsia"/>
                      <w:color w:val="auto"/>
                      <w:sz w:val="21"/>
                      <w:szCs w:val="21"/>
                      <w:highlight w:val="none"/>
                    </w:rPr>
                    <w:t>或采取其他防渗措施，</w:t>
                  </w:r>
                  <w:r>
                    <w:rPr>
                      <w:rFonts w:hint="default"/>
                      <w:color w:val="auto"/>
                      <w:sz w:val="21"/>
                      <w:szCs w:val="21"/>
                      <w:highlight w:val="none"/>
                    </w:rPr>
                    <w:t>使等效黏土防渗层Mb≥1.5m，K≤1×10</w:t>
                  </w:r>
                  <w:r>
                    <w:rPr>
                      <w:rFonts w:hint="default"/>
                      <w:color w:val="auto"/>
                      <w:sz w:val="21"/>
                      <w:szCs w:val="21"/>
                      <w:highlight w:val="none"/>
                      <w:vertAlign w:val="superscript"/>
                    </w:rPr>
                    <w:t>-7</w:t>
                  </w:r>
                  <w:r>
                    <w:rPr>
                      <w:rFonts w:hint="default"/>
                      <w:color w:val="auto"/>
                      <w:sz w:val="21"/>
                      <w:szCs w:val="21"/>
                      <w:highlight w:val="none"/>
                    </w:rPr>
                    <w:t>cm/s</w:t>
                  </w:r>
                  <w:r>
                    <w:rPr>
                      <w:rFonts w:hint="default"/>
                      <w:bCs/>
                      <w:color w:val="auto"/>
                      <w:sz w:val="21"/>
                      <w:szCs w:val="21"/>
                      <w:highlight w:val="none"/>
                    </w:rPr>
                    <w:t>要求</w:t>
                  </w:r>
                  <w:r>
                    <w:rPr>
                      <w:rFonts w:hint="default"/>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snapToGrid w:val="0"/>
                      <w:color w:val="auto"/>
                      <w:kern w:val="0"/>
                      <w:sz w:val="21"/>
                      <w:szCs w:val="21"/>
                      <w:highlight w:val="none"/>
                      <w:lang w:eastAsia="zh-CN"/>
                    </w:rPr>
                  </w:pPr>
                  <w:r>
                    <w:rPr>
                      <w:rFonts w:hint="eastAsia"/>
                      <w:snapToGrid w:val="0"/>
                      <w:color w:val="auto"/>
                      <w:kern w:val="0"/>
                      <w:sz w:val="21"/>
                      <w:szCs w:val="21"/>
                      <w:highlight w:val="none"/>
                      <w:lang w:eastAsia="zh-CN"/>
                    </w:rPr>
                    <w:t>物料运输道路</w:t>
                  </w:r>
                </w:p>
              </w:tc>
              <w:tc>
                <w:tcPr>
                  <w:tcW w:w="113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4889" w:type="dxa"/>
                  <w:vMerge w:val="restart"/>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水泥硬化，</w:t>
                  </w:r>
                  <w:r>
                    <w:rPr>
                      <w:rFonts w:hint="eastAsia"/>
                      <w:color w:val="auto"/>
                      <w:sz w:val="21"/>
                      <w:szCs w:val="21"/>
                      <w:highlight w:val="none"/>
                    </w:rPr>
                    <w:t>或采取其他防渗措施，</w:t>
                  </w:r>
                  <w:r>
                    <w:rPr>
                      <w:rFonts w:hint="default"/>
                      <w:color w:val="auto"/>
                      <w:sz w:val="21"/>
                      <w:szCs w:val="21"/>
                      <w:highlight w:val="none"/>
                    </w:rPr>
                    <w:t>使等效黏土防渗层Mb≥1.5m，K≤1×10</w:t>
                  </w:r>
                  <w:r>
                    <w:rPr>
                      <w:rFonts w:hint="default"/>
                      <w:color w:val="auto"/>
                      <w:sz w:val="21"/>
                      <w:szCs w:val="21"/>
                      <w:highlight w:val="none"/>
                      <w:vertAlign w:val="superscript"/>
                    </w:rPr>
                    <w:t>-7</w:t>
                  </w:r>
                  <w:r>
                    <w:rPr>
                      <w:rFonts w:hint="default"/>
                      <w:color w:val="auto"/>
                      <w:sz w:val="21"/>
                      <w:szCs w:val="21"/>
                      <w:highlight w:val="none"/>
                    </w:rPr>
                    <w:t>cm/s</w:t>
                  </w:r>
                  <w:r>
                    <w:rPr>
                      <w:rFonts w:hint="default"/>
                      <w:bCs/>
                      <w:color w:val="auto"/>
                      <w:sz w:val="21"/>
                      <w:szCs w:val="21"/>
                      <w:highlight w:val="none"/>
                    </w:rPr>
                    <w:t>要求</w:t>
                  </w:r>
                  <w:r>
                    <w:rPr>
                      <w:rFonts w:hint="default"/>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lang w:eastAsia="zh-CN"/>
                    </w:rPr>
                    <w:t>雨水沟渠</w:t>
                  </w:r>
                </w:p>
              </w:tc>
              <w:tc>
                <w:tcPr>
                  <w:tcW w:w="113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488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3</w:t>
                  </w:r>
                </w:p>
              </w:tc>
              <w:tc>
                <w:tcPr>
                  <w:tcW w:w="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简单防渗区</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lang w:val="en-GB" w:eastAsia="zh-CN"/>
                    </w:rPr>
                    <w:t>办公室、控制室</w:t>
                  </w:r>
                  <w:r>
                    <w:rPr>
                      <w:rFonts w:hint="default"/>
                      <w:snapToGrid w:val="0"/>
                      <w:color w:val="auto"/>
                      <w:kern w:val="0"/>
                      <w:sz w:val="21"/>
                      <w:szCs w:val="21"/>
                      <w:highlight w:val="none"/>
                      <w:lang w:val="en-GB"/>
                    </w:rPr>
                    <w:t>等</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sz w:val="21"/>
                      <w:szCs w:val="21"/>
                      <w:highlight w:val="none"/>
                    </w:rPr>
                  </w:pPr>
                  <w:r>
                    <w:rPr>
                      <w:rFonts w:hint="default"/>
                      <w:snapToGrid w:val="0"/>
                      <w:color w:val="auto"/>
                      <w:sz w:val="21"/>
                      <w:szCs w:val="21"/>
                      <w:highlight w:val="none"/>
                    </w:rPr>
                    <w:t>一般硬化地面</w:t>
                  </w:r>
                </w:p>
              </w:tc>
              <w:tc>
                <w:tcPr>
                  <w:tcW w:w="48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eastAsia"/>
                      <w:color w:val="auto"/>
                      <w:sz w:val="21"/>
                      <w:szCs w:val="21"/>
                      <w:highlight w:val="none"/>
                      <w:lang w:eastAsia="zh-CN"/>
                    </w:rPr>
                    <w:t>厂区</w:t>
                  </w:r>
                  <w:r>
                    <w:rPr>
                      <w:rFonts w:hint="eastAsia"/>
                      <w:color w:val="auto"/>
                      <w:sz w:val="21"/>
                      <w:szCs w:val="21"/>
                      <w:highlight w:val="none"/>
                    </w:rPr>
                    <w:t>其它地面除绿化用地外，均用水泥进行一般地面硬化，</w:t>
                  </w:r>
                  <w:r>
                    <w:rPr>
                      <w:rFonts w:hint="eastAsia"/>
                      <w:color w:val="auto"/>
                      <w:sz w:val="21"/>
                      <w:szCs w:val="21"/>
                      <w:highlight w:val="none"/>
                      <w:lang w:eastAsia="zh-CN"/>
                    </w:rPr>
                    <w:t>厂区</w:t>
                  </w:r>
                  <w:r>
                    <w:rPr>
                      <w:rFonts w:hint="eastAsia"/>
                      <w:color w:val="auto"/>
                      <w:sz w:val="21"/>
                      <w:szCs w:val="21"/>
                      <w:highlight w:val="none"/>
                    </w:rPr>
                    <w:t>内的</w:t>
                  </w:r>
                  <w:r>
                    <w:rPr>
                      <w:rFonts w:hint="eastAsia"/>
                      <w:color w:val="auto"/>
                      <w:sz w:val="21"/>
                      <w:szCs w:val="21"/>
                      <w:highlight w:val="none"/>
                      <w:lang w:val="zh-CN"/>
                    </w:rPr>
                    <w:t>排水管道采用耐腐塑料管</w:t>
                  </w:r>
                  <w:r>
                    <w:rPr>
                      <w:rFonts w:hint="eastAsia"/>
                      <w:color w:val="auto"/>
                      <w:sz w:val="21"/>
                      <w:szCs w:val="21"/>
                      <w:highlight w:val="none"/>
                    </w:rPr>
                    <w:t>材，管底铺水泥5~l0cm，连接处采用防水胶进行密封</w:t>
                  </w:r>
                  <w:r>
                    <w:rPr>
                      <w:rFonts w:hint="eastAsia"/>
                      <w:color w:val="auto"/>
                      <w:sz w:val="21"/>
                      <w:szCs w:val="21"/>
                      <w:highlight w:val="none"/>
                      <w:lang w:val="en-GB"/>
                    </w:rPr>
                    <w:t>。</w:t>
                  </w:r>
                </w:p>
              </w:tc>
            </w:tr>
          </w:tbl>
          <w:p>
            <w:pPr>
              <w:pStyle w:val="17"/>
              <w:keepNext w:val="0"/>
              <w:keepLines w:val="0"/>
              <w:widowControl/>
              <w:suppressLineNumbers w:val="0"/>
              <w:spacing w:before="0" w:beforeAutospacing="0" w:after="0" w:afterAutospacing="0" w:line="440" w:lineRule="exact"/>
              <w:ind w:left="0" w:right="0" w:firstLine="480" w:firstLineChars="200"/>
              <w:jc w:val="left"/>
              <w:textAlignment w:val="baseline"/>
              <w:rPr>
                <w:rFonts w:hint="default" w:ascii="Times New Roman" w:hAnsi="Times New Roman" w:eastAsia="宋体" w:cs="Times New Roman"/>
                <w:color w:val="auto"/>
                <w:kern w:val="0"/>
                <w:sz w:val="24"/>
                <w:szCs w:val="24"/>
                <w:vertAlign w:val="baseline"/>
                <w:lang w:val="en-US" w:eastAsia="zh-CN" w:bidi="ar"/>
              </w:rPr>
            </w:pPr>
            <w:r>
              <w:rPr>
                <w:color w:val="auto"/>
                <w:highlight w:val="none"/>
              </w:rPr>
              <w:t>采取以上措施后，可确保</w:t>
            </w:r>
            <w:r>
              <w:rPr>
                <w:rFonts w:hint="eastAsia"/>
                <w:color w:val="auto"/>
                <w:highlight w:val="none"/>
                <w:lang w:eastAsia="zh-CN"/>
              </w:rPr>
              <w:t>项目运行过程中</w:t>
            </w:r>
            <w:r>
              <w:rPr>
                <w:color w:val="auto"/>
                <w:highlight w:val="none"/>
              </w:rPr>
              <w:t>各类</w:t>
            </w:r>
            <w:r>
              <w:rPr>
                <w:rFonts w:hint="eastAsia"/>
                <w:color w:val="auto"/>
                <w:highlight w:val="none"/>
                <w:lang w:eastAsia="zh-CN"/>
              </w:rPr>
              <w:t>污染物</w:t>
            </w:r>
            <w:r>
              <w:rPr>
                <w:color w:val="auto"/>
                <w:highlight w:val="none"/>
              </w:rPr>
              <w:t>不会下渗影响</w:t>
            </w:r>
            <w:r>
              <w:rPr>
                <w:rFonts w:hint="eastAsia"/>
                <w:color w:val="auto"/>
                <w:highlight w:val="none"/>
                <w:lang w:eastAsia="zh-CN"/>
              </w:rPr>
              <w:t>土壤、</w:t>
            </w:r>
            <w:r>
              <w:rPr>
                <w:color w:val="auto"/>
                <w:highlight w:val="none"/>
              </w:rPr>
              <w:t>地下水水质。项目</w:t>
            </w:r>
            <w:r>
              <w:rPr>
                <w:rFonts w:hint="eastAsia"/>
                <w:color w:val="auto"/>
                <w:highlight w:val="none"/>
                <w:lang w:eastAsia="zh-CN"/>
              </w:rPr>
              <w:t>运行</w:t>
            </w:r>
            <w:r>
              <w:rPr>
                <w:color w:val="auto"/>
                <w:highlight w:val="none"/>
              </w:rPr>
              <w:t>过程中</w:t>
            </w:r>
            <w:r>
              <w:rPr>
                <w:rFonts w:hint="eastAsia"/>
                <w:color w:val="auto"/>
                <w:highlight w:val="none"/>
                <w:lang w:eastAsia="zh-CN"/>
              </w:rPr>
              <w:t>污染物</w:t>
            </w:r>
            <w:r>
              <w:rPr>
                <w:color w:val="auto"/>
                <w:highlight w:val="none"/>
              </w:rPr>
              <w:t>不与地表水接触，废水不会通过地表水与地下水的水力联系进入地下，不会对区域内</w:t>
            </w:r>
            <w:r>
              <w:rPr>
                <w:rFonts w:hint="eastAsia"/>
                <w:color w:val="auto"/>
                <w:highlight w:val="none"/>
                <w:lang w:eastAsia="zh-CN"/>
              </w:rPr>
              <w:t>土壤、</w:t>
            </w:r>
            <w:r>
              <w:rPr>
                <w:color w:val="auto"/>
                <w:highlight w:val="none"/>
              </w:rPr>
              <w:t>地下水水质产生影响。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7、生态环境影响分析</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default" w:ascii="宋体" w:hAnsi="宋体" w:eastAsia="宋体" w:cs="Times New Roman"/>
                <w:b w:val="0"/>
                <w:bCs w:val="0"/>
                <w:caps w:val="0"/>
                <w:color w:val="auto"/>
                <w:kern w:val="0"/>
                <w:sz w:val="24"/>
                <w:szCs w:val="20"/>
                <w:highlight w:val="none"/>
                <w:lang w:val="en-US" w:eastAsia="zh-CN" w:bidi="ar-SA"/>
              </w:rPr>
            </w:pPr>
            <w:r>
              <w:rPr>
                <w:rFonts w:hint="eastAsia" w:ascii="宋体" w:hAnsi="宋体" w:eastAsia="宋体" w:cs="Times New Roman"/>
                <w:b w:val="0"/>
                <w:bCs w:val="0"/>
                <w:caps w:val="0"/>
                <w:color w:val="auto"/>
                <w:kern w:val="0"/>
                <w:sz w:val="24"/>
                <w:szCs w:val="20"/>
                <w:highlight w:val="none"/>
                <w:lang w:val="en-US" w:eastAsia="zh-CN" w:bidi="ar-SA"/>
              </w:rPr>
              <w:t>本建设项目所在区域为城镇，为一般生态区域，项目200m范围内主要为耕地等，项目运营期废水、废气、固废、噪声均采取有效治理措施达标排放，运营期</w:t>
            </w:r>
            <w:r>
              <w:rPr>
                <w:rFonts w:hint="default" w:ascii="宋体" w:hAnsi="宋体" w:eastAsia="宋体" w:cs="Times New Roman"/>
                <w:b w:val="0"/>
                <w:bCs w:val="0"/>
                <w:caps w:val="0"/>
                <w:color w:val="auto"/>
                <w:kern w:val="0"/>
                <w:sz w:val="24"/>
                <w:szCs w:val="20"/>
                <w:highlight w:val="none"/>
                <w:lang w:val="en-US" w:eastAsia="zh-CN" w:bidi="ar-SA"/>
              </w:rPr>
              <w:t>不对区域生态环境产生明显影响</w:t>
            </w:r>
            <w:r>
              <w:rPr>
                <w:rFonts w:hint="eastAsia" w:ascii="宋体" w:hAnsi="宋体" w:eastAsia="宋体" w:cs="Times New Roman"/>
                <w:b w:val="0"/>
                <w:bCs w:val="0"/>
                <w:caps w:val="0"/>
                <w:color w:val="auto"/>
                <w:kern w:val="0"/>
                <w:sz w:val="24"/>
                <w:szCs w:val="20"/>
                <w:highlight w:val="none"/>
                <w:lang w:val="en-US" w:eastAsia="zh-CN" w:bidi="ar-SA"/>
              </w:rPr>
              <w:t>。达州市金博士水业有限公司位于项目西侧120m处，主要从事天然桶（瓶）装水的生产和销售，水源来自周边矿山矿井涌水，目前该公司处于停产状态；项目不会对该公司正常运行产生影响。</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8、环境风险影响分析</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）评价等级</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1）环境风险调查</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①风险源调查</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sz w:val="24"/>
              </w:rPr>
              <w:t>本项目的主要风险</w:t>
            </w:r>
            <w:r>
              <w:rPr>
                <w:rFonts w:hint="eastAsia"/>
                <w:color w:val="auto"/>
                <w:sz w:val="24"/>
                <w:lang w:eastAsia="zh-CN"/>
              </w:rPr>
              <w:t>物质</w:t>
            </w:r>
            <w:r>
              <w:rPr>
                <w:color w:val="auto"/>
                <w:sz w:val="24"/>
              </w:rPr>
              <w:t>为</w:t>
            </w:r>
            <w:r>
              <w:rPr>
                <w:rFonts w:hint="eastAsia"/>
                <w:color w:val="auto"/>
                <w:sz w:val="24"/>
                <w:lang w:eastAsia="zh-CN"/>
              </w:rPr>
              <w:t>柴油、汽油，</w:t>
            </w:r>
            <w:r>
              <w:rPr>
                <w:rFonts w:hint="eastAsia" w:ascii="Times New Roman" w:hAnsi="Times New Roman" w:eastAsia="宋体" w:cs="Times New Roman"/>
                <w:color w:val="auto"/>
                <w:kern w:val="0"/>
                <w:sz w:val="24"/>
                <w:szCs w:val="24"/>
                <w:highlight w:val="none"/>
                <w:lang w:val="en-US" w:eastAsia="zh-CN" w:bidi="ar"/>
              </w:rPr>
              <w:t>储罐油泥，废水处理站污泥，废水处理设施废油，降质油，废活性炭，</w:t>
            </w:r>
            <w:r>
              <w:rPr>
                <w:rFonts w:hint="eastAsia" w:ascii="Times New Roman" w:hAnsi="Times New Roman" w:cs="Times New Roman"/>
                <w:color w:val="auto"/>
                <w:kern w:val="2"/>
                <w:sz w:val="24"/>
                <w:szCs w:val="24"/>
                <w:u w:val="none"/>
                <w:lang w:val="en-US" w:eastAsia="zh-CN" w:bidi="ar-SA"/>
              </w:rPr>
              <w:t>化验室废弃酸、碱、化学试剂和废渣，废含油抹布及劳保用品</w:t>
            </w:r>
            <w:r>
              <w:rPr>
                <w:rFonts w:hint="eastAsia" w:cs="Times New Roman"/>
                <w:color w:val="auto"/>
                <w:kern w:val="2"/>
                <w:sz w:val="24"/>
                <w:szCs w:val="24"/>
                <w:u w:val="none"/>
                <w:lang w:val="en-US" w:eastAsia="zh-CN" w:bidi="ar-SA"/>
              </w:rPr>
              <w:t>，储罐清洗废水，罐底切水</w:t>
            </w:r>
            <w:r>
              <w:rPr>
                <w:rFonts w:hint="eastAsia"/>
                <w:color w:val="auto"/>
                <w:sz w:val="24"/>
                <w:lang w:eastAsia="zh-CN"/>
              </w:rPr>
              <w:t>。本项目主要生产装置为储罐区、汽车发油棚、铁路卸油泵棚，公用工程及辅助设施包括：消防泵房、</w:t>
            </w:r>
            <w:r>
              <w:rPr>
                <w:rFonts w:hint="eastAsia"/>
                <w:color w:val="auto"/>
                <w:sz w:val="24"/>
                <w:lang w:val="en-US" w:eastAsia="zh-CN"/>
              </w:rPr>
              <w:t>漏油</w:t>
            </w:r>
            <w:r>
              <w:rPr>
                <w:rFonts w:hint="eastAsia"/>
                <w:color w:val="auto"/>
                <w:sz w:val="24"/>
                <w:lang w:eastAsia="zh-CN"/>
              </w:rPr>
              <w:t>及事故污水收集池、变配电间、化验室、危废暂存间、废水处理站、生活污水处理站</w:t>
            </w:r>
            <w:r>
              <w:rPr>
                <w:rFonts w:hint="eastAsia"/>
                <w:color w:val="auto"/>
                <w:sz w:val="24"/>
                <w:lang w:eastAsia="zh-CN"/>
              </w:rPr>
              <w:t>等。</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②环境敏感目标</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具体见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》2.1.2章节。</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val="en-US" w:eastAsia="zh-CN"/>
              </w:rPr>
              <w:t>2）环境风险潜势</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eastAsia="zh-CN"/>
              </w:rPr>
              <w:t>①</w:t>
            </w:r>
            <w:r>
              <w:rPr>
                <w:rFonts w:hint="eastAsia" w:cs="Times New Roman"/>
                <w:color w:val="auto"/>
                <w:sz w:val="24"/>
                <w:szCs w:val="24"/>
                <w:highlight w:val="none"/>
                <w:lang w:val="en-US" w:eastAsia="zh-CN"/>
              </w:rPr>
              <w:t>P的分级确定</w:t>
            </w:r>
          </w:p>
          <w:p>
            <w:pPr>
              <w:spacing w:line="420" w:lineRule="exact"/>
              <w:ind w:firstLine="480" w:firstLineChars="200"/>
              <w:rPr>
                <w:color w:val="auto"/>
                <w:kern w:val="0"/>
                <w:sz w:val="24"/>
              </w:rPr>
            </w:pPr>
            <w:r>
              <w:rPr>
                <w:color w:val="auto"/>
                <w:kern w:val="0"/>
                <w:sz w:val="24"/>
              </w:rPr>
              <w:t>本项目物质总量与其临界量比值Q为</w:t>
            </w:r>
            <w:r>
              <w:rPr>
                <w:rFonts w:hint="eastAsia"/>
                <w:bCs/>
                <w:color w:val="auto"/>
                <w:sz w:val="24"/>
                <w:lang w:val="en-US" w:eastAsia="zh-CN"/>
              </w:rPr>
              <w:t>9.959012，</w:t>
            </w:r>
            <w:r>
              <w:rPr>
                <w:color w:val="auto"/>
                <w:kern w:val="0"/>
                <w:sz w:val="24"/>
              </w:rPr>
              <w:t>行业及生产工艺M为</w:t>
            </w:r>
            <w:r>
              <w:rPr>
                <w:rFonts w:hint="eastAsia"/>
                <w:color w:val="auto"/>
                <w:kern w:val="0"/>
                <w:sz w:val="24"/>
                <w:lang w:val="en-US" w:eastAsia="zh-CN"/>
              </w:rPr>
              <w:t>10</w:t>
            </w:r>
            <w:r>
              <w:rPr>
                <w:color w:val="auto"/>
                <w:kern w:val="0"/>
                <w:sz w:val="24"/>
              </w:rPr>
              <w:t>属于M</w:t>
            </w:r>
            <w:r>
              <w:rPr>
                <w:rFonts w:hint="eastAsia"/>
                <w:color w:val="auto"/>
                <w:kern w:val="0"/>
                <w:sz w:val="24"/>
                <w:lang w:val="en-US" w:eastAsia="zh-CN"/>
              </w:rPr>
              <w:t>3</w:t>
            </w:r>
            <w:r>
              <w:rPr>
                <w:color w:val="auto"/>
                <w:kern w:val="0"/>
                <w:sz w:val="24"/>
              </w:rPr>
              <w:t>类项目，判定项目危险性等级为P</w:t>
            </w:r>
            <w:r>
              <w:rPr>
                <w:rFonts w:hint="eastAsia"/>
                <w:color w:val="auto"/>
                <w:kern w:val="0"/>
                <w:sz w:val="24"/>
                <w:lang w:val="en-US" w:eastAsia="zh-CN"/>
              </w:rPr>
              <w:t>4</w:t>
            </w:r>
            <w:r>
              <w:rPr>
                <w:color w:val="auto"/>
                <w:kern w:val="0"/>
                <w:sz w:val="24"/>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②环境敏感程度（</w:t>
            </w:r>
            <w:r>
              <w:rPr>
                <w:rFonts w:hint="eastAsia" w:cs="Times New Roman"/>
                <w:color w:val="auto"/>
                <w:sz w:val="24"/>
                <w:szCs w:val="24"/>
                <w:highlight w:val="none"/>
                <w:lang w:val="en-US" w:eastAsia="zh-CN"/>
              </w:rPr>
              <w:t>E</w:t>
            </w:r>
            <w:r>
              <w:rPr>
                <w:rFonts w:hint="eastAsia" w:cs="Times New Roman"/>
                <w:color w:val="auto"/>
                <w:sz w:val="24"/>
                <w:szCs w:val="24"/>
                <w:highlight w:val="none"/>
                <w:lang w:eastAsia="zh-CN"/>
              </w:rPr>
              <w:t>）的分级</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kern w:val="0"/>
                <w:sz w:val="24"/>
              </w:rPr>
              <w:t>本项目大气环境、地表水环境、地下水环境敏感程度分别为E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3</w:t>
            </w:r>
            <w:r>
              <w:rPr>
                <w:color w:val="auto"/>
                <w:kern w:val="0"/>
                <w:sz w:val="24"/>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③环境风险潜势判定</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kern w:val="0"/>
                <w:sz w:val="24"/>
              </w:rPr>
              <w:t>本项目危险物质和工艺系统的危险性（P）为P</w:t>
            </w:r>
            <w:r>
              <w:rPr>
                <w:rFonts w:hint="eastAsia"/>
                <w:color w:val="auto"/>
                <w:kern w:val="0"/>
                <w:sz w:val="24"/>
                <w:lang w:val="en-US" w:eastAsia="zh-CN"/>
              </w:rPr>
              <w:t>4</w:t>
            </w:r>
            <w:r>
              <w:rPr>
                <w:color w:val="auto"/>
                <w:kern w:val="0"/>
                <w:sz w:val="24"/>
              </w:rPr>
              <w:t>，大气环境、地表水环境、地下水环境敏感程度分别为E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3</w:t>
            </w:r>
            <w:r>
              <w:rPr>
                <w:color w:val="auto"/>
                <w:kern w:val="0"/>
                <w:sz w:val="24"/>
              </w:rPr>
              <w:t>，根据上表可知，本项目大气环境、地表水环境、地下水环境风险潜势分</w:t>
            </w:r>
            <w:r>
              <w:rPr>
                <w:rFonts w:hint="eastAsia" w:ascii="Times New Roman" w:hAnsi="Times New Roman" w:eastAsia="宋体" w:cs="Times New Roman"/>
                <w:color w:val="auto"/>
                <w:kern w:val="0"/>
                <w:sz w:val="24"/>
                <w:lang w:val="en-US" w:eastAsia="zh-CN"/>
              </w:rPr>
              <w:t>别为II、II、I</w:t>
            </w:r>
            <w:r>
              <w:rPr>
                <w:color w:val="auto"/>
                <w:kern w:val="0"/>
                <w:sz w:val="24"/>
              </w:rPr>
              <w:t>级。</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3）评价等级确定</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kern w:val="0"/>
                <w:sz w:val="24"/>
              </w:rPr>
              <w:t>本项目大气环境风险潜势为</w:t>
            </w:r>
            <w:r>
              <w:rPr>
                <w:rFonts w:hint="eastAsia" w:ascii="Times New Roman" w:hAnsi="Times New Roman" w:eastAsia="宋体" w:cs="Times New Roman"/>
                <w:color w:val="auto"/>
                <w:kern w:val="0"/>
                <w:sz w:val="24"/>
                <w:lang w:val="en-US" w:eastAsia="zh-CN"/>
              </w:rPr>
              <w:t>II</w:t>
            </w:r>
            <w:r>
              <w:rPr>
                <w:color w:val="auto"/>
                <w:kern w:val="0"/>
                <w:sz w:val="24"/>
              </w:rPr>
              <w:t>级，评价工作等级划分为</w:t>
            </w:r>
            <w:r>
              <w:rPr>
                <w:rFonts w:hint="eastAsia"/>
                <w:color w:val="auto"/>
                <w:kern w:val="0"/>
                <w:sz w:val="24"/>
                <w:lang w:eastAsia="zh-CN"/>
              </w:rPr>
              <w:t>三级</w:t>
            </w:r>
            <w:r>
              <w:rPr>
                <w:color w:val="auto"/>
                <w:kern w:val="0"/>
                <w:sz w:val="24"/>
              </w:rPr>
              <w:t>；地表水环境风险潜势为II级，评价工作等级划分为</w:t>
            </w:r>
            <w:r>
              <w:rPr>
                <w:rFonts w:hint="eastAsia"/>
                <w:color w:val="auto"/>
                <w:kern w:val="0"/>
                <w:sz w:val="24"/>
                <w:lang w:eastAsia="zh-CN"/>
              </w:rPr>
              <w:t>三级</w:t>
            </w:r>
            <w:r>
              <w:rPr>
                <w:color w:val="auto"/>
                <w:kern w:val="0"/>
                <w:sz w:val="24"/>
              </w:rPr>
              <w:t>；地下水环境风险潜势为I级，评价工作等级划分为</w:t>
            </w:r>
            <w:r>
              <w:rPr>
                <w:rFonts w:hint="eastAsia"/>
                <w:color w:val="auto"/>
                <w:kern w:val="0"/>
                <w:sz w:val="24"/>
                <w:lang w:eastAsia="zh-CN"/>
              </w:rPr>
              <w:t>简单分析</w:t>
            </w:r>
            <w:r>
              <w:rPr>
                <w:color w:val="auto"/>
                <w:kern w:val="0"/>
                <w:sz w:val="24"/>
              </w:rPr>
              <w:t>。</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4）风险评价范围</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lang w:eastAsia="zh-CN"/>
              </w:rPr>
              <w:t>大气环境：</w:t>
            </w:r>
            <w:r>
              <w:rPr>
                <w:rFonts w:hint="eastAsia" w:cs="Times New Roman"/>
                <w:color w:val="auto"/>
                <w:sz w:val="24"/>
                <w:szCs w:val="24"/>
                <w:highlight w:val="none"/>
                <w:lang w:val="en-US" w:eastAsia="zh-CN"/>
              </w:rPr>
              <w:t>厂界外3km内的区域</w:t>
            </w:r>
            <w:r>
              <w:rPr>
                <w:rFonts w:hint="eastAsia" w:cs="Times New Roman"/>
                <w:color w:val="auto"/>
                <w:sz w:val="24"/>
                <w:szCs w:val="24"/>
                <w:highlight w:val="none"/>
                <w:lang w:eastAsia="zh-CN"/>
              </w:rPr>
              <w:t>；地表水环境：</w:t>
            </w:r>
            <w:r>
              <w:rPr>
                <w:color w:val="auto"/>
                <w:szCs w:val="21"/>
              </w:rPr>
              <w:t>厂区废水总排口达标排放，事故废水不外排</w:t>
            </w:r>
            <w:r>
              <w:rPr>
                <w:rFonts w:hint="eastAsia"/>
                <w:color w:val="auto"/>
                <w:szCs w:val="21"/>
                <w:lang w:eastAsia="zh-CN"/>
              </w:rPr>
              <w:t>；地下水环境：</w:t>
            </w:r>
            <w:r>
              <w:rPr>
                <w:rFonts w:hint="eastAsia"/>
                <w:color w:val="auto"/>
                <w:szCs w:val="21"/>
                <w:lang w:val="en-US" w:eastAsia="zh-CN"/>
              </w:rPr>
              <w:t>无</w:t>
            </w:r>
            <w:r>
              <w:rPr>
                <w:rFonts w:hint="eastAsia"/>
                <w:color w:val="auto"/>
                <w:szCs w:val="21"/>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）风险识别</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1）物质危险识别</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lang w:eastAsia="zh-CN"/>
              </w:rPr>
              <w:t>本项目汽油、柴油、废油、降质油为爆炸危险物质，汽油、柴油为低毒危害物质。物质理化特性和危险特性见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》中3.1章节。</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2）生产系统危险性识别</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①生产系统危险性识别范围</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生产系统危险性识别，包括主要生产装置、储运设施、公用工程和辅助生产设施，以及环境保护设施等。</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②生产设施及生产过程主要危险部位分析</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根据工艺流程和生产特点，项目生产设施及生产过程主要危险部位为</w:t>
            </w:r>
            <w:r>
              <w:rPr>
                <w:rFonts w:hint="eastAsia" w:cs="Times New Roman"/>
                <w:color w:val="auto"/>
                <w:sz w:val="24"/>
                <w:szCs w:val="24"/>
                <w:lang w:val="en-US" w:eastAsia="zh-CN"/>
              </w:rPr>
              <w:t>汽油罐区</w:t>
            </w:r>
            <w:r>
              <w:rPr>
                <w:rFonts w:hint="eastAsia" w:ascii="Times New Roman" w:cs="Times New Roman"/>
                <w:color w:val="auto"/>
                <w:sz w:val="24"/>
                <w:szCs w:val="24"/>
                <w:lang w:val="en-US" w:eastAsia="zh-CN"/>
              </w:rPr>
              <w:t>、</w:t>
            </w:r>
            <w:r>
              <w:rPr>
                <w:rFonts w:hint="eastAsia" w:cs="Times New Roman"/>
                <w:color w:val="auto"/>
                <w:sz w:val="24"/>
                <w:szCs w:val="24"/>
                <w:lang w:val="en-US" w:eastAsia="zh-CN"/>
              </w:rPr>
              <w:t>柴油</w:t>
            </w:r>
            <w:r>
              <w:rPr>
                <w:rFonts w:hint="eastAsia" w:ascii="Times New Roman" w:cs="Times New Roman"/>
                <w:color w:val="auto"/>
                <w:sz w:val="24"/>
                <w:szCs w:val="24"/>
                <w:lang w:val="en-US" w:eastAsia="zh-CN"/>
              </w:rPr>
              <w:t>罐区、危废暂存间、</w:t>
            </w:r>
            <w:r>
              <w:rPr>
                <w:rFonts w:hint="eastAsia" w:cs="Times New Roman"/>
                <w:color w:val="auto"/>
                <w:sz w:val="24"/>
                <w:szCs w:val="24"/>
                <w:lang w:val="en-US" w:eastAsia="zh-CN"/>
              </w:rPr>
              <w:t>化验废液集存池</w:t>
            </w:r>
            <w:r>
              <w:rPr>
                <w:rFonts w:hint="eastAsia" w:cs="Times New Roman"/>
                <w:color w:val="auto"/>
                <w:sz w:val="24"/>
                <w:szCs w:val="24"/>
                <w:lang w:val="en-US" w:eastAsia="zh-CN"/>
              </w:rPr>
              <w:t>、废水</w:t>
            </w:r>
            <w:r>
              <w:rPr>
                <w:rFonts w:hint="eastAsia" w:ascii="Times New Roman" w:cs="Times New Roman"/>
                <w:color w:val="auto"/>
                <w:sz w:val="24"/>
                <w:szCs w:val="24"/>
                <w:lang w:val="en-US" w:eastAsia="zh-CN"/>
              </w:rPr>
              <w:t>处理站</w:t>
            </w:r>
            <w:r>
              <w:rPr>
                <w:rFonts w:hint="eastAsia" w:cs="Times New Roman"/>
                <w:color w:val="auto"/>
                <w:sz w:val="24"/>
                <w:szCs w:val="24"/>
                <w:lang w:val="en-US" w:eastAsia="zh-CN"/>
              </w:rPr>
              <w:t>、装车区、卸车区、停车场</w:t>
            </w:r>
            <w:r>
              <w:rPr>
                <w:rFonts w:hint="eastAsia" w:ascii="Times New Roman" w:cs="Times New Roman"/>
                <w:color w:val="auto"/>
                <w:sz w:val="24"/>
                <w:szCs w:val="24"/>
                <w:lang w:val="en-US" w:eastAsia="zh-CN"/>
              </w:rPr>
              <w:t>等。</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③伴生、次生事故分析</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default" w:ascii="Times New Roman" w:cs="Times New Roman"/>
                <w:color w:val="auto"/>
                <w:sz w:val="24"/>
                <w:szCs w:val="24"/>
                <w:lang w:val="en-US" w:eastAsia="zh-CN"/>
              </w:rPr>
            </w:pPr>
            <w:r>
              <w:rPr>
                <w:rFonts w:hint="eastAsia" w:ascii="Times New Roman" w:cs="Times New Roman"/>
                <w:color w:val="auto"/>
                <w:sz w:val="24"/>
                <w:szCs w:val="24"/>
                <w:lang w:val="en-US" w:eastAsia="zh-CN"/>
              </w:rPr>
              <w:t>本项目气态伴生/次生污染物主要为</w:t>
            </w:r>
            <w:r>
              <w:rPr>
                <w:rFonts w:hint="eastAsia" w:cs="Times New Roman"/>
                <w:color w:val="auto"/>
                <w:sz w:val="24"/>
                <w:szCs w:val="24"/>
                <w:lang w:val="en-US" w:eastAsia="zh-CN"/>
              </w:rPr>
              <w:t>汽油、柴油、降质油、废油</w:t>
            </w:r>
            <w:r>
              <w:rPr>
                <w:rFonts w:hint="eastAsia" w:ascii="Times New Roman" w:cs="Times New Roman"/>
                <w:color w:val="auto"/>
                <w:sz w:val="24"/>
                <w:szCs w:val="24"/>
                <w:lang w:val="en-US" w:eastAsia="zh-CN"/>
              </w:rPr>
              <w:t>等易燃物质燃烧产生的CO等有毒有害气体，易造成人员中毒。</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default" w:ascii="Times New Roman" w:cs="Times New Roman"/>
                <w:color w:val="auto"/>
                <w:sz w:val="24"/>
                <w:szCs w:val="24"/>
                <w:lang w:val="en-US" w:eastAsia="zh-CN"/>
              </w:rPr>
            </w:pPr>
            <w:r>
              <w:rPr>
                <w:rFonts w:hint="eastAsia" w:cs="Times New Roman"/>
                <w:color w:val="auto"/>
                <w:sz w:val="24"/>
                <w:szCs w:val="24"/>
                <w:lang w:val="en-US" w:eastAsia="zh-CN"/>
              </w:rPr>
              <w:t>液体</w:t>
            </w:r>
            <w:r>
              <w:rPr>
                <w:rFonts w:hint="eastAsia" w:ascii="Times New Roman" w:cs="Times New Roman"/>
                <w:color w:val="auto"/>
                <w:sz w:val="24"/>
                <w:szCs w:val="24"/>
                <w:lang w:val="en-US" w:eastAsia="zh-CN"/>
              </w:rPr>
              <w:t>伴生/次生污染物主要为泄漏的物料及火灾爆炸事故应急处置中产生的消防废水。</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工程应严格按照《工业企业总平面设计规范》（GB50187）、《建筑设计防火规范（2018版修订）》（GB50016）进行总图布置和消防设计，一旦某一危险源发生爆炸、火灾和泄漏，均能在本区域得到控制，避免发生事故连锁反应。</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项目设置事故废水三级防控系统，当罐区等发生泄漏、火灾、爆炸事故时，用水进行消防时，会产生大量的消防废水，全部进入厂区总容积</w:t>
            </w:r>
            <w:r>
              <w:rPr>
                <w:rFonts w:hint="eastAsia" w:cs="Times New Roman"/>
                <w:color w:val="auto"/>
                <w:sz w:val="24"/>
                <w:szCs w:val="24"/>
                <w:lang w:val="en-US" w:eastAsia="zh-CN"/>
              </w:rPr>
              <w:t>2160</w:t>
            </w:r>
            <w:r>
              <w:rPr>
                <w:rFonts w:hint="eastAsia" w:ascii="Times New Roman" w:cs="Times New Roman"/>
                <w:color w:val="auto"/>
                <w:sz w:val="24"/>
                <w:szCs w:val="24"/>
                <w:lang w:val="en-US" w:eastAsia="zh-CN"/>
              </w:rPr>
              <w:t>m</w:t>
            </w:r>
            <w:r>
              <w:rPr>
                <w:rFonts w:hint="eastAsia" w:ascii="Times New Roman" w:cs="Times New Roman"/>
                <w:color w:val="auto"/>
                <w:sz w:val="24"/>
                <w:szCs w:val="24"/>
                <w:vertAlign w:val="superscript"/>
                <w:lang w:val="en-US" w:eastAsia="zh-CN"/>
              </w:rPr>
              <w:t>3</w:t>
            </w:r>
            <w:r>
              <w:rPr>
                <w:rFonts w:hint="eastAsia" w:ascii="Times New Roman" w:cs="Times New Roman"/>
                <w:color w:val="auto"/>
                <w:sz w:val="24"/>
                <w:szCs w:val="24"/>
                <w:vertAlign w:val="baseline"/>
                <w:lang w:val="en-US" w:eastAsia="zh-CN"/>
              </w:rPr>
              <w:t>事故水池</w:t>
            </w:r>
            <w:r>
              <w:rPr>
                <w:rFonts w:hint="eastAsia" w:ascii="Times New Roman" w:cs="Times New Roman"/>
                <w:color w:val="auto"/>
                <w:sz w:val="24"/>
                <w:szCs w:val="24"/>
                <w:lang w:val="en-US" w:eastAsia="zh-CN"/>
              </w:rPr>
              <w:t>储存，分批排入厂区</w:t>
            </w:r>
            <w:r>
              <w:rPr>
                <w:rFonts w:hint="eastAsia" w:cs="Times New Roman"/>
                <w:color w:val="auto"/>
                <w:sz w:val="24"/>
                <w:szCs w:val="24"/>
                <w:lang w:val="en-US" w:eastAsia="zh-CN"/>
              </w:rPr>
              <w:t>废</w:t>
            </w:r>
            <w:r>
              <w:rPr>
                <w:rFonts w:hint="eastAsia" w:ascii="Times New Roman" w:cs="Times New Roman"/>
                <w:color w:val="auto"/>
                <w:sz w:val="24"/>
                <w:szCs w:val="24"/>
                <w:lang w:val="en-US" w:eastAsia="zh-CN"/>
              </w:rPr>
              <w:t>水站处理，不会引发伴生、次生事故。</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④运输事故</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本项目的危险物料在运输时，存在由于发生交通事故而引发的物料泄漏、发生火灾和爆炸等事故。本项目危险物料的运输全部委托有资质的单位运输。</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cs="Times New Roman"/>
                <w:color w:val="auto"/>
                <w:sz w:val="24"/>
                <w:szCs w:val="24"/>
                <w:lang w:val="en-US" w:eastAsia="zh-CN"/>
              </w:rPr>
              <w:t>在危险化学品运输过程中，可能引发危险化学品货物泄漏的原因有：车辆相撞、与固定物相撞、车辆急转弯、非事故引发的泄漏。可能引发运输车辆事故的一些原因，可大致分为以下几类：人员失误、车辆故障、管理失效、外部事件。</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3）环境风险类型及危害分析</w:t>
            </w:r>
          </w:p>
          <w:p>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①</w:t>
            </w:r>
            <w:r>
              <w:rPr>
                <w:rFonts w:hint="eastAsia" w:ascii="Times New Roman" w:hAnsi="Times New Roman" w:cs="Times New Roman"/>
                <w:color w:val="auto"/>
                <w:highlight w:val="none"/>
                <w:lang w:val="en-US" w:eastAsia="zh-CN"/>
              </w:rPr>
              <w:t>环境风险类型</w:t>
            </w:r>
          </w:p>
          <w:p>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通过对风险识别并结合本工程实际情况，本工程风险主要存在于生产运行过程中，本项目风险类型主要为</w:t>
            </w:r>
            <w:r>
              <w:rPr>
                <w:rFonts w:hint="eastAsia" w:ascii="Times New Roman" w:hAnsi="Times New Roman" w:cs="Times New Roman"/>
                <w:color w:val="auto"/>
                <w:highlight w:val="none"/>
                <w:lang w:val="en-US" w:eastAsia="zh-CN"/>
              </w:rPr>
              <w:t>危险物质</w:t>
            </w:r>
            <w:r>
              <w:rPr>
                <w:rFonts w:hint="default" w:ascii="Times New Roman" w:hAnsi="Times New Roman" w:eastAsia="宋体" w:cs="Times New Roman"/>
                <w:color w:val="auto"/>
                <w:highlight w:val="none"/>
              </w:rPr>
              <w:t>泄漏</w:t>
            </w:r>
            <w:r>
              <w:rPr>
                <w:rFonts w:hint="eastAsia" w:cs="Times New Roman"/>
                <w:color w:val="auto"/>
                <w:highlight w:val="none"/>
                <w:lang w:val="en-US" w:eastAsia="zh-CN"/>
              </w:rPr>
              <w:t>以及</w:t>
            </w:r>
            <w:r>
              <w:rPr>
                <w:rFonts w:hint="eastAsia" w:ascii="Times New Roman" w:hAnsi="Times New Roman" w:cs="Times New Roman"/>
                <w:color w:val="auto"/>
                <w:highlight w:val="none"/>
                <w:lang w:val="en-US" w:eastAsia="zh-CN"/>
              </w:rPr>
              <w:t>火灾、爆炸等引发的伴生/次生污染物排放</w:t>
            </w:r>
            <w:r>
              <w:rPr>
                <w:rFonts w:hint="default" w:ascii="Times New Roman" w:hAnsi="Times New Roman" w:eastAsia="宋体" w:cs="Times New Roman"/>
                <w:color w:val="auto"/>
                <w:highlight w:val="none"/>
              </w:rPr>
              <w:t>。</w:t>
            </w:r>
          </w:p>
          <w:p>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项目有毒有害物质发生泄露时，会对空气环境、地下水、</w:t>
            </w:r>
            <w:r>
              <w:rPr>
                <w:rFonts w:hint="eastAsia" w:ascii="Times New Roman" w:hAnsi="Times New Roman" w:eastAsia="宋体" w:cs="Times New Roman"/>
                <w:color w:val="auto"/>
                <w:highlight w:val="none"/>
                <w:lang w:eastAsia="zh-CN"/>
              </w:rPr>
              <w:t>地表水</w:t>
            </w:r>
            <w:r>
              <w:rPr>
                <w:rFonts w:hint="default" w:ascii="Times New Roman" w:hAnsi="Times New Roman" w:eastAsia="宋体" w:cs="Times New Roman"/>
                <w:color w:val="auto"/>
                <w:highlight w:val="none"/>
              </w:rPr>
              <w:t>造成一定影响；此外，</w:t>
            </w:r>
            <w:r>
              <w:rPr>
                <w:rFonts w:hint="eastAsia" w:ascii="Times New Roman" w:hAnsi="Times New Roman" w:eastAsia="宋体" w:cs="Times New Roman"/>
                <w:color w:val="auto"/>
                <w:highlight w:val="none"/>
                <w:lang w:val="en-US" w:eastAsia="zh-CN"/>
              </w:rPr>
              <w:t>汽油、柴油、降质油、废油等</w:t>
            </w:r>
            <w:r>
              <w:rPr>
                <w:rFonts w:hint="default" w:ascii="Times New Roman" w:hAnsi="Times New Roman" w:eastAsia="宋体" w:cs="Times New Roman"/>
                <w:color w:val="auto"/>
                <w:highlight w:val="none"/>
              </w:rPr>
              <w:t>泄漏产生燃烧或爆炸后的产污主要为CO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O等，在不完全燃烧情况下也产生CO，对局地空气环境造成污染影响</w:t>
            </w:r>
            <w:r>
              <w:rPr>
                <w:rFonts w:hint="eastAsia" w:ascii="Times New Roman" w:hAnsi="Times New Roman" w:eastAsia="宋体" w:cs="Times New Roman"/>
                <w:color w:val="auto"/>
                <w:highlight w:val="none"/>
                <w:lang w:val="en-US" w:eastAsia="zh-CN"/>
              </w:rPr>
              <w:t>。</w:t>
            </w:r>
          </w:p>
          <w:p>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②</w:t>
            </w:r>
            <w:r>
              <w:rPr>
                <w:rFonts w:hint="default" w:ascii="Times New Roman" w:hAnsi="Times New Roman" w:eastAsia="宋体" w:cs="Times New Roman"/>
                <w:color w:val="auto"/>
                <w:highlight w:val="none"/>
              </w:rPr>
              <w:t>危险物质向环境转移的途径识别</w:t>
            </w:r>
          </w:p>
          <w:p>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大气扩散：本项目有毒有害物质泄漏后直接进入大气环境或挥发进入大气环境，或者易燃易爆物质泄漏发生火灾爆炸事故时伴生污染物进行大气环境，通过大气扩散对项目周围环境造成危害。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地表水环境扩散：</w:t>
            </w:r>
            <w:r>
              <w:rPr>
                <w:rFonts w:hint="default" w:ascii="Times New Roman" w:hAnsi="Times New Roman" w:eastAsia="宋体" w:cs="Times New Roman"/>
                <w:color w:val="auto"/>
                <w:kern w:val="2"/>
                <w:sz w:val="24"/>
                <w:szCs w:val="20"/>
                <w:highlight w:val="none"/>
                <w:lang w:val="en-US" w:eastAsia="zh-CN" w:bidi="ar-SA"/>
              </w:rPr>
              <w:t>易燃易爆物质发生火灾事故时产生的消防废水未能得到有效收集而进入清净下水系统或雨排系统，通过排水系统排放入地表水体，对地表水环境造成影响。</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kern w:val="2"/>
                <w:sz w:val="24"/>
                <w:szCs w:val="20"/>
                <w:highlight w:val="none"/>
                <w:lang w:val="en-US" w:eastAsia="zh-CN" w:bidi="ar-SA"/>
              </w:rPr>
              <w:t>地下</w:t>
            </w:r>
            <w:r>
              <w:rPr>
                <w:rFonts w:hint="default" w:ascii="Times New Roman" w:hAnsi="Times New Roman" w:eastAsia="宋体" w:cs="Times New Roman"/>
                <w:color w:val="auto"/>
                <w:kern w:val="2"/>
                <w:sz w:val="24"/>
                <w:szCs w:val="20"/>
                <w:highlight w:val="none"/>
                <w:lang w:val="en-US" w:eastAsia="zh-CN" w:bidi="ar-SA"/>
              </w:rPr>
              <w:t>水环境扩散：</w:t>
            </w:r>
            <w:r>
              <w:rPr>
                <w:rFonts w:hint="eastAsia" w:ascii="Times New Roman" w:hAnsi="Times New Roman" w:eastAsia="宋体" w:cs="Times New Roman"/>
                <w:color w:val="auto"/>
                <w:kern w:val="2"/>
                <w:sz w:val="24"/>
                <w:szCs w:val="20"/>
                <w:highlight w:val="none"/>
                <w:lang w:val="en-US" w:eastAsia="zh-CN" w:bidi="ar-SA"/>
              </w:rPr>
              <w:t>本项目液态危险物质泄漏或事故废水，通过厂区地面下渗至地下水含水层并向下游运移，对地下水环境敏感目标造成风险事故。</w:t>
            </w:r>
            <w:r>
              <w:rPr>
                <w:rFonts w:hint="default" w:ascii="Times New Roman" w:hAnsi="Times New Roman" w:eastAsia="宋体" w:cs="Times New Roman"/>
                <w:color w:val="auto"/>
                <w:kern w:val="2"/>
                <w:sz w:val="24"/>
                <w:szCs w:val="20"/>
                <w:highlight w:val="none"/>
                <w:lang w:val="en-US" w:eastAsia="zh-CN" w:bidi="ar-SA"/>
              </w:rPr>
              <w:t>污水处理站中的废水构筑物发生渗漏、防渗出现损坏等状况对地下水的影响。</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4）风险识别结果</w:t>
            </w:r>
          </w:p>
          <w:p>
            <w:pPr>
              <w:spacing w:line="440" w:lineRule="exact"/>
              <w:ind w:firstLine="480" w:firstLineChars="200"/>
              <w:rPr>
                <w:b/>
                <w:color w:val="auto"/>
                <w:sz w:val="24"/>
              </w:rPr>
            </w:pPr>
            <w:r>
              <w:rPr>
                <w:color w:val="auto"/>
                <w:sz w:val="24"/>
              </w:rPr>
              <w:t>根据本工程所涉及有毒有害、易燃易爆物质危险性识别和生产过程潜在危险性识别结果，本工程环境风险识别表见下表。</w:t>
            </w:r>
          </w:p>
          <w:p>
            <w:pPr>
              <w:spacing w:line="440" w:lineRule="exact"/>
              <w:ind w:firstLine="482" w:firstLineChars="200"/>
              <w:rPr>
                <w:b/>
                <w:color w:val="auto"/>
                <w:sz w:val="24"/>
              </w:rPr>
            </w:pPr>
            <w:r>
              <w:rPr>
                <w:b/>
                <w:color w:val="auto"/>
                <w:sz w:val="24"/>
              </w:rPr>
              <w:t>表</w:t>
            </w:r>
            <w:r>
              <w:rPr>
                <w:rFonts w:hint="eastAsia"/>
                <w:b/>
                <w:color w:val="auto"/>
                <w:sz w:val="24"/>
                <w:lang w:val="en-US" w:eastAsia="zh-CN"/>
              </w:rPr>
              <w:t>4-32</w:t>
            </w:r>
            <w:r>
              <w:rPr>
                <w:b/>
                <w:color w:val="auto"/>
                <w:sz w:val="24"/>
              </w:rPr>
              <w:t xml:space="preserve">    项目环境风险识别表</w:t>
            </w:r>
          </w:p>
          <w:tbl>
            <w:tblPr>
              <w:tblStyle w:val="19"/>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70"/>
              <w:gridCol w:w="1035"/>
              <w:gridCol w:w="753"/>
              <w:gridCol w:w="1117"/>
              <w:gridCol w:w="967"/>
              <w:gridCol w:w="1205"/>
              <w:gridCol w:w="786"/>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360" w:lineRule="exact"/>
                    <w:jc w:val="center"/>
                    <w:rPr>
                      <w:color w:val="auto"/>
                      <w:szCs w:val="21"/>
                    </w:rPr>
                  </w:pPr>
                  <w:r>
                    <w:rPr>
                      <w:color w:val="auto"/>
                      <w:szCs w:val="21"/>
                    </w:rPr>
                    <w:t>序号</w:t>
                  </w:r>
                </w:p>
              </w:tc>
              <w:tc>
                <w:tcPr>
                  <w:tcW w:w="970" w:type="dxa"/>
                  <w:vAlign w:val="center"/>
                </w:tcPr>
                <w:p>
                  <w:pPr>
                    <w:spacing w:line="360" w:lineRule="exact"/>
                    <w:jc w:val="center"/>
                    <w:rPr>
                      <w:color w:val="auto"/>
                      <w:szCs w:val="21"/>
                    </w:rPr>
                  </w:pPr>
                  <w:r>
                    <w:rPr>
                      <w:color w:val="auto"/>
                      <w:szCs w:val="21"/>
                    </w:rPr>
                    <w:t>危险单元</w:t>
                  </w:r>
                </w:p>
              </w:tc>
              <w:tc>
                <w:tcPr>
                  <w:tcW w:w="1035" w:type="dxa"/>
                  <w:vAlign w:val="center"/>
                </w:tcPr>
                <w:p>
                  <w:pPr>
                    <w:spacing w:line="360" w:lineRule="exact"/>
                    <w:jc w:val="center"/>
                    <w:rPr>
                      <w:color w:val="auto"/>
                      <w:szCs w:val="21"/>
                    </w:rPr>
                  </w:pPr>
                  <w:r>
                    <w:rPr>
                      <w:color w:val="auto"/>
                      <w:szCs w:val="21"/>
                    </w:rPr>
                    <w:t>风险源</w:t>
                  </w:r>
                </w:p>
              </w:tc>
              <w:tc>
                <w:tcPr>
                  <w:tcW w:w="753" w:type="dxa"/>
                  <w:vAlign w:val="center"/>
                </w:tcPr>
                <w:p>
                  <w:pPr>
                    <w:spacing w:line="360" w:lineRule="exact"/>
                    <w:jc w:val="center"/>
                    <w:rPr>
                      <w:color w:val="auto"/>
                      <w:szCs w:val="21"/>
                    </w:rPr>
                  </w:pPr>
                  <w:r>
                    <w:rPr>
                      <w:color w:val="auto"/>
                      <w:szCs w:val="21"/>
                    </w:rPr>
                    <w:t>主要危险物质</w:t>
                  </w:r>
                </w:p>
              </w:tc>
              <w:tc>
                <w:tcPr>
                  <w:tcW w:w="1117" w:type="dxa"/>
                  <w:vAlign w:val="center"/>
                </w:tcPr>
                <w:p>
                  <w:pPr>
                    <w:spacing w:line="360" w:lineRule="exact"/>
                    <w:jc w:val="center"/>
                    <w:rPr>
                      <w:color w:val="auto"/>
                      <w:szCs w:val="21"/>
                    </w:rPr>
                  </w:pPr>
                  <w:r>
                    <w:rPr>
                      <w:color w:val="auto"/>
                      <w:szCs w:val="21"/>
                    </w:rPr>
                    <w:t>环境风险类型</w:t>
                  </w:r>
                </w:p>
              </w:tc>
              <w:tc>
                <w:tcPr>
                  <w:tcW w:w="967"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潜在事故</w:t>
                  </w:r>
                </w:p>
              </w:tc>
              <w:tc>
                <w:tcPr>
                  <w:tcW w:w="1205" w:type="dxa"/>
                  <w:vAlign w:val="center"/>
                </w:tcPr>
                <w:p>
                  <w:pPr>
                    <w:spacing w:line="360" w:lineRule="exact"/>
                    <w:jc w:val="center"/>
                    <w:rPr>
                      <w:rFonts w:hint="eastAsia" w:eastAsia="宋体"/>
                      <w:color w:val="auto"/>
                      <w:szCs w:val="21"/>
                      <w:lang w:eastAsia="zh-CN"/>
                    </w:rPr>
                  </w:pPr>
                  <w:r>
                    <w:rPr>
                      <w:rFonts w:hint="eastAsia"/>
                      <w:color w:val="auto"/>
                      <w:szCs w:val="21"/>
                      <w:lang w:eastAsia="zh-CN"/>
                    </w:rPr>
                    <w:t>事故原因</w:t>
                  </w:r>
                </w:p>
              </w:tc>
              <w:tc>
                <w:tcPr>
                  <w:tcW w:w="786" w:type="dxa"/>
                  <w:vAlign w:val="center"/>
                </w:tcPr>
                <w:p>
                  <w:pPr>
                    <w:spacing w:line="360" w:lineRule="exact"/>
                    <w:jc w:val="center"/>
                    <w:rPr>
                      <w:color w:val="auto"/>
                      <w:szCs w:val="21"/>
                    </w:rPr>
                  </w:pPr>
                  <w:r>
                    <w:rPr>
                      <w:color w:val="auto"/>
                      <w:szCs w:val="21"/>
                    </w:rPr>
                    <w:t>环境影响途径</w:t>
                  </w:r>
                </w:p>
              </w:tc>
              <w:tc>
                <w:tcPr>
                  <w:tcW w:w="1259" w:type="dxa"/>
                  <w:vAlign w:val="center"/>
                </w:tcPr>
                <w:p>
                  <w:pPr>
                    <w:spacing w:line="360" w:lineRule="exact"/>
                    <w:jc w:val="center"/>
                    <w:rPr>
                      <w:color w:val="auto"/>
                      <w:szCs w:val="21"/>
                    </w:rPr>
                  </w:pPr>
                  <w:r>
                    <w:rPr>
                      <w:color w:val="auto"/>
                      <w:szCs w:val="21"/>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360" w:lineRule="exact"/>
                    <w:jc w:val="center"/>
                    <w:rPr>
                      <w:rFonts w:hint="eastAsia" w:eastAsia="宋体"/>
                      <w:color w:val="auto"/>
                      <w:szCs w:val="21"/>
                      <w:lang w:val="en-US" w:eastAsia="zh-CN"/>
                    </w:rPr>
                  </w:pPr>
                  <w:r>
                    <w:rPr>
                      <w:rFonts w:hint="eastAsia"/>
                      <w:color w:val="auto"/>
                      <w:szCs w:val="21"/>
                      <w:lang w:val="en-US" w:eastAsia="zh-CN"/>
                    </w:rPr>
                    <w:t>1</w:t>
                  </w:r>
                </w:p>
              </w:tc>
              <w:tc>
                <w:tcPr>
                  <w:tcW w:w="970" w:type="dxa"/>
                  <w:vMerge w:val="restart"/>
                  <w:vAlign w:val="center"/>
                </w:tcPr>
                <w:p>
                  <w:pPr>
                    <w:spacing w:line="360" w:lineRule="exact"/>
                    <w:jc w:val="center"/>
                    <w:rPr>
                      <w:rFonts w:hint="eastAsia" w:eastAsia="宋体"/>
                      <w:color w:val="auto"/>
                      <w:szCs w:val="21"/>
                      <w:lang w:eastAsia="zh-CN"/>
                    </w:rPr>
                  </w:pPr>
                  <w:r>
                    <w:rPr>
                      <w:rFonts w:hint="eastAsia"/>
                      <w:color w:val="auto"/>
                      <w:szCs w:val="21"/>
                      <w:lang w:eastAsia="zh-CN"/>
                    </w:rPr>
                    <w:t>罐区</w:t>
                  </w:r>
                </w:p>
              </w:tc>
              <w:tc>
                <w:tcPr>
                  <w:tcW w:w="1035"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汽油储罐</w:t>
                  </w:r>
                </w:p>
              </w:tc>
              <w:tc>
                <w:tcPr>
                  <w:tcW w:w="753"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汽油</w:t>
                  </w:r>
                </w:p>
              </w:tc>
              <w:tc>
                <w:tcPr>
                  <w:tcW w:w="1117" w:type="dxa"/>
                  <w:vMerge w:val="restart"/>
                  <w:vAlign w:val="center"/>
                </w:tcPr>
                <w:p>
                  <w:pPr>
                    <w:spacing w:line="360" w:lineRule="exact"/>
                    <w:jc w:val="center"/>
                    <w:rPr>
                      <w:rFonts w:hint="default" w:eastAsia="宋体"/>
                      <w:color w:val="auto"/>
                      <w:szCs w:val="21"/>
                      <w:lang w:val="en-US" w:eastAsia="zh-CN"/>
                    </w:rPr>
                  </w:pPr>
                  <w:r>
                    <w:rPr>
                      <w:rFonts w:hint="eastAsia"/>
                      <w:color w:val="auto"/>
                      <w:szCs w:val="21"/>
                      <w:lang w:eastAsia="zh-CN"/>
                    </w:rPr>
                    <w:t>泄漏，火灾、爆炸产生的伴</w:t>
                  </w:r>
                  <w:r>
                    <w:rPr>
                      <w:rFonts w:hint="eastAsia"/>
                      <w:color w:val="auto"/>
                      <w:szCs w:val="21"/>
                      <w:lang w:val="en-US" w:eastAsia="zh-CN"/>
                    </w:rPr>
                    <w:t>/次生污染物排放</w:t>
                  </w:r>
                </w:p>
              </w:tc>
              <w:tc>
                <w:tcPr>
                  <w:tcW w:w="967" w:type="dxa"/>
                  <w:vMerge w:val="restart"/>
                  <w:vAlign w:val="center"/>
                </w:tcPr>
                <w:p>
                  <w:pPr>
                    <w:spacing w:line="360" w:lineRule="exact"/>
                    <w:jc w:val="center"/>
                    <w:rPr>
                      <w:rFonts w:hint="eastAsia" w:eastAsia="宋体"/>
                      <w:color w:val="auto"/>
                      <w:szCs w:val="21"/>
                      <w:lang w:eastAsia="zh-CN"/>
                    </w:rPr>
                  </w:pPr>
                  <w:r>
                    <w:rPr>
                      <w:rFonts w:hint="default" w:ascii="Times New Roman" w:hAnsi="Times New Roman" w:eastAsia="宋体" w:cs="Times New Roman"/>
                      <w:color w:val="auto"/>
                      <w:spacing w:val="-6"/>
                      <w:sz w:val="21"/>
                      <w:szCs w:val="21"/>
                      <w:highlight w:val="none"/>
                    </w:rPr>
                    <w:t>储罐、机泵、阀门</w:t>
                  </w:r>
                  <w:r>
                    <w:rPr>
                      <w:rFonts w:hint="eastAsia" w:cs="Times New Roman"/>
                      <w:color w:val="auto"/>
                      <w:spacing w:val="-6"/>
                      <w:sz w:val="21"/>
                      <w:szCs w:val="21"/>
                      <w:highlight w:val="none"/>
                      <w:lang w:eastAsia="zh-CN"/>
                    </w:rPr>
                    <w:t>及装卸物料泄漏引起中毒、火灾、爆炸</w:t>
                  </w:r>
                </w:p>
              </w:tc>
              <w:tc>
                <w:tcPr>
                  <w:tcW w:w="1205" w:type="dxa"/>
                  <w:vMerge w:val="restart"/>
                  <w:vAlign w:val="center"/>
                </w:tcPr>
                <w:p>
                  <w:pPr>
                    <w:spacing w:line="360" w:lineRule="exact"/>
                    <w:jc w:val="center"/>
                    <w:rPr>
                      <w:rFonts w:hint="eastAsia"/>
                      <w:color w:val="auto"/>
                      <w:szCs w:val="21"/>
                      <w:lang w:eastAsia="zh-CN"/>
                    </w:rPr>
                  </w:pPr>
                  <w:r>
                    <w:rPr>
                      <w:rFonts w:hint="default" w:ascii="Times New Roman" w:hAnsi="Times New Roman" w:eastAsia="宋体" w:cs="Times New Roman"/>
                      <w:snapToGrid w:val="0"/>
                      <w:color w:val="auto"/>
                      <w:spacing w:val="-6"/>
                      <w:sz w:val="21"/>
                      <w:szCs w:val="21"/>
                      <w:highlight w:val="none"/>
                    </w:rPr>
                    <w:t>储罐制造有缺陷，阀门损坏、机泵密封不严，设备腐蚀、材料老化</w:t>
                  </w:r>
                  <w:r>
                    <w:rPr>
                      <w:rFonts w:hint="default" w:ascii="Times New Roman" w:hAnsi="Times New Roman" w:eastAsia="宋体" w:cs="Times New Roman"/>
                      <w:color w:val="auto"/>
                      <w:spacing w:val="-6"/>
                      <w:sz w:val="21"/>
                      <w:szCs w:val="21"/>
                      <w:highlight w:val="none"/>
                    </w:rPr>
                    <w:t>，违章操作。</w:t>
                  </w:r>
                </w:p>
              </w:tc>
              <w:tc>
                <w:tcPr>
                  <w:tcW w:w="786" w:type="dxa"/>
                  <w:vMerge w:val="restart"/>
                  <w:vAlign w:val="center"/>
                </w:tcPr>
                <w:p>
                  <w:pPr>
                    <w:spacing w:line="360" w:lineRule="exact"/>
                    <w:jc w:val="center"/>
                    <w:rPr>
                      <w:rFonts w:hint="eastAsia" w:eastAsia="宋体"/>
                      <w:color w:val="auto"/>
                      <w:szCs w:val="21"/>
                      <w:lang w:eastAsia="zh-CN"/>
                    </w:rPr>
                  </w:pPr>
                  <w:r>
                    <w:rPr>
                      <w:rFonts w:hint="eastAsia"/>
                      <w:color w:val="auto"/>
                      <w:szCs w:val="21"/>
                      <w:lang w:eastAsia="zh-CN"/>
                    </w:rPr>
                    <w:t>大气、地表水、地下水</w:t>
                  </w:r>
                </w:p>
              </w:tc>
              <w:tc>
                <w:tcPr>
                  <w:tcW w:w="1259" w:type="dxa"/>
                  <w:vMerge w:val="restart"/>
                  <w:vAlign w:val="center"/>
                </w:tcPr>
                <w:p>
                  <w:pPr>
                    <w:spacing w:line="360" w:lineRule="exact"/>
                    <w:jc w:val="center"/>
                    <w:rPr>
                      <w:rFonts w:hint="eastAsia" w:eastAsia="宋体"/>
                      <w:color w:val="auto"/>
                      <w:szCs w:val="21"/>
                      <w:lang w:eastAsia="zh-CN"/>
                    </w:rPr>
                  </w:pPr>
                  <w:r>
                    <w:rPr>
                      <w:rFonts w:hint="eastAsia"/>
                      <w:color w:val="auto"/>
                      <w:szCs w:val="21"/>
                      <w:lang w:eastAsia="zh-CN"/>
                    </w:rPr>
                    <w:t>居民区、双老河、区域地下水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spacing w:line="360" w:lineRule="exact"/>
                    <w:jc w:val="center"/>
                    <w:rPr>
                      <w:rFonts w:hint="eastAsia" w:eastAsia="宋体"/>
                      <w:color w:val="auto"/>
                      <w:szCs w:val="21"/>
                      <w:lang w:val="en-US" w:eastAsia="zh-CN"/>
                    </w:rPr>
                  </w:pPr>
                  <w:r>
                    <w:rPr>
                      <w:rFonts w:hint="eastAsia"/>
                      <w:color w:val="auto"/>
                      <w:szCs w:val="21"/>
                      <w:lang w:val="en-US" w:eastAsia="zh-CN"/>
                    </w:rPr>
                    <w:t>2</w:t>
                  </w:r>
                </w:p>
              </w:tc>
              <w:tc>
                <w:tcPr>
                  <w:tcW w:w="970" w:type="dxa"/>
                  <w:vMerge w:val="continue"/>
                  <w:vAlign w:val="center"/>
                </w:tcPr>
                <w:p>
                  <w:pPr>
                    <w:spacing w:line="360" w:lineRule="exact"/>
                    <w:jc w:val="center"/>
                    <w:rPr>
                      <w:rFonts w:hint="eastAsia"/>
                      <w:color w:val="auto"/>
                      <w:szCs w:val="21"/>
                      <w:lang w:eastAsia="zh-CN"/>
                    </w:rPr>
                  </w:pPr>
                </w:p>
              </w:tc>
              <w:tc>
                <w:tcPr>
                  <w:tcW w:w="1035" w:type="dxa"/>
                  <w:vAlign w:val="center"/>
                </w:tcPr>
                <w:p>
                  <w:pPr>
                    <w:spacing w:line="360" w:lineRule="exact"/>
                    <w:jc w:val="center"/>
                    <w:rPr>
                      <w:rFonts w:hint="eastAsia"/>
                      <w:color w:val="auto"/>
                      <w:szCs w:val="21"/>
                      <w:lang w:eastAsia="zh-CN"/>
                    </w:rPr>
                  </w:pPr>
                  <w:r>
                    <w:rPr>
                      <w:rFonts w:hint="eastAsia"/>
                      <w:color w:val="auto"/>
                      <w:szCs w:val="21"/>
                      <w:lang w:eastAsia="zh-CN"/>
                    </w:rPr>
                    <w:t>柴油储罐</w:t>
                  </w:r>
                </w:p>
              </w:tc>
              <w:tc>
                <w:tcPr>
                  <w:tcW w:w="753" w:type="dxa"/>
                  <w:vAlign w:val="center"/>
                </w:tcPr>
                <w:p>
                  <w:pPr>
                    <w:spacing w:line="360" w:lineRule="exact"/>
                    <w:jc w:val="center"/>
                    <w:rPr>
                      <w:rFonts w:hint="eastAsia"/>
                      <w:color w:val="auto"/>
                      <w:szCs w:val="21"/>
                      <w:lang w:eastAsia="zh-CN"/>
                    </w:rPr>
                  </w:pPr>
                  <w:r>
                    <w:rPr>
                      <w:rFonts w:hint="eastAsia"/>
                      <w:color w:val="auto"/>
                      <w:szCs w:val="21"/>
                      <w:lang w:eastAsia="zh-CN"/>
                    </w:rPr>
                    <w:t>柴油</w:t>
                  </w:r>
                </w:p>
              </w:tc>
              <w:tc>
                <w:tcPr>
                  <w:tcW w:w="1117" w:type="dxa"/>
                  <w:vMerge w:val="continue"/>
                  <w:vAlign w:val="center"/>
                </w:tcPr>
                <w:p>
                  <w:pPr>
                    <w:spacing w:line="360" w:lineRule="exact"/>
                    <w:jc w:val="center"/>
                    <w:rPr>
                      <w:rFonts w:hint="eastAsia"/>
                      <w:color w:val="auto"/>
                      <w:szCs w:val="21"/>
                      <w:lang w:eastAsia="zh-CN"/>
                    </w:rPr>
                  </w:pPr>
                </w:p>
              </w:tc>
              <w:tc>
                <w:tcPr>
                  <w:tcW w:w="967" w:type="dxa"/>
                  <w:vMerge w:val="continue"/>
                  <w:vAlign w:val="center"/>
                </w:tcPr>
                <w:p>
                  <w:pPr>
                    <w:spacing w:line="360" w:lineRule="exact"/>
                    <w:jc w:val="center"/>
                    <w:rPr>
                      <w:rFonts w:hint="eastAsia"/>
                      <w:color w:val="auto"/>
                      <w:szCs w:val="21"/>
                      <w:lang w:eastAsia="zh-CN"/>
                    </w:rPr>
                  </w:pPr>
                </w:p>
              </w:tc>
              <w:tc>
                <w:tcPr>
                  <w:tcW w:w="1205" w:type="dxa"/>
                  <w:vMerge w:val="continue"/>
                  <w:vAlign w:val="center"/>
                </w:tcPr>
                <w:p>
                  <w:pPr>
                    <w:spacing w:line="360" w:lineRule="exact"/>
                    <w:jc w:val="center"/>
                    <w:rPr>
                      <w:rFonts w:hint="eastAsia"/>
                      <w:color w:val="auto"/>
                      <w:szCs w:val="21"/>
                      <w:lang w:eastAsia="zh-CN"/>
                    </w:rPr>
                  </w:pPr>
                </w:p>
              </w:tc>
              <w:tc>
                <w:tcPr>
                  <w:tcW w:w="786" w:type="dxa"/>
                  <w:vMerge w:val="continue"/>
                  <w:vAlign w:val="center"/>
                </w:tcPr>
                <w:p>
                  <w:pPr>
                    <w:spacing w:line="360" w:lineRule="exact"/>
                    <w:jc w:val="center"/>
                    <w:rPr>
                      <w:rFonts w:hint="eastAsia"/>
                      <w:color w:val="auto"/>
                      <w:szCs w:val="21"/>
                      <w:lang w:eastAsia="zh-CN"/>
                    </w:rPr>
                  </w:pPr>
                </w:p>
              </w:tc>
              <w:tc>
                <w:tcPr>
                  <w:tcW w:w="1259" w:type="dxa"/>
                  <w:vMerge w:val="continue"/>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26" w:type="dxa"/>
                  <w:vMerge w:val="restart"/>
                  <w:vAlign w:val="center"/>
                </w:tcPr>
                <w:p>
                  <w:pPr>
                    <w:pStyle w:val="61"/>
                    <w:spacing w:line="360" w:lineRule="exact"/>
                    <w:ind w:firstLine="0" w:firstLineChars="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3</w:t>
                  </w:r>
                </w:p>
              </w:tc>
              <w:tc>
                <w:tcPr>
                  <w:tcW w:w="970" w:type="dxa"/>
                  <w:vMerge w:val="restart"/>
                  <w:vAlign w:val="center"/>
                </w:tcPr>
                <w:p>
                  <w:pPr>
                    <w:spacing w:line="360" w:lineRule="exact"/>
                    <w:jc w:val="center"/>
                    <w:rPr>
                      <w:color w:val="auto"/>
                      <w:szCs w:val="21"/>
                    </w:rPr>
                  </w:pPr>
                  <w:r>
                    <w:rPr>
                      <w:color w:val="auto"/>
                      <w:szCs w:val="21"/>
                    </w:rPr>
                    <w:t>危废暂存间</w:t>
                  </w:r>
                </w:p>
              </w:tc>
              <w:tc>
                <w:tcPr>
                  <w:tcW w:w="1035"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废油桶</w:t>
                  </w:r>
                </w:p>
              </w:tc>
              <w:tc>
                <w:tcPr>
                  <w:tcW w:w="753"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废油</w:t>
                  </w:r>
                </w:p>
              </w:tc>
              <w:tc>
                <w:tcPr>
                  <w:tcW w:w="1117" w:type="dxa"/>
                  <w:vMerge w:val="continue"/>
                  <w:vAlign w:val="center"/>
                </w:tcPr>
                <w:p>
                  <w:pPr>
                    <w:spacing w:line="360" w:lineRule="exact"/>
                    <w:jc w:val="center"/>
                    <w:rPr>
                      <w:color w:val="auto"/>
                      <w:szCs w:val="21"/>
                    </w:rPr>
                  </w:pPr>
                </w:p>
              </w:tc>
              <w:tc>
                <w:tcPr>
                  <w:tcW w:w="967" w:type="dxa"/>
                  <w:vMerge w:val="restart"/>
                  <w:vAlign w:val="center"/>
                </w:tcPr>
                <w:p>
                  <w:pPr>
                    <w:spacing w:line="360" w:lineRule="exact"/>
                    <w:jc w:val="center"/>
                    <w:rPr>
                      <w:rFonts w:hint="eastAsia" w:eastAsia="宋体"/>
                      <w:color w:val="auto"/>
                      <w:szCs w:val="21"/>
                      <w:lang w:eastAsia="zh-CN"/>
                    </w:rPr>
                  </w:pPr>
                  <w:r>
                    <w:rPr>
                      <w:rFonts w:hint="eastAsia"/>
                      <w:color w:val="auto"/>
                      <w:szCs w:val="21"/>
                      <w:lang w:eastAsia="zh-CN"/>
                    </w:rPr>
                    <w:t>储存桶、罐、袋、池体泄漏引发污染物排放</w:t>
                  </w:r>
                </w:p>
              </w:tc>
              <w:tc>
                <w:tcPr>
                  <w:tcW w:w="1205" w:type="dxa"/>
                  <w:vMerge w:val="restart"/>
                  <w:vAlign w:val="center"/>
                </w:tcPr>
                <w:p>
                  <w:pPr>
                    <w:spacing w:line="360" w:lineRule="exact"/>
                    <w:jc w:val="center"/>
                    <w:rPr>
                      <w:color w:val="auto"/>
                      <w:szCs w:val="21"/>
                    </w:rPr>
                  </w:pPr>
                  <w:r>
                    <w:rPr>
                      <w:rFonts w:hint="eastAsia"/>
                      <w:color w:val="auto"/>
                      <w:szCs w:val="21"/>
                      <w:lang w:eastAsia="zh-CN"/>
                    </w:rPr>
                    <w:t>储存桶、罐、袋、池体破损</w:t>
                  </w:r>
                </w:p>
              </w:tc>
              <w:tc>
                <w:tcPr>
                  <w:tcW w:w="786" w:type="dxa"/>
                  <w:vMerge w:val="continue"/>
                  <w:vAlign w:val="center"/>
                </w:tcPr>
                <w:p>
                  <w:pPr>
                    <w:spacing w:line="360" w:lineRule="exact"/>
                    <w:jc w:val="center"/>
                    <w:rPr>
                      <w:color w:val="auto"/>
                      <w:szCs w:val="21"/>
                    </w:rPr>
                  </w:pPr>
                </w:p>
              </w:tc>
              <w:tc>
                <w:tcPr>
                  <w:tcW w:w="1259" w:type="dxa"/>
                  <w:vMerge w:val="continue"/>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61"/>
                    <w:numPr>
                      <w:ilvl w:val="0"/>
                      <w:numId w:val="20"/>
                    </w:numPr>
                    <w:spacing w:line="360" w:lineRule="exact"/>
                    <w:ind w:left="0" w:firstLine="0" w:firstLineChars="0"/>
                    <w:jc w:val="center"/>
                    <w:rPr>
                      <w:rFonts w:ascii="Times New Roman" w:hAnsi="Times New Roman"/>
                      <w:color w:val="auto"/>
                      <w:szCs w:val="21"/>
                    </w:rPr>
                  </w:pPr>
                </w:p>
              </w:tc>
              <w:tc>
                <w:tcPr>
                  <w:tcW w:w="970" w:type="dxa"/>
                  <w:vMerge w:val="continue"/>
                  <w:vAlign w:val="center"/>
                </w:tcPr>
                <w:p>
                  <w:pPr>
                    <w:spacing w:line="360" w:lineRule="exact"/>
                    <w:jc w:val="center"/>
                    <w:rPr>
                      <w:color w:val="auto"/>
                      <w:szCs w:val="21"/>
                    </w:rPr>
                  </w:pPr>
                </w:p>
              </w:tc>
              <w:tc>
                <w:tcPr>
                  <w:tcW w:w="1035"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污油罐</w:t>
                  </w:r>
                </w:p>
              </w:tc>
              <w:tc>
                <w:tcPr>
                  <w:tcW w:w="753" w:type="dxa"/>
                  <w:vAlign w:val="center"/>
                </w:tcPr>
                <w:p>
                  <w:pPr>
                    <w:spacing w:line="360" w:lineRule="exact"/>
                    <w:jc w:val="center"/>
                    <w:rPr>
                      <w:rFonts w:hint="eastAsia" w:eastAsia="宋体"/>
                      <w:color w:val="auto"/>
                      <w:szCs w:val="21"/>
                      <w:lang w:eastAsia="zh-CN"/>
                    </w:rPr>
                  </w:pPr>
                  <w:r>
                    <w:rPr>
                      <w:rFonts w:hint="eastAsia"/>
                      <w:color w:val="auto"/>
                      <w:szCs w:val="21"/>
                      <w:lang w:eastAsia="zh-CN"/>
                    </w:rPr>
                    <w:t>降质油</w:t>
                  </w:r>
                </w:p>
              </w:tc>
              <w:tc>
                <w:tcPr>
                  <w:tcW w:w="1117" w:type="dxa"/>
                  <w:vMerge w:val="continue"/>
                  <w:vAlign w:val="center"/>
                </w:tcPr>
                <w:p>
                  <w:pPr>
                    <w:spacing w:line="360" w:lineRule="exact"/>
                    <w:jc w:val="center"/>
                    <w:rPr>
                      <w:color w:val="auto"/>
                      <w:szCs w:val="21"/>
                    </w:rPr>
                  </w:pPr>
                </w:p>
              </w:tc>
              <w:tc>
                <w:tcPr>
                  <w:tcW w:w="967" w:type="dxa"/>
                  <w:vMerge w:val="continue"/>
                  <w:vAlign w:val="center"/>
                </w:tcPr>
                <w:p>
                  <w:pPr>
                    <w:spacing w:line="360" w:lineRule="exact"/>
                    <w:jc w:val="center"/>
                    <w:rPr>
                      <w:color w:val="auto"/>
                      <w:szCs w:val="21"/>
                    </w:rPr>
                  </w:pPr>
                </w:p>
              </w:tc>
              <w:tc>
                <w:tcPr>
                  <w:tcW w:w="1205" w:type="dxa"/>
                  <w:vMerge w:val="continue"/>
                  <w:vAlign w:val="center"/>
                </w:tcPr>
                <w:p>
                  <w:pPr>
                    <w:spacing w:line="360" w:lineRule="exact"/>
                    <w:jc w:val="center"/>
                    <w:rPr>
                      <w:color w:val="auto"/>
                      <w:szCs w:val="21"/>
                    </w:rPr>
                  </w:pPr>
                </w:p>
              </w:tc>
              <w:tc>
                <w:tcPr>
                  <w:tcW w:w="786" w:type="dxa"/>
                  <w:vMerge w:val="continue"/>
                  <w:vAlign w:val="center"/>
                </w:tcPr>
                <w:p>
                  <w:pPr>
                    <w:spacing w:line="360" w:lineRule="exact"/>
                    <w:jc w:val="center"/>
                    <w:rPr>
                      <w:color w:val="auto"/>
                      <w:szCs w:val="21"/>
                    </w:rPr>
                  </w:pPr>
                </w:p>
              </w:tc>
              <w:tc>
                <w:tcPr>
                  <w:tcW w:w="1259" w:type="dxa"/>
                  <w:vMerge w:val="continue"/>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w:t>
                  </w:r>
                </w:p>
              </w:tc>
              <w:tc>
                <w:tcPr>
                  <w:tcW w:w="970" w:type="dxa"/>
                  <w:vMerge w:val="continue"/>
                  <w:vAlign w:val="center"/>
                </w:tcPr>
                <w:p>
                  <w:pPr>
                    <w:spacing w:line="360" w:lineRule="exact"/>
                    <w:jc w:val="center"/>
                    <w:rPr>
                      <w:color w:val="auto"/>
                      <w:szCs w:val="21"/>
                    </w:rPr>
                  </w:pPr>
                </w:p>
              </w:tc>
              <w:tc>
                <w:tcPr>
                  <w:tcW w:w="1035"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废活性炭暂存区</w:t>
                  </w:r>
                </w:p>
              </w:tc>
              <w:tc>
                <w:tcPr>
                  <w:tcW w:w="753"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废活性炭</w:t>
                  </w:r>
                </w:p>
              </w:tc>
              <w:tc>
                <w:tcPr>
                  <w:tcW w:w="1117" w:type="dxa"/>
                  <w:vAlign w:val="center"/>
                </w:tcPr>
                <w:p>
                  <w:pPr>
                    <w:spacing w:line="360" w:lineRule="exact"/>
                    <w:jc w:val="center"/>
                    <w:rPr>
                      <w:color w:val="auto"/>
                      <w:szCs w:val="21"/>
                    </w:rPr>
                  </w:pPr>
                  <w:r>
                    <w:rPr>
                      <w:color w:val="auto"/>
                      <w:szCs w:val="21"/>
                    </w:rPr>
                    <w:t>泄漏</w:t>
                  </w:r>
                </w:p>
              </w:tc>
              <w:tc>
                <w:tcPr>
                  <w:tcW w:w="967" w:type="dxa"/>
                  <w:vMerge w:val="continue"/>
                  <w:vAlign w:val="center"/>
                </w:tcPr>
                <w:p>
                  <w:pPr>
                    <w:spacing w:line="360" w:lineRule="exact"/>
                    <w:jc w:val="center"/>
                    <w:rPr>
                      <w:color w:val="auto"/>
                      <w:szCs w:val="21"/>
                    </w:rPr>
                  </w:pPr>
                </w:p>
              </w:tc>
              <w:tc>
                <w:tcPr>
                  <w:tcW w:w="1205" w:type="dxa"/>
                  <w:vMerge w:val="continue"/>
                  <w:vAlign w:val="center"/>
                </w:tcPr>
                <w:p>
                  <w:pPr>
                    <w:spacing w:line="360" w:lineRule="exact"/>
                    <w:jc w:val="center"/>
                    <w:rPr>
                      <w:color w:val="auto"/>
                      <w:szCs w:val="21"/>
                    </w:rPr>
                  </w:pPr>
                </w:p>
              </w:tc>
              <w:tc>
                <w:tcPr>
                  <w:tcW w:w="786" w:type="dxa"/>
                  <w:vMerge w:val="continue"/>
                  <w:vAlign w:val="center"/>
                </w:tcPr>
                <w:p>
                  <w:pPr>
                    <w:spacing w:line="360" w:lineRule="exact"/>
                    <w:jc w:val="center"/>
                    <w:rPr>
                      <w:color w:val="auto"/>
                      <w:szCs w:val="21"/>
                    </w:rPr>
                  </w:pPr>
                </w:p>
              </w:tc>
              <w:tc>
                <w:tcPr>
                  <w:tcW w:w="1259" w:type="dxa"/>
                  <w:vMerge w:val="continue"/>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5</w:t>
                  </w:r>
                </w:p>
              </w:tc>
              <w:tc>
                <w:tcPr>
                  <w:tcW w:w="970" w:type="dxa"/>
                  <w:vMerge w:val="continue"/>
                  <w:vAlign w:val="center"/>
                </w:tcPr>
                <w:p>
                  <w:pPr>
                    <w:spacing w:line="360" w:lineRule="exact"/>
                    <w:jc w:val="center"/>
                    <w:rPr>
                      <w:color w:val="auto"/>
                      <w:szCs w:val="21"/>
                    </w:rPr>
                  </w:pPr>
                </w:p>
              </w:tc>
              <w:tc>
                <w:tcPr>
                  <w:tcW w:w="1035"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废含油抹布暂存区</w:t>
                  </w:r>
                </w:p>
              </w:tc>
              <w:tc>
                <w:tcPr>
                  <w:tcW w:w="753"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废含油抹布及劳保用品</w:t>
                  </w:r>
                </w:p>
              </w:tc>
              <w:tc>
                <w:tcPr>
                  <w:tcW w:w="1117" w:type="dxa"/>
                  <w:vAlign w:val="center"/>
                </w:tcPr>
                <w:p>
                  <w:pPr>
                    <w:spacing w:line="360" w:lineRule="exact"/>
                    <w:jc w:val="center"/>
                    <w:rPr>
                      <w:color w:val="auto"/>
                      <w:szCs w:val="21"/>
                    </w:rPr>
                  </w:pPr>
                  <w:r>
                    <w:rPr>
                      <w:color w:val="auto"/>
                      <w:szCs w:val="21"/>
                    </w:rPr>
                    <w:t>泄漏</w:t>
                  </w:r>
                </w:p>
              </w:tc>
              <w:tc>
                <w:tcPr>
                  <w:tcW w:w="967" w:type="dxa"/>
                  <w:vMerge w:val="continue"/>
                  <w:vAlign w:val="center"/>
                </w:tcPr>
                <w:p>
                  <w:pPr>
                    <w:spacing w:line="360" w:lineRule="exact"/>
                    <w:jc w:val="center"/>
                    <w:rPr>
                      <w:color w:val="auto"/>
                      <w:szCs w:val="21"/>
                    </w:rPr>
                  </w:pPr>
                </w:p>
              </w:tc>
              <w:tc>
                <w:tcPr>
                  <w:tcW w:w="1205" w:type="dxa"/>
                  <w:vMerge w:val="continue"/>
                  <w:vAlign w:val="center"/>
                </w:tcPr>
                <w:p>
                  <w:pPr>
                    <w:spacing w:line="360" w:lineRule="exact"/>
                    <w:jc w:val="center"/>
                    <w:rPr>
                      <w:color w:val="auto"/>
                      <w:szCs w:val="21"/>
                    </w:rPr>
                  </w:pPr>
                </w:p>
              </w:tc>
              <w:tc>
                <w:tcPr>
                  <w:tcW w:w="786" w:type="dxa"/>
                  <w:vMerge w:val="continue"/>
                  <w:vAlign w:val="center"/>
                </w:tcPr>
                <w:p>
                  <w:pPr>
                    <w:spacing w:line="360" w:lineRule="exact"/>
                    <w:jc w:val="center"/>
                    <w:rPr>
                      <w:color w:val="auto"/>
                      <w:szCs w:val="21"/>
                    </w:rPr>
                  </w:pPr>
                </w:p>
              </w:tc>
              <w:tc>
                <w:tcPr>
                  <w:tcW w:w="1259" w:type="dxa"/>
                  <w:vMerge w:val="continue"/>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6</w:t>
                  </w:r>
                </w:p>
              </w:tc>
              <w:tc>
                <w:tcPr>
                  <w:tcW w:w="970" w:type="dxa"/>
                  <w:vMerge w:val="continue"/>
                  <w:vAlign w:val="center"/>
                </w:tcPr>
                <w:p>
                  <w:pPr>
                    <w:spacing w:line="360" w:lineRule="exact"/>
                    <w:jc w:val="center"/>
                    <w:rPr>
                      <w:color w:val="auto"/>
                      <w:szCs w:val="21"/>
                    </w:rPr>
                  </w:pPr>
                </w:p>
              </w:tc>
              <w:tc>
                <w:tcPr>
                  <w:tcW w:w="1035" w:type="dxa"/>
                  <w:vAlign w:val="center"/>
                </w:tcPr>
                <w:p>
                  <w:pPr>
                    <w:spacing w:line="360" w:lineRule="exact"/>
                    <w:jc w:val="center"/>
                    <w:rPr>
                      <w:rFonts w:hint="eastAsia"/>
                      <w:color w:val="auto"/>
                      <w:szCs w:val="21"/>
                      <w:lang w:eastAsia="zh-CN"/>
                    </w:rPr>
                  </w:pPr>
                  <w:r>
                    <w:rPr>
                      <w:rFonts w:hint="eastAsia"/>
                      <w:color w:val="auto"/>
                      <w:szCs w:val="21"/>
                      <w:lang w:eastAsia="zh-CN"/>
                    </w:rPr>
                    <w:t>废水暂存区</w:t>
                  </w:r>
                </w:p>
              </w:tc>
              <w:tc>
                <w:tcPr>
                  <w:tcW w:w="753" w:type="dxa"/>
                  <w:vAlign w:val="center"/>
                </w:tcPr>
                <w:p>
                  <w:pPr>
                    <w:spacing w:line="360" w:lineRule="exact"/>
                    <w:jc w:val="center"/>
                    <w:rPr>
                      <w:rFonts w:hint="eastAsia"/>
                      <w:color w:val="auto"/>
                      <w:szCs w:val="21"/>
                      <w:lang w:eastAsia="zh-CN"/>
                    </w:rPr>
                  </w:pPr>
                  <w:r>
                    <w:rPr>
                      <w:rFonts w:hint="eastAsia"/>
                      <w:color w:val="auto"/>
                      <w:szCs w:val="21"/>
                      <w:lang w:eastAsia="zh-CN"/>
                    </w:rPr>
                    <w:t>储罐清洗废水、罐底切水</w:t>
                  </w:r>
                </w:p>
              </w:tc>
              <w:tc>
                <w:tcPr>
                  <w:tcW w:w="1117"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泄漏</w:t>
                  </w:r>
                </w:p>
              </w:tc>
              <w:tc>
                <w:tcPr>
                  <w:tcW w:w="967" w:type="dxa"/>
                  <w:vMerge w:val="continue"/>
                  <w:vAlign w:val="center"/>
                </w:tcPr>
                <w:p>
                  <w:pPr>
                    <w:spacing w:line="360" w:lineRule="exact"/>
                    <w:jc w:val="center"/>
                    <w:rPr>
                      <w:color w:val="auto"/>
                      <w:szCs w:val="21"/>
                    </w:rPr>
                  </w:pPr>
                </w:p>
              </w:tc>
              <w:tc>
                <w:tcPr>
                  <w:tcW w:w="1205" w:type="dxa"/>
                  <w:vMerge w:val="continue"/>
                  <w:vAlign w:val="center"/>
                </w:tcPr>
                <w:p>
                  <w:pPr>
                    <w:spacing w:line="360" w:lineRule="exact"/>
                    <w:jc w:val="center"/>
                    <w:rPr>
                      <w:color w:val="auto"/>
                      <w:szCs w:val="21"/>
                    </w:rPr>
                  </w:pPr>
                </w:p>
              </w:tc>
              <w:tc>
                <w:tcPr>
                  <w:tcW w:w="786" w:type="dxa"/>
                  <w:vMerge w:val="continue"/>
                  <w:vAlign w:val="center"/>
                </w:tcPr>
                <w:p>
                  <w:pPr>
                    <w:spacing w:line="360" w:lineRule="exact"/>
                    <w:jc w:val="center"/>
                    <w:rPr>
                      <w:color w:val="auto"/>
                      <w:szCs w:val="21"/>
                    </w:rPr>
                  </w:pPr>
                </w:p>
              </w:tc>
              <w:tc>
                <w:tcPr>
                  <w:tcW w:w="1259" w:type="dxa"/>
                  <w:vMerge w:val="continue"/>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7</w:t>
                  </w:r>
                </w:p>
              </w:tc>
              <w:tc>
                <w:tcPr>
                  <w:tcW w:w="970"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化验废液集存池</w:t>
                  </w:r>
                </w:p>
              </w:tc>
              <w:tc>
                <w:tcPr>
                  <w:tcW w:w="1035"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化验废液集存池</w:t>
                  </w:r>
                </w:p>
              </w:tc>
              <w:tc>
                <w:tcPr>
                  <w:tcW w:w="753"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化验室废弃酸、碱、化学试剂、废渣</w:t>
                  </w:r>
                </w:p>
              </w:tc>
              <w:tc>
                <w:tcPr>
                  <w:tcW w:w="1117"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泄漏</w:t>
                  </w:r>
                </w:p>
              </w:tc>
              <w:tc>
                <w:tcPr>
                  <w:tcW w:w="967"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池体发生泄漏污染物排放</w:t>
                  </w:r>
                </w:p>
              </w:tc>
              <w:tc>
                <w:tcPr>
                  <w:tcW w:w="1205"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池体破损</w:t>
                  </w:r>
                </w:p>
              </w:tc>
              <w:tc>
                <w:tcPr>
                  <w:tcW w:w="786" w:type="dxa"/>
                  <w:vAlign w:val="center"/>
                </w:tcPr>
                <w:p>
                  <w:pPr>
                    <w:spacing w:line="360" w:lineRule="exact"/>
                    <w:jc w:val="center"/>
                    <w:rPr>
                      <w:color w:val="auto"/>
                      <w:szCs w:val="21"/>
                    </w:rPr>
                  </w:pPr>
                  <w:r>
                    <w:rPr>
                      <w:rFonts w:hint="eastAsia"/>
                      <w:color w:val="auto"/>
                      <w:szCs w:val="21"/>
                      <w:lang w:eastAsia="zh-CN"/>
                    </w:rPr>
                    <w:t>大气、地表水、地下水</w:t>
                  </w:r>
                </w:p>
              </w:tc>
              <w:tc>
                <w:tcPr>
                  <w:tcW w:w="1259" w:type="dxa"/>
                  <w:vAlign w:val="center"/>
                </w:tcPr>
                <w:p>
                  <w:pPr>
                    <w:spacing w:line="360" w:lineRule="exact"/>
                    <w:jc w:val="center"/>
                    <w:rPr>
                      <w:color w:val="auto"/>
                      <w:szCs w:val="21"/>
                    </w:rPr>
                  </w:pPr>
                  <w:r>
                    <w:rPr>
                      <w:rFonts w:hint="eastAsia"/>
                      <w:color w:val="auto"/>
                      <w:szCs w:val="21"/>
                      <w:lang w:eastAsia="zh-CN"/>
                    </w:rPr>
                    <w:t>居民区、双老河、区域地下水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7</w:t>
                  </w:r>
                </w:p>
              </w:tc>
              <w:tc>
                <w:tcPr>
                  <w:tcW w:w="970"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废水处理站</w:t>
                  </w:r>
                </w:p>
              </w:tc>
              <w:tc>
                <w:tcPr>
                  <w:tcW w:w="1035" w:type="dxa"/>
                  <w:vAlign w:val="center"/>
                </w:tcPr>
                <w:p>
                  <w:pPr>
                    <w:spacing w:line="360" w:lineRule="exact"/>
                    <w:jc w:val="center"/>
                    <w:rPr>
                      <w:rFonts w:hint="eastAsia"/>
                      <w:color w:val="auto"/>
                      <w:szCs w:val="21"/>
                      <w:lang w:eastAsia="zh-CN"/>
                    </w:rPr>
                  </w:pPr>
                  <w:r>
                    <w:rPr>
                      <w:rFonts w:hint="eastAsia"/>
                      <w:color w:val="auto"/>
                      <w:szCs w:val="21"/>
                      <w:lang w:eastAsia="zh-CN"/>
                    </w:rPr>
                    <w:t>废水处理设施</w:t>
                  </w:r>
                </w:p>
              </w:tc>
              <w:tc>
                <w:tcPr>
                  <w:tcW w:w="753" w:type="dxa"/>
                  <w:vAlign w:val="center"/>
                </w:tcPr>
                <w:p>
                  <w:pPr>
                    <w:spacing w:line="360" w:lineRule="exact"/>
                    <w:jc w:val="center"/>
                    <w:rPr>
                      <w:rFonts w:hint="eastAsia"/>
                      <w:color w:val="auto"/>
                      <w:szCs w:val="21"/>
                      <w:lang w:eastAsia="zh-CN"/>
                    </w:rPr>
                  </w:pPr>
                  <w:r>
                    <w:rPr>
                      <w:rFonts w:hint="eastAsia"/>
                      <w:color w:val="auto"/>
                      <w:szCs w:val="21"/>
                      <w:lang w:eastAsia="zh-CN"/>
                    </w:rPr>
                    <w:t>含油废水</w:t>
                  </w:r>
                </w:p>
              </w:tc>
              <w:tc>
                <w:tcPr>
                  <w:tcW w:w="1117" w:type="dxa"/>
                  <w:vAlign w:val="center"/>
                </w:tcPr>
                <w:p>
                  <w:pPr>
                    <w:spacing w:line="360" w:lineRule="exact"/>
                    <w:jc w:val="center"/>
                    <w:rPr>
                      <w:rFonts w:hint="eastAsia" w:eastAsia="宋体"/>
                      <w:color w:val="auto"/>
                      <w:szCs w:val="21"/>
                      <w:lang w:eastAsia="zh-CN"/>
                    </w:rPr>
                  </w:pPr>
                  <w:r>
                    <w:rPr>
                      <w:rFonts w:hint="eastAsia"/>
                      <w:color w:val="auto"/>
                      <w:szCs w:val="21"/>
                      <w:lang w:eastAsia="zh-CN"/>
                    </w:rPr>
                    <w:t>泄漏</w:t>
                  </w:r>
                </w:p>
              </w:tc>
              <w:tc>
                <w:tcPr>
                  <w:tcW w:w="967" w:type="dxa"/>
                  <w:vAlign w:val="center"/>
                </w:tcPr>
                <w:p>
                  <w:pPr>
                    <w:spacing w:line="360" w:lineRule="exact"/>
                    <w:jc w:val="center"/>
                    <w:rPr>
                      <w:rFonts w:hint="eastAsia"/>
                      <w:color w:val="auto"/>
                      <w:szCs w:val="21"/>
                      <w:lang w:eastAsia="zh-CN"/>
                    </w:rPr>
                  </w:pPr>
                  <w:r>
                    <w:rPr>
                      <w:rFonts w:hint="eastAsia"/>
                      <w:color w:val="auto"/>
                      <w:szCs w:val="21"/>
                      <w:lang w:eastAsia="zh-CN"/>
                    </w:rPr>
                    <w:t>废水池泄漏引发污染物排放</w:t>
                  </w:r>
                </w:p>
              </w:tc>
              <w:tc>
                <w:tcPr>
                  <w:tcW w:w="1205" w:type="dxa"/>
                  <w:vAlign w:val="center"/>
                </w:tcPr>
                <w:p>
                  <w:pPr>
                    <w:spacing w:line="360" w:lineRule="exact"/>
                    <w:jc w:val="center"/>
                    <w:rPr>
                      <w:rFonts w:hint="eastAsia"/>
                      <w:color w:val="auto"/>
                      <w:szCs w:val="21"/>
                      <w:lang w:eastAsia="zh-CN"/>
                    </w:rPr>
                  </w:pPr>
                  <w:r>
                    <w:rPr>
                      <w:rFonts w:hint="eastAsia"/>
                      <w:color w:val="auto"/>
                      <w:szCs w:val="21"/>
                      <w:lang w:eastAsia="zh-CN"/>
                    </w:rPr>
                    <w:t>废水池破损</w:t>
                  </w:r>
                </w:p>
              </w:tc>
              <w:tc>
                <w:tcPr>
                  <w:tcW w:w="786"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地下水</w:t>
                  </w:r>
                </w:p>
              </w:tc>
              <w:tc>
                <w:tcPr>
                  <w:tcW w:w="1259"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区域地下水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8</w:t>
                  </w:r>
                </w:p>
              </w:tc>
              <w:tc>
                <w:tcPr>
                  <w:tcW w:w="970" w:type="dxa"/>
                  <w:vAlign w:val="center"/>
                </w:tcPr>
                <w:p>
                  <w:pPr>
                    <w:spacing w:line="360" w:lineRule="exact"/>
                    <w:jc w:val="center"/>
                    <w:rPr>
                      <w:rFonts w:hint="eastAsia" w:eastAsia="宋体"/>
                      <w:color w:val="auto"/>
                      <w:szCs w:val="21"/>
                      <w:lang w:eastAsia="zh-CN"/>
                    </w:rPr>
                  </w:pPr>
                  <w:r>
                    <w:rPr>
                      <w:rFonts w:hint="eastAsia"/>
                      <w:color w:val="auto"/>
                      <w:szCs w:val="21"/>
                      <w:lang w:eastAsia="zh-CN"/>
                    </w:rPr>
                    <w:t>装车区</w:t>
                  </w:r>
                </w:p>
              </w:tc>
              <w:tc>
                <w:tcPr>
                  <w:tcW w:w="1035" w:type="dxa"/>
                  <w:vAlign w:val="center"/>
                </w:tcPr>
                <w:p>
                  <w:pPr>
                    <w:spacing w:line="360" w:lineRule="exact"/>
                    <w:jc w:val="center"/>
                    <w:rPr>
                      <w:rFonts w:hint="eastAsia"/>
                      <w:color w:val="auto"/>
                      <w:szCs w:val="21"/>
                      <w:lang w:eastAsia="zh-CN"/>
                    </w:rPr>
                  </w:pPr>
                  <w:r>
                    <w:rPr>
                      <w:rFonts w:hint="eastAsia"/>
                      <w:color w:val="auto"/>
                      <w:szCs w:val="21"/>
                      <w:lang w:eastAsia="zh-CN"/>
                    </w:rPr>
                    <w:t>汽油泵、柴油泵</w:t>
                  </w:r>
                </w:p>
              </w:tc>
              <w:tc>
                <w:tcPr>
                  <w:tcW w:w="753" w:type="dxa"/>
                  <w:vAlign w:val="center"/>
                </w:tcPr>
                <w:p>
                  <w:pPr>
                    <w:spacing w:line="360" w:lineRule="exact"/>
                    <w:jc w:val="center"/>
                    <w:rPr>
                      <w:rFonts w:hint="eastAsia"/>
                      <w:color w:val="auto"/>
                      <w:szCs w:val="21"/>
                      <w:lang w:eastAsia="zh-CN"/>
                    </w:rPr>
                  </w:pPr>
                  <w:r>
                    <w:rPr>
                      <w:rFonts w:hint="eastAsia"/>
                      <w:color w:val="auto"/>
                      <w:szCs w:val="21"/>
                      <w:lang w:eastAsia="zh-CN"/>
                    </w:rPr>
                    <w:t>汽油、柴油</w:t>
                  </w:r>
                </w:p>
              </w:tc>
              <w:tc>
                <w:tcPr>
                  <w:tcW w:w="1117" w:type="dxa"/>
                  <w:vMerge w:val="restart"/>
                  <w:vAlign w:val="center"/>
                </w:tcPr>
                <w:p>
                  <w:pPr>
                    <w:spacing w:line="360" w:lineRule="exact"/>
                    <w:jc w:val="center"/>
                    <w:rPr>
                      <w:color w:val="auto"/>
                      <w:szCs w:val="21"/>
                    </w:rPr>
                  </w:pPr>
                  <w:r>
                    <w:rPr>
                      <w:rFonts w:hint="eastAsia"/>
                      <w:color w:val="auto"/>
                      <w:szCs w:val="21"/>
                      <w:lang w:eastAsia="zh-CN"/>
                    </w:rPr>
                    <w:t>泄漏，火灾、爆炸产生的伴</w:t>
                  </w:r>
                  <w:r>
                    <w:rPr>
                      <w:rFonts w:hint="eastAsia"/>
                      <w:color w:val="auto"/>
                      <w:szCs w:val="21"/>
                      <w:lang w:val="en-US" w:eastAsia="zh-CN"/>
                    </w:rPr>
                    <w:t>/次生污染物排放</w:t>
                  </w:r>
                </w:p>
              </w:tc>
              <w:tc>
                <w:tcPr>
                  <w:tcW w:w="967" w:type="dxa"/>
                  <w:vMerge w:val="restart"/>
                  <w:vAlign w:val="center"/>
                </w:tcPr>
                <w:p>
                  <w:pPr>
                    <w:spacing w:line="360" w:lineRule="exact"/>
                    <w:jc w:val="center"/>
                    <w:rPr>
                      <w:rFonts w:hint="eastAsia"/>
                      <w:color w:val="auto"/>
                      <w:szCs w:val="21"/>
                      <w:lang w:eastAsia="zh-CN"/>
                    </w:rPr>
                  </w:pPr>
                  <w:r>
                    <w:rPr>
                      <w:rFonts w:hint="eastAsia"/>
                      <w:color w:val="auto"/>
                      <w:szCs w:val="21"/>
                      <w:lang w:eastAsia="zh-CN"/>
                    </w:rPr>
                    <w:t>机泵中物料泄漏</w:t>
                  </w:r>
                  <w:r>
                    <w:rPr>
                      <w:rFonts w:hint="eastAsia" w:cs="Times New Roman"/>
                      <w:color w:val="auto"/>
                      <w:spacing w:val="-6"/>
                      <w:sz w:val="21"/>
                      <w:szCs w:val="21"/>
                      <w:highlight w:val="none"/>
                      <w:lang w:eastAsia="zh-CN"/>
                    </w:rPr>
                    <w:t>引起中毒、火灾、爆炸</w:t>
                  </w:r>
                </w:p>
              </w:tc>
              <w:tc>
                <w:tcPr>
                  <w:tcW w:w="1205" w:type="dxa"/>
                  <w:vAlign w:val="center"/>
                </w:tcPr>
                <w:p>
                  <w:pPr>
                    <w:spacing w:line="360" w:lineRule="exact"/>
                    <w:jc w:val="center"/>
                    <w:rPr>
                      <w:rFonts w:hint="eastAsia"/>
                      <w:color w:val="auto"/>
                      <w:szCs w:val="21"/>
                      <w:lang w:eastAsia="zh-CN"/>
                    </w:rPr>
                  </w:pPr>
                  <w:r>
                    <w:rPr>
                      <w:rFonts w:hint="eastAsia"/>
                      <w:color w:val="auto"/>
                      <w:szCs w:val="21"/>
                      <w:lang w:eastAsia="zh-CN"/>
                    </w:rPr>
                    <w:t>机泵破损</w:t>
                  </w:r>
                </w:p>
              </w:tc>
              <w:tc>
                <w:tcPr>
                  <w:tcW w:w="786" w:type="dxa"/>
                  <w:vMerge w:val="restart"/>
                  <w:vAlign w:val="center"/>
                </w:tcPr>
                <w:p>
                  <w:pPr>
                    <w:spacing w:line="360" w:lineRule="exact"/>
                    <w:jc w:val="center"/>
                    <w:rPr>
                      <w:color w:val="auto"/>
                      <w:szCs w:val="21"/>
                    </w:rPr>
                  </w:pPr>
                  <w:r>
                    <w:rPr>
                      <w:rFonts w:hint="eastAsia"/>
                      <w:color w:val="auto"/>
                      <w:szCs w:val="21"/>
                      <w:lang w:eastAsia="zh-CN"/>
                    </w:rPr>
                    <w:t>大气、地表水、地下水</w:t>
                  </w:r>
                </w:p>
              </w:tc>
              <w:tc>
                <w:tcPr>
                  <w:tcW w:w="1259" w:type="dxa"/>
                  <w:vMerge w:val="restart"/>
                  <w:vAlign w:val="center"/>
                </w:tcPr>
                <w:p>
                  <w:pPr>
                    <w:spacing w:line="360" w:lineRule="exact"/>
                    <w:jc w:val="center"/>
                    <w:rPr>
                      <w:color w:val="auto"/>
                      <w:szCs w:val="21"/>
                    </w:rPr>
                  </w:pPr>
                  <w:r>
                    <w:rPr>
                      <w:rFonts w:hint="eastAsia"/>
                      <w:color w:val="auto"/>
                      <w:szCs w:val="21"/>
                      <w:lang w:eastAsia="zh-CN"/>
                    </w:rPr>
                    <w:t>居民区、双老河、区域地下水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9</w:t>
                  </w:r>
                </w:p>
              </w:tc>
              <w:tc>
                <w:tcPr>
                  <w:tcW w:w="970" w:type="dxa"/>
                  <w:vAlign w:val="center"/>
                </w:tcPr>
                <w:p>
                  <w:pPr>
                    <w:spacing w:line="360" w:lineRule="exact"/>
                    <w:jc w:val="center"/>
                    <w:rPr>
                      <w:rFonts w:hint="eastAsia" w:eastAsia="宋体"/>
                      <w:color w:val="auto"/>
                      <w:szCs w:val="21"/>
                      <w:lang w:eastAsia="zh-CN"/>
                    </w:rPr>
                  </w:pPr>
                  <w:r>
                    <w:rPr>
                      <w:rFonts w:hint="eastAsia"/>
                      <w:color w:val="auto"/>
                      <w:szCs w:val="21"/>
                      <w:lang w:eastAsia="zh-CN"/>
                    </w:rPr>
                    <w:t>卸车区</w:t>
                  </w:r>
                </w:p>
              </w:tc>
              <w:tc>
                <w:tcPr>
                  <w:tcW w:w="1035" w:type="dxa"/>
                  <w:vAlign w:val="center"/>
                </w:tcPr>
                <w:p>
                  <w:pPr>
                    <w:spacing w:line="360" w:lineRule="exact"/>
                    <w:jc w:val="center"/>
                    <w:rPr>
                      <w:rFonts w:hint="eastAsia"/>
                      <w:color w:val="auto"/>
                      <w:szCs w:val="21"/>
                      <w:lang w:eastAsia="zh-CN"/>
                    </w:rPr>
                  </w:pPr>
                  <w:r>
                    <w:rPr>
                      <w:rFonts w:hint="eastAsia"/>
                      <w:color w:val="auto"/>
                      <w:szCs w:val="21"/>
                      <w:lang w:eastAsia="zh-CN"/>
                    </w:rPr>
                    <w:t>汽油泵、柴油泵</w:t>
                  </w:r>
                </w:p>
              </w:tc>
              <w:tc>
                <w:tcPr>
                  <w:tcW w:w="753" w:type="dxa"/>
                  <w:vAlign w:val="center"/>
                </w:tcPr>
                <w:p>
                  <w:pPr>
                    <w:spacing w:line="360" w:lineRule="exact"/>
                    <w:jc w:val="center"/>
                    <w:rPr>
                      <w:rFonts w:hint="eastAsia"/>
                      <w:color w:val="auto"/>
                      <w:szCs w:val="21"/>
                      <w:lang w:eastAsia="zh-CN"/>
                    </w:rPr>
                  </w:pPr>
                  <w:r>
                    <w:rPr>
                      <w:rFonts w:hint="eastAsia"/>
                      <w:color w:val="auto"/>
                      <w:szCs w:val="21"/>
                      <w:lang w:eastAsia="zh-CN"/>
                    </w:rPr>
                    <w:t>汽油、柴油</w:t>
                  </w:r>
                </w:p>
              </w:tc>
              <w:tc>
                <w:tcPr>
                  <w:tcW w:w="1117" w:type="dxa"/>
                  <w:vMerge w:val="continue"/>
                  <w:vAlign w:val="center"/>
                </w:tcPr>
                <w:p>
                  <w:pPr>
                    <w:spacing w:line="360" w:lineRule="exact"/>
                    <w:jc w:val="center"/>
                    <w:rPr>
                      <w:color w:val="auto"/>
                      <w:szCs w:val="21"/>
                    </w:rPr>
                  </w:pPr>
                </w:p>
              </w:tc>
              <w:tc>
                <w:tcPr>
                  <w:tcW w:w="967" w:type="dxa"/>
                  <w:vMerge w:val="continue"/>
                  <w:vAlign w:val="center"/>
                </w:tcPr>
                <w:p>
                  <w:pPr>
                    <w:spacing w:line="360" w:lineRule="exact"/>
                    <w:jc w:val="center"/>
                    <w:rPr>
                      <w:color w:val="auto"/>
                      <w:szCs w:val="21"/>
                    </w:rPr>
                  </w:pPr>
                </w:p>
              </w:tc>
              <w:tc>
                <w:tcPr>
                  <w:tcW w:w="1205" w:type="dxa"/>
                  <w:vAlign w:val="center"/>
                </w:tcPr>
                <w:p>
                  <w:pPr>
                    <w:spacing w:line="360" w:lineRule="exact"/>
                    <w:jc w:val="center"/>
                    <w:rPr>
                      <w:color w:val="auto"/>
                      <w:szCs w:val="21"/>
                    </w:rPr>
                  </w:pPr>
                  <w:r>
                    <w:rPr>
                      <w:rFonts w:hint="eastAsia"/>
                      <w:color w:val="auto"/>
                      <w:szCs w:val="21"/>
                      <w:lang w:eastAsia="zh-CN"/>
                    </w:rPr>
                    <w:t>机泵破损</w:t>
                  </w:r>
                </w:p>
              </w:tc>
              <w:tc>
                <w:tcPr>
                  <w:tcW w:w="786" w:type="dxa"/>
                  <w:vMerge w:val="continue"/>
                  <w:vAlign w:val="center"/>
                </w:tcPr>
                <w:p>
                  <w:pPr>
                    <w:spacing w:line="360" w:lineRule="exact"/>
                    <w:jc w:val="center"/>
                    <w:rPr>
                      <w:color w:val="auto"/>
                      <w:szCs w:val="21"/>
                    </w:rPr>
                  </w:pPr>
                </w:p>
              </w:tc>
              <w:tc>
                <w:tcPr>
                  <w:tcW w:w="1259" w:type="dxa"/>
                  <w:vMerge w:val="continue"/>
                  <w:vAlign w:val="center"/>
                </w:tcPr>
                <w:p>
                  <w:pPr>
                    <w:spacing w:line="3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10</w:t>
                  </w:r>
                </w:p>
              </w:tc>
              <w:tc>
                <w:tcPr>
                  <w:tcW w:w="970"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停车场</w:t>
                  </w:r>
                </w:p>
              </w:tc>
              <w:tc>
                <w:tcPr>
                  <w:tcW w:w="1035"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槽车</w:t>
                  </w:r>
                </w:p>
              </w:tc>
              <w:tc>
                <w:tcPr>
                  <w:tcW w:w="753"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汽油、柴油</w:t>
                  </w:r>
                </w:p>
              </w:tc>
              <w:tc>
                <w:tcPr>
                  <w:tcW w:w="1117" w:type="dxa"/>
                  <w:vMerge w:val="continue"/>
                  <w:vAlign w:val="center"/>
                </w:tcPr>
                <w:p>
                  <w:pPr>
                    <w:spacing w:line="360" w:lineRule="exact"/>
                    <w:jc w:val="center"/>
                    <w:rPr>
                      <w:color w:val="auto"/>
                      <w:szCs w:val="21"/>
                    </w:rPr>
                  </w:pPr>
                </w:p>
              </w:tc>
              <w:tc>
                <w:tcPr>
                  <w:tcW w:w="967"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槽车中物料泄漏引起中毒、火灾、爆炸</w:t>
                  </w:r>
                </w:p>
              </w:tc>
              <w:tc>
                <w:tcPr>
                  <w:tcW w:w="1205" w:type="dxa"/>
                  <w:vAlign w:val="center"/>
                </w:tcPr>
                <w:p>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槽车设备缺陷、腐蚀、材料老化，违章操作</w:t>
                  </w:r>
                </w:p>
              </w:tc>
              <w:tc>
                <w:tcPr>
                  <w:tcW w:w="786" w:type="dxa"/>
                  <w:vMerge w:val="continue"/>
                  <w:vAlign w:val="center"/>
                </w:tcPr>
                <w:p>
                  <w:pPr>
                    <w:spacing w:line="360" w:lineRule="exact"/>
                    <w:jc w:val="center"/>
                    <w:rPr>
                      <w:color w:val="auto"/>
                      <w:szCs w:val="21"/>
                    </w:rPr>
                  </w:pPr>
                </w:p>
              </w:tc>
              <w:tc>
                <w:tcPr>
                  <w:tcW w:w="1259" w:type="dxa"/>
                  <w:vMerge w:val="continue"/>
                  <w:vAlign w:val="center"/>
                </w:tcPr>
                <w:p>
                  <w:pPr>
                    <w:spacing w:line="360" w:lineRule="exact"/>
                    <w:jc w:val="center"/>
                    <w:rPr>
                      <w:color w:val="auto"/>
                      <w:szCs w:val="21"/>
                    </w:rPr>
                  </w:pPr>
                </w:p>
              </w:tc>
            </w:tr>
          </w:tbl>
          <w:p>
            <w:pPr>
              <w:pStyle w:val="2"/>
              <w:rPr>
                <w:color w:val="auto"/>
              </w:rPr>
            </w:pP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（4）风险事故情形分析</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1）事故案例统计分析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b/>
                <w:bCs/>
                <w:color w:val="auto"/>
                <w:sz w:val="24"/>
                <w:szCs w:val="24"/>
                <w:highlight w:val="none"/>
                <w:lang w:val="en-US" w:eastAsia="zh-CN"/>
              </w:rPr>
            </w:pPr>
            <w:r>
              <w:rPr>
                <w:rFonts w:hint="eastAsia" w:cs="Times New Roman"/>
                <w:color w:val="auto"/>
                <w:sz w:val="24"/>
                <w:szCs w:val="24"/>
                <w:lang w:val="en-US" w:eastAsia="zh-CN"/>
              </w:rPr>
              <w:t>事故案例统计分析见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》中</w:t>
            </w:r>
            <w:r>
              <w:rPr>
                <w:rFonts w:hint="eastAsia" w:cs="Times New Roman"/>
                <w:color w:val="auto"/>
                <w:sz w:val="24"/>
                <w:szCs w:val="24"/>
                <w:lang w:val="en-US" w:eastAsia="zh-CN"/>
              </w:rPr>
              <w:t>4.1</w:t>
            </w:r>
            <w:r>
              <w:rPr>
                <w:rFonts w:hint="eastAsia" w:ascii="Times New Roman" w:hAnsi="Times New Roman" w:eastAsia="宋体" w:cs="Times New Roman"/>
                <w:color w:val="auto"/>
                <w:sz w:val="24"/>
                <w:szCs w:val="24"/>
                <w:lang w:val="en-US" w:eastAsia="zh-CN"/>
              </w:rPr>
              <w:t>章节</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2）最大可信事故分析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①事故原因分析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kern w:val="2"/>
                <w:sz w:val="24"/>
                <w:szCs w:val="24"/>
                <w:lang w:val="en-US" w:eastAsia="zh-CN" w:bidi="ar-SA"/>
              </w:rPr>
              <w:t>本项目储存的汽油、柴油为易燃、易爆物质，并在不同程度上具有毒性危害，一旦发生易挥发物质泄漏事故，伴随蒸汽在空气中传输扩散及发生化学反应过程，将会对有关区域作业人员及其他人员构成威胁，还有可能进一步引发火灾及爆炸事故引发的环境污染事故等。</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除系统设计缺陷、事故泄露等泄露原因外，还有包括关键部件或部位缺陷、安全监测、控制系统故障产生的泄露。</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②危险物质泄露事故规模与概率分析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olor w:val="auto"/>
                <w:sz w:val="24"/>
              </w:rPr>
              <w:t>根据对我国石化行业目前的安全技术状况所做出综合分析，危险物质泄露扩散事故一般可以划分为小型、中型、大型三个等级。</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outlineLvl w:val="9"/>
              <w:rPr>
                <w:rFonts w:hint="eastAsia"/>
                <w:color w:val="auto"/>
                <w:sz w:val="24"/>
              </w:rPr>
            </w:pPr>
            <w:r>
              <w:rPr>
                <w:rFonts w:hint="eastAsia" w:cs="Times New Roman"/>
                <w:color w:val="auto"/>
                <w:sz w:val="24"/>
                <w:szCs w:val="24"/>
                <w:highlight w:val="none"/>
                <w:lang w:eastAsia="zh-CN"/>
              </w:rPr>
              <w:t>小型泄露事故：</w:t>
            </w:r>
            <w:r>
              <w:rPr>
                <w:rFonts w:hint="eastAsia"/>
                <w:color w:val="auto"/>
                <w:sz w:val="24"/>
              </w:rPr>
              <w:t>对汽油、柴油而言，小型泄露事故中形成的危险物质泄漏量不大，因此扩散危险较小，往往不会引起区内环境发生重大变化。根据目前的安全技术水平判断，小型泄露事故发生概率频繁。</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outlineLvl w:val="9"/>
              <w:rPr>
                <w:rFonts w:hint="eastAsia"/>
                <w:color w:val="auto"/>
                <w:sz w:val="24"/>
              </w:rPr>
            </w:pPr>
            <w:r>
              <w:rPr>
                <w:rFonts w:hint="eastAsia" w:cs="Times New Roman"/>
                <w:color w:val="auto"/>
                <w:sz w:val="24"/>
                <w:szCs w:val="24"/>
                <w:highlight w:val="none"/>
                <w:lang w:eastAsia="zh-CN"/>
              </w:rPr>
              <w:t>中型泄露事故：</w:t>
            </w:r>
            <w:r>
              <w:rPr>
                <w:rFonts w:hint="eastAsia"/>
                <w:color w:val="auto"/>
                <w:sz w:val="24"/>
              </w:rPr>
              <w:t>中型泄露事故可能恶化临近区域的职业安全卫生状况，如损害作业人员身体健康等。中型泄露事故对区内环境造成危害的程度及其范围会比较明显。按照我们目前安全管理水平，只要采取了系统有效的安全生产管理措施，就可以明显减少区内发生中型泄露事故的可能性。因此，中型泄露事故发生概率较小。</w:t>
            </w:r>
          </w:p>
          <w:p>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color w:val="auto"/>
                <w:sz w:val="24"/>
                <w:szCs w:val="24"/>
                <w:highlight w:val="none"/>
                <w:lang w:eastAsia="zh-CN"/>
              </w:rPr>
            </w:pPr>
            <w:r>
              <w:rPr>
                <w:rFonts w:hint="eastAsia" w:cs="Times New Roman"/>
                <w:color w:val="auto"/>
                <w:sz w:val="24"/>
                <w:szCs w:val="24"/>
                <w:highlight w:val="none"/>
                <w:lang w:eastAsia="zh-CN"/>
              </w:rPr>
              <w:t>大型泄露事故：</w:t>
            </w:r>
            <w:r>
              <w:rPr>
                <w:rFonts w:hint="eastAsia"/>
                <w:color w:val="auto"/>
                <w:sz w:val="24"/>
              </w:rPr>
              <w:t>储罐引起大量汽油、柴油泄露于陆地、地表水、地下水。虽然本项目汽油、柴油储量较大，但是采取了可燃气体报警仪等设施，发生大型泄漏事故的概率极低。大型泄露事故</w:t>
            </w:r>
            <w:r>
              <w:rPr>
                <w:rFonts w:hint="eastAsia"/>
                <w:color w:val="auto"/>
                <w:sz w:val="24"/>
                <w:lang w:eastAsia="zh-CN"/>
              </w:rPr>
              <w:t>一</w:t>
            </w:r>
            <w:r>
              <w:rPr>
                <w:rFonts w:hint="eastAsia"/>
                <w:color w:val="auto"/>
                <w:sz w:val="24"/>
              </w:rPr>
              <w:t>旦发生，项目生产在一定时间内很可能陷于瘫痪，并且往往伴有人员伤亡和财产损失。与此同时，火灾爆炸和相应的管路破损引起的溢漏、扩散及燃烧等，有可能严重恶化本项目临近区域的空气质量。因此，大型泄漏事故是对周围环境安全和构成严重威胁的灾难性重大事故。</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3）最大可信概率分析</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zCs w:val="24"/>
                <w:highlight w:val="none"/>
                <w:lang w:eastAsia="zh-CN"/>
              </w:rPr>
              <w:t>项目汽油、柴油储罐连接处管径均为</w:t>
            </w:r>
            <w:r>
              <w:rPr>
                <w:rFonts w:hint="eastAsia" w:ascii="Times New Roman" w:hAnsi="Times New Roman" w:eastAsia="宋体" w:cs="Times New Roman"/>
                <w:color w:val="auto"/>
                <w:szCs w:val="24"/>
                <w:highlight w:val="none"/>
                <w:lang w:val="en-US" w:eastAsia="zh-CN"/>
              </w:rPr>
              <w:t>350mm，</w:t>
            </w:r>
            <w:r>
              <w:rPr>
                <w:rFonts w:hint="default" w:ascii="Times New Roman" w:hAnsi="Times New Roman" w:eastAsia="宋体" w:cs="Times New Roman"/>
                <w:color w:val="auto"/>
                <w:szCs w:val="24"/>
                <w:highlight w:val="none"/>
              </w:rPr>
              <w:t>内径&gt;150mm的管道发生全管径泄漏的频率为1.00×10</w:t>
            </w:r>
            <w:r>
              <w:rPr>
                <w:rFonts w:hint="eastAsia" w:ascii="Times New Roman" w:hAnsi="Times New Roman" w:cs="Times New Roman"/>
                <w:color w:val="auto"/>
                <w:szCs w:val="24"/>
                <w:highlight w:val="none"/>
                <w:vertAlign w:val="superscript"/>
                <w:lang w:val="en-US" w:eastAsia="zh-CN"/>
              </w:rPr>
              <w:t>-</w:t>
            </w:r>
            <w:r>
              <w:rPr>
                <w:rFonts w:hint="default" w:ascii="Times New Roman" w:hAnsi="Times New Roman" w:eastAsia="宋体" w:cs="Times New Roman"/>
                <w:color w:val="auto"/>
                <w:szCs w:val="24"/>
                <w:highlight w:val="none"/>
                <w:vertAlign w:val="superscript"/>
              </w:rPr>
              <w:t>7</w:t>
            </w:r>
            <w:r>
              <w:rPr>
                <w:rFonts w:hint="eastAsia" w:ascii="Times New Roman" w:hAnsi="Times New Roman" w:cs="Times New Roman"/>
                <w:color w:val="auto"/>
                <w:szCs w:val="24"/>
                <w:highlight w:val="none"/>
                <w:lang w:val="en-US" w:eastAsia="zh-CN"/>
              </w:rPr>
              <w:t>/</w:t>
            </w:r>
            <w:r>
              <w:rPr>
                <w:rFonts w:hint="default" w:ascii="Times New Roman" w:hAnsi="Times New Roman" w:eastAsia="宋体" w:cs="Times New Roman"/>
                <w:color w:val="auto"/>
                <w:szCs w:val="24"/>
                <w:highlight w:val="none"/>
              </w:rPr>
              <w:t>a，属于小概率事件，选用10%管径泄漏（最大50mm）作为最大可信事故情形</w:t>
            </w:r>
            <w:r>
              <w:rPr>
                <w:rFonts w:hint="eastAsia" w:ascii="Times New Roman" w:hAnsi="Times New Roman" w:eastAsia="宋体" w:cs="Times New Roman"/>
                <w:color w:val="auto"/>
                <w:szCs w:val="24"/>
                <w:highlight w:val="none"/>
                <w:lang w:eastAsia="zh-CN"/>
              </w:rPr>
              <w:t>，</w:t>
            </w:r>
            <w:r>
              <w:rPr>
                <w:rFonts w:hint="eastAsia" w:cs="Times New Roman"/>
                <w:color w:val="auto"/>
                <w:szCs w:val="24"/>
                <w:highlight w:val="none"/>
                <w:lang w:eastAsia="zh-CN"/>
              </w:rPr>
              <w:t>泄漏</w:t>
            </w:r>
            <w:r>
              <w:rPr>
                <w:rFonts w:hint="eastAsia" w:ascii="Times New Roman" w:hAnsi="Times New Roman" w:eastAsia="宋体" w:cs="Times New Roman"/>
                <w:color w:val="auto"/>
                <w:szCs w:val="24"/>
                <w:highlight w:val="none"/>
                <w:lang w:eastAsia="zh-CN"/>
              </w:rPr>
              <w:t>频率为</w:t>
            </w:r>
            <w:r>
              <w:rPr>
                <w:rFonts w:hint="eastAsia" w:ascii="Times New Roman" w:hAnsi="Times New Roman" w:cs="Times New Roman"/>
                <w:color w:val="auto"/>
                <w:sz w:val="24"/>
                <w:szCs w:val="24"/>
                <w:highlight w:val="none"/>
                <w:vertAlign w:val="baseline"/>
                <w:lang w:val="en-US" w:eastAsia="zh-CN"/>
              </w:rPr>
              <w:t>2.40×10</w:t>
            </w:r>
            <w:r>
              <w:rPr>
                <w:rFonts w:hint="eastAsia" w:ascii="Times New Roman" w:hAnsi="Times New Roman" w:cs="Times New Roman"/>
                <w:color w:val="auto"/>
                <w:sz w:val="24"/>
                <w:szCs w:val="24"/>
                <w:highlight w:val="none"/>
                <w:vertAlign w:val="superscript"/>
                <w:lang w:val="en-US" w:eastAsia="zh-CN"/>
              </w:rPr>
              <w:t>-6</w:t>
            </w:r>
            <w:r>
              <w:rPr>
                <w:rFonts w:hint="eastAsia" w:ascii="Times New Roman" w:hAnsi="Times New Roman" w:cs="Times New Roman"/>
                <w:color w:val="auto"/>
                <w:sz w:val="24"/>
                <w:szCs w:val="24"/>
                <w:highlight w:val="none"/>
                <w:vertAlign w:val="baseline"/>
                <w:lang w:val="en-US" w:eastAsia="zh-CN"/>
              </w:rPr>
              <w:t>/（m▪a）</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5</w:t>
            </w:r>
            <w:r>
              <w:rPr>
                <w:rFonts w:hint="eastAsia" w:cs="Times New Roman"/>
                <w:b/>
                <w:bCs/>
                <w:color w:val="auto"/>
                <w:sz w:val="24"/>
                <w:szCs w:val="24"/>
                <w:highlight w:val="none"/>
                <w:lang w:eastAsia="zh-CN"/>
              </w:rPr>
              <w:t>）源项分析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1）风险事故设定</w:t>
            </w:r>
          </w:p>
          <w:p>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最大可信事故及其概率见表</w:t>
            </w:r>
            <w:r>
              <w:rPr>
                <w:rFonts w:hint="eastAsia" w:cs="Times New Roman"/>
                <w:color w:val="auto"/>
                <w:szCs w:val="24"/>
                <w:highlight w:val="none"/>
                <w:lang w:val="en-US" w:eastAsia="zh-CN"/>
              </w:rPr>
              <w:t>4-33</w:t>
            </w:r>
            <w:r>
              <w:rPr>
                <w:rFonts w:hint="eastAsia" w:ascii="Times New Roman" w:hAnsi="Times New Roman" w:cs="Times New Roman"/>
                <w:color w:val="auto"/>
                <w:szCs w:val="24"/>
                <w:highlight w:val="none"/>
                <w:lang w:val="en-US" w:eastAsia="zh-CN"/>
              </w:rPr>
              <w:t>。</w:t>
            </w:r>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eastAsia" w:ascii="Times New Roman" w:hAnsi="Times New Roman" w:cs="Times New Roman"/>
                <w:b/>
                <w:bCs/>
                <w:color w:val="auto"/>
                <w:szCs w:val="24"/>
                <w:highlight w:val="none"/>
                <w:lang w:val="en-US" w:eastAsia="zh-CN"/>
              </w:rPr>
            </w:pPr>
            <w:r>
              <w:rPr>
                <w:rFonts w:hint="eastAsia" w:ascii="Times New Roman" w:hAnsi="Times New Roman" w:cs="Times New Roman"/>
                <w:b/>
                <w:bCs/>
                <w:color w:val="auto"/>
                <w:szCs w:val="24"/>
                <w:highlight w:val="none"/>
                <w:lang w:val="en-US" w:eastAsia="zh-CN"/>
              </w:rPr>
              <w:t>表</w:t>
            </w:r>
            <w:r>
              <w:rPr>
                <w:rFonts w:hint="eastAsia" w:cs="Times New Roman"/>
                <w:b/>
                <w:bCs/>
                <w:color w:val="auto"/>
                <w:szCs w:val="24"/>
                <w:highlight w:val="none"/>
                <w:lang w:val="en-US" w:eastAsia="zh-CN"/>
              </w:rPr>
              <w:t>4-33</w:t>
            </w:r>
            <w:r>
              <w:rPr>
                <w:rFonts w:hint="eastAsia" w:ascii="Times New Roman" w:hAnsi="Times New Roman" w:cs="Times New Roman"/>
                <w:b/>
                <w:bCs/>
                <w:color w:val="auto"/>
                <w:szCs w:val="24"/>
                <w:highlight w:val="none"/>
                <w:lang w:val="en-US" w:eastAsia="zh-CN"/>
              </w:rPr>
              <w:t xml:space="preserve">  最大可信事故情形及概率</w:t>
            </w:r>
          </w:p>
          <w:tbl>
            <w:tblPr>
              <w:tblStyle w:val="2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785"/>
              <w:gridCol w:w="1809"/>
              <w:gridCol w:w="724"/>
              <w:gridCol w:w="655"/>
              <w:gridCol w:w="806"/>
              <w:gridCol w:w="741"/>
              <w:gridCol w:w="919"/>
              <w:gridCol w:w="785"/>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restar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468" w:type="pct"/>
                  <w:vMerge w:val="restar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装置/场所</w:t>
                  </w:r>
                </w:p>
              </w:tc>
              <w:tc>
                <w:tcPr>
                  <w:tcW w:w="1079" w:type="pct"/>
                  <w:vMerge w:val="restar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最大可信事故情形</w:t>
                  </w:r>
                </w:p>
              </w:tc>
              <w:tc>
                <w:tcPr>
                  <w:tcW w:w="432" w:type="pct"/>
                  <w:vMerge w:val="restar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风险因子</w:t>
                  </w:r>
                </w:p>
              </w:tc>
              <w:tc>
                <w:tcPr>
                  <w:tcW w:w="2715" w:type="pct"/>
                  <w:gridSpan w:val="6"/>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468" w:type="pct"/>
                  <w:vMerge w:val="continue"/>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79" w:type="pct"/>
                  <w:vMerge w:val="continue"/>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432" w:type="pct"/>
                  <w:vMerge w:val="continue"/>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391"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操作温度（℃）</w:t>
                  </w:r>
                </w:p>
              </w:tc>
              <w:tc>
                <w:tcPr>
                  <w:tcW w:w="480"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操作压力（MPa）</w:t>
                  </w:r>
                </w:p>
              </w:tc>
              <w:tc>
                <w:tcPr>
                  <w:tcW w:w="442"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泄漏孔径（mm）</w:t>
                  </w:r>
                </w:p>
              </w:tc>
              <w:tc>
                <w:tcPr>
                  <w:tcW w:w="548"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泄漏时间（min）</w:t>
                  </w:r>
                </w:p>
              </w:tc>
              <w:tc>
                <w:tcPr>
                  <w:tcW w:w="468"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泄漏概率</w:t>
                  </w:r>
                </w:p>
              </w:tc>
              <w:tc>
                <w:tcPr>
                  <w:tcW w:w="38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468"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汽油储罐</w:t>
                  </w:r>
                </w:p>
              </w:tc>
              <w:tc>
                <w:tcPr>
                  <w:tcW w:w="1079"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汽油泄漏遇火发生火灾，火灾产生CO在大气中扩散</w:t>
                  </w:r>
                </w:p>
              </w:tc>
              <w:tc>
                <w:tcPr>
                  <w:tcW w:w="432"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w:t>
                  </w:r>
                </w:p>
              </w:tc>
              <w:tc>
                <w:tcPr>
                  <w:tcW w:w="391"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常温</w:t>
                  </w:r>
                </w:p>
              </w:tc>
              <w:tc>
                <w:tcPr>
                  <w:tcW w:w="480"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常压</w:t>
                  </w:r>
                </w:p>
              </w:tc>
              <w:tc>
                <w:tcPr>
                  <w:tcW w:w="442"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w:t>
                  </w:r>
                  <w:r>
                    <w:rPr>
                      <w:rFonts w:hint="eastAsia" w:cs="Times New Roman"/>
                      <w:color w:val="auto"/>
                      <w:sz w:val="21"/>
                      <w:szCs w:val="21"/>
                      <w:highlight w:val="none"/>
                      <w:vertAlign w:val="baseline"/>
                      <w:lang w:val="en-US" w:eastAsia="zh-CN"/>
                    </w:rPr>
                    <w:t>mm，液池半径14.99m</w:t>
                  </w:r>
                </w:p>
              </w:tc>
              <w:tc>
                <w:tcPr>
                  <w:tcW w:w="548"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火灾持续</w:t>
                  </w:r>
                  <w:r>
                    <w:rPr>
                      <w:rFonts w:hint="eastAsia" w:cs="Times New Roman"/>
                      <w:color w:val="auto"/>
                      <w:sz w:val="21"/>
                      <w:szCs w:val="21"/>
                      <w:highlight w:val="none"/>
                      <w:vertAlign w:val="baseline"/>
                      <w:lang w:val="en-US" w:eastAsia="zh-CN"/>
                    </w:rPr>
                    <w:t>10</w:t>
                  </w:r>
                  <w:r>
                    <w:rPr>
                      <w:rFonts w:hint="eastAsia" w:ascii="Times New Roman" w:hAnsi="Times New Roman" w:cs="Times New Roman"/>
                      <w:color w:val="auto"/>
                      <w:sz w:val="21"/>
                      <w:szCs w:val="21"/>
                      <w:highlight w:val="none"/>
                      <w:vertAlign w:val="baseline"/>
                      <w:lang w:val="en-US" w:eastAsia="zh-CN"/>
                    </w:rPr>
                    <w:t>min</w:t>
                  </w:r>
                </w:p>
              </w:tc>
              <w:tc>
                <w:tcPr>
                  <w:tcW w:w="468"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2.40×10</w:t>
                  </w:r>
                  <w:r>
                    <w:rPr>
                      <w:rFonts w:hint="eastAsia" w:ascii="Times New Roman" w:hAnsi="Times New Roman" w:cs="Times New Roman"/>
                      <w:color w:val="auto"/>
                      <w:sz w:val="21"/>
                      <w:szCs w:val="21"/>
                      <w:highlight w:val="none"/>
                      <w:vertAlign w:val="superscript"/>
                      <w:lang w:val="en-US" w:eastAsia="zh-CN"/>
                    </w:rPr>
                    <w:t>-6</w:t>
                  </w:r>
                  <w:r>
                    <w:rPr>
                      <w:rFonts w:hint="eastAsia" w:ascii="Times New Roman" w:hAnsi="Times New Roman" w:cs="Times New Roman"/>
                      <w:color w:val="auto"/>
                      <w:sz w:val="21"/>
                      <w:szCs w:val="21"/>
                      <w:highlight w:val="none"/>
                      <w:vertAlign w:val="baseline"/>
                      <w:lang w:val="en-US" w:eastAsia="zh-CN"/>
                    </w:rPr>
                    <w:t>/（m▪a）</w:t>
                  </w:r>
                </w:p>
              </w:tc>
              <w:tc>
                <w:tcPr>
                  <w:tcW w:w="38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储罐容积5000m</w:t>
                  </w:r>
                  <w:r>
                    <w:rPr>
                      <w:rFonts w:hint="eastAsia" w:ascii="Times New Roman" w:hAnsi="Times New Roman" w:cs="Times New Roman"/>
                      <w:color w:val="auto"/>
                      <w:sz w:val="21"/>
                      <w:szCs w:val="21"/>
                      <w:highlight w:val="none"/>
                      <w:vertAlign w:val="superscript"/>
                      <w:lang w:val="en-US" w:eastAsia="zh-CN"/>
                    </w:rPr>
                    <w:t>3</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2）大气风险事故源强计算</w:t>
            </w:r>
          </w:p>
          <w:p>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cs="Times New Roman"/>
                <w:b/>
                <w:bCs/>
                <w:color w:val="auto"/>
                <w:kern w:val="2"/>
                <w:sz w:val="24"/>
                <w:szCs w:val="24"/>
                <w:lang w:val="en-US" w:eastAsia="zh-CN" w:bidi="ar-SA"/>
              </w:rPr>
            </w:pPr>
            <w:r>
              <w:rPr>
                <w:rFonts w:hint="eastAsia" w:cs="Times New Roman"/>
                <w:color w:val="auto"/>
                <w:sz w:val="24"/>
                <w:szCs w:val="24"/>
                <w:lang w:val="en-US" w:eastAsia="zh-CN"/>
              </w:rPr>
              <w:t>汽油储罐损坏泄漏速率计算结果见表4-34。</w:t>
            </w:r>
          </w:p>
          <w:p>
            <w:pPr>
              <w:keepNext w:val="0"/>
              <w:keepLines w:val="0"/>
              <w:pageBreakBefore w:val="0"/>
              <w:kinsoku/>
              <w:wordWrap/>
              <w:overflowPunct/>
              <w:topLinePunct w:val="0"/>
              <w:autoSpaceDE/>
              <w:autoSpaceDN/>
              <w:bidi w:val="0"/>
              <w:adjustRightInd/>
              <w:snapToGrid/>
              <w:spacing w:line="440" w:lineRule="exact"/>
              <w:ind w:firstLine="482" w:firstLineChars="200"/>
              <w:jc w:val="both"/>
              <w:textAlignment w:val="auto"/>
              <w:outlineLvl w:val="9"/>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表4-34  汽油泄漏速率计算参数和结果表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395"/>
              <w:gridCol w:w="1396"/>
              <w:gridCol w:w="1396"/>
              <w:gridCol w:w="1396"/>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1" w:type="pct"/>
                  <w:vMerge w:val="restar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泄漏物质</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温度（K）</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容器压力（Pa）</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环境压力（Pa）</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裂口面积（m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液体密度（kg/m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1" w:type="pct"/>
                  <w:vMerge w:val="continue"/>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298</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101325</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101325</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0.0009621</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1" w:type="pct"/>
                  <w:vMerge w:val="restar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汽油</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裂口形状</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裂口之上液位高度（m）</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液体泄漏系数</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泄漏速率（kg/s）</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泄漏量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1" w:type="pct"/>
                  <w:vMerge w:val="continue"/>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圆形</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16</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0.65</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8.42</w:t>
                  </w:r>
                </w:p>
              </w:tc>
              <w:tc>
                <w:tcPr>
                  <w:tcW w:w="833"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5.0526</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lang w:val="en-US" w:eastAsia="zh-CN"/>
              </w:rPr>
              <w:t>由上表可知，若储罐管道损坏发生泄漏事故，泄漏时间持续10min，汽油泄漏速率为8.42kg/s、泄漏量为5.052t。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lang w:val="en-US" w:eastAsia="zh-CN"/>
              </w:rPr>
              <w:t>参与燃烧的物质的量为0.00842t/s，故CO的产生量为0.3335kg/s。</w:t>
            </w:r>
          </w:p>
          <w:p>
            <w:pPr>
              <w:pStyle w:val="23"/>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color w:val="auto"/>
                <w:w w:val="100"/>
                <w:kern w:val="2"/>
                <w:sz w:val="24"/>
                <w:szCs w:val="24"/>
                <w:lang w:val="en-US" w:eastAsia="zh-CN" w:bidi="ar-SA"/>
              </w:rPr>
              <w:t>本项目环境风险事故源强见表4-8</w:t>
            </w:r>
            <w:r>
              <w:rPr>
                <w:rFonts w:hint="eastAsia" w:cs="Times New Roman"/>
                <w:color w:val="auto"/>
                <w:w w:val="100"/>
                <w:kern w:val="2"/>
                <w:sz w:val="24"/>
                <w:szCs w:val="24"/>
                <w:lang w:val="en-US" w:eastAsia="zh-CN" w:bidi="ar-SA"/>
              </w:rPr>
              <w:t>35</w:t>
            </w:r>
            <w:r>
              <w:rPr>
                <w:rFonts w:hint="eastAsia" w:ascii="Times New Roman" w:hAnsi="Times New Roman" w:eastAsia="宋体" w:cs="Times New Roman"/>
                <w:color w:val="auto"/>
                <w:w w:val="100"/>
                <w:kern w:val="2"/>
                <w:sz w:val="24"/>
                <w:szCs w:val="24"/>
                <w:lang w:val="en-US" w:eastAsia="zh-CN" w:bidi="ar-SA"/>
              </w:rPr>
              <w:t>。</w:t>
            </w:r>
          </w:p>
          <w:p>
            <w:pPr>
              <w:pStyle w:val="23"/>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both"/>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w:t>
            </w:r>
            <w:r>
              <w:rPr>
                <w:rFonts w:hint="eastAsia" w:cs="Times New Roman"/>
                <w:b/>
                <w:bCs/>
                <w:color w:val="auto"/>
                <w:w w:val="100"/>
                <w:kern w:val="2"/>
                <w:sz w:val="24"/>
                <w:szCs w:val="24"/>
                <w:lang w:val="en-US" w:eastAsia="zh-CN" w:bidi="ar-SA"/>
              </w:rPr>
              <w:t>4-35</w:t>
            </w:r>
            <w:r>
              <w:rPr>
                <w:rFonts w:hint="eastAsia" w:ascii="Times New Roman" w:hAnsi="Times New Roman" w:eastAsia="宋体" w:cs="Times New Roman"/>
                <w:b/>
                <w:bCs/>
                <w:color w:val="auto"/>
                <w:w w:val="100"/>
                <w:kern w:val="2"/>
                <w:sz w:val="24"/>
                <w:szCs w:val="24"/>
                <w:lang w:val="en-US" w:eastAsia="zh-CN" w:bidi="ar-SA"/>
              </w:rPr>
              <w:t xml:space="preserve">  本项目环境风险事故源强一览表</w:t>
            </w:r>
          </w:p>
          <w:tbl>
            <w:tblPr>
              <w:tblStyle w:val="2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286"/>
              <w:gridCol w:w="1169"/>
              <w:gridCol w:w="767"/>
              <w:gridCol w:w="649"/>
              <w:gridCol w:w="945"/>
              <w:gridCol w:w="868"/>
              <w:gridCol w:w="867"/>
              <w:gridCol w:w="72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76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风险事故情形描述</w:t>
                  </w:r>
                </w:p>
              </w:tc>
              <w:tc>
                <w:tcPr>
                  <w:tcW w:w="698"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危险单元</w:t>
                  </w:r>
                </w:p>
              </w:tc>
              <w:tc>
                <w:tcPr>
                  <w:tcW w:w="45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危险物质</w:t>
                  </w:r>
                </w:p>
              </w:tc>
              <w:tc>
                <w:tcPr>
                  <w:tcW w:w="38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影响途径</w:t>
                  </w:r>
                </w:p>
              </w:tc>
              <w:tc>
                <w:tcPr>
                  <w:tcW w:w="564"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释放或泄漏速率/（kg/s）</w:t>
                  </w:r>
                </w:p>
              </w:tc>
              <w:tc>
                <w:tcPr>
                  <w:tcW w:w="51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释放或泄漏时间/min</w:t>
                  </w:r>
                </w:p>
              </w:tc>
              <w:tc>
                <w:tcPr>
                  <w:tcW w:w="51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最大释放或泄漏量/kg</w:t>
                  </w:r>
                </w:p>
              </w:tc>
              <w:tc>
                <w:tcPr>
                  <w:tcW w:w="429"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泄漏液体蒸发量/kg</w:t>
                  </w:r>
                </w:p>
              </w:tc>
              <w:tc>
                <w:tcPr>
                  <w:tcW w:w="422"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其他事故源参数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76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汽油储罐</w:t>
                  </w:r>
                  <w:r>
                    <w:rPr>
                      <w:rFonts w:hint="eastAsia" w:cs="Times New Roman"/>
                      <w:color w:val="auto"/>
                      <w:sz w:val="21"/>
                      <w:szCs w:val="21"/>
                      <w:highlight w:val="none"/>
                      <w:vertAlign w:val="baseline"/>
                      <w:lang w:val="en-US" w:eastAsia="zh-CN"/>
                    </w:rPr>
                    <w:t>泄漏伴生风险</w:t>
                  </w:r>
                </w:p>
              </w:tc>
              <w:tc>
                <w:tcPr>
                  <w:tcW w:w="698"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汽油储罐区</w:t>
                  </w:r>
                </w:p>
              </w:tc>
              <w:tc>
                <w:tcPr>
                  <w:tcW w:w="45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CO</w:t>
                  </w:r>
                </w:p>
              </w:tc>
              <w:tc>
                <w:tcPr>
                  <w:tcW w:w="38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大气</w:t>
                  </w:r>
                </w:p>
              </w:tc>
              <w:tc>
                <w:tcPr>
                  <w:tcW w:w="564"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0.3335</w:t>
                  </w:r>
                </w:p>
              </w:tc>
              <w:tc>
                <w:tcPr>
                  <w:tcW w:w="51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517"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200.1</w:t>
                  </w:r>
                </w:p>
              </w:tc>
              <w:tc>
                <w:tcPr>
                  <w:tcW w:w="429"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422" w:type="pct"/>
                  <w:vAlign w:val="center"/>
                </w:tcPr>
                <w:p>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常温常压</w:t>
                  </w: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3）地表水环境风险事故源强</w:t>
            </w:r>
          </w:p>
          <w:p>
            <w:pPr>
              <w:pageBreakBefore w:val="0"/>
              <w:widowControl w:val="0"/>
              <w:topLinePunct w:val="0"/>
              <w:bidi w:val="0"/>
              <w:adjustRightInd w:val="0"/>
              <w:snapToGrid w:val="0"/>
              <w:spacing w:after="0" w:line="440" w:lineRule="exact"/>
              <w:ind w:left="0"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0"/>
                <w:sz w:val="24"/>
                <w:szCs w:val="24"/>
                <w:u w:val="none"/>
              </w:rPr>
              <w:t>根据《建筑设计防火规范》(GB50016-2006)，</w:t>
            </w:r>
            <w:r>
              <w:rPr>
                <w:rFonts w:hint="default" w:ascii="Times New Roman" w:hAnsi="Times New Roman" w:eastAsia="宋体" w:cs="Times New Roman"/>
                <w:color w:val="auto"/>
                <w:kern w:val="2"/>
                <w:sz w:val="24"/>
                <w:szCs w:val="24"/>
                <w:u w:val="none"/>
                <w:lang w:val="en-US" w:eastAsia="zh-CN" w:bidi="ar-SA"/>
              </w:rPr>
              <w:t>项目基地面积小于100ha，因此本公司消防用水量按需水量最大的储罐计算；根据核算，本公司消防用水量应不小于</w:t>
            </w:r>
            <w:r>
              <w:rPr>
                <w:rFonts w:hint="eastAsia" w:cs="Times New Roman"/>
                <w:color w:val="auto"/>
                <w:kern w:val="2"/>
                <w:sz w:val="24"/>
                <w:szCs w:val="24"/>
                <w:u w:val="none"/>
                <w:lang w:val="en-US" w:eastAsia="zh-CN" w:bidi="ar-SA"/>
              </w:rPr>
              <w:t>55</w:t>
            </w:r>
            <w:r>
              <w:rPr>
                <w:rFonts w:hint="default" w:ascii="Times New Roman" w:hAnsi="Times New Roman" w:eastAsia="宋体" w:cs="Times New Roman"/>
                <w:color w:val="auto"/>
                <w:kern w:val="2"/>
                <w:sz w:val="24"/>
                <w:szCs w:val="24"/>
                <w:u w:val="none"/>
                <w:lang w:val="en-US" w:eastAsia="zh-CN" w:bidi="ar-SA"/>
              </w:rPr>
              <w:t>L/s，火灾延续时间按</w:t>
            </w:r>
            <w:r>
              <w:rPr>
                <w:rFonts w:hint="eastAsia" w:cs="Times New Roman"/>
                <w:color w:val="auto"/>
                <w:kern w:val="2"/>
                <w:sz w:val="24"/>
                <w:szCs w:val="24"/>
                <w:u w:val="none"/>
                <w:lang w:val="en-US" w:eastAsia="zh-CN" w:bidi="ar-SA"/>
              </w:rPr>
              <w:t>6</w:t>
            </w:r>
            <w:r>
              <w:rPr>
                <w:rFonts w:hint="default" w:ascii="Times New Roman" w:hAnsi="Times New Roman" w:eastAsia="宋体" w:cs="Times New Roman"/>
                <w:color w:val="auto"/>
                <w:kern w:val="2"/>
                <w:sz w:val="24"/>
                <w:szCs w:val="24"/>
                <w:u w:val="none"/>
                <w:lang w:val="en-US" w:eastAsia="zh-CN" w:bidi="ar-SA"/>
              </w:rPr>
              <w:t>h计，即一次灭火消防废水即为</w:t>
            </w:r>
            <w:r>
              <w:rPr>
                <w:rFonts w:hint="eastAsia" w:cs="Times New Roman"/>
                <w:color w:val="auto"/>
                <w:kern w:val="2"/>
                <w:sz w:val="24"/>
                <w:szCs w:val="24"/>
                <w:u w:val="none"/>
                <w:lang w:val="en-US" w:eastAsia="zh-CN" w:bidi="ar-SA"/>
              </w:rPr>
              <w:t>1188</w:t>
            </w:r>
            <w:r>
              <w:rPr>
                <w:rFonts w:hint="default" w:ascii="Times New Roman" w:hAnsi="Times New Roman" w:eastAsia="宋体" w:cs="Times New Roman"/>
                <w:color w:val="auto"/>
                <w:kern w:val="2"/>
                <w:sz w:val="24"/>
                <w:szCs w:val="24"/>
                <w:u w:val="none"/>
                <w:lang w:val="en-US" w:eastAsia="zh-CN" w:bidi="ar-SA"/>
              </w:rPr>
              <w:t>m</w:t>
            </w:r>
            <w:r>
              <w:rPr>
                <w:rFonts w:hint="default" w:ascii="Times New Roman" w:hAnsi="Times New Roman" w:eastAsia="宋体" w:cs="Times New Roman"/>
                <w:color w:val="auto"/>
                <w:kern w:val="2"/>
                <w:sz w:val="24"/>
                <w:szCs w:val="24"/>
                <w:u w:val="none"/>
                <w:vertAlign w:val="superscript"/>
                <w:lang w:val="en-US" w:eastAsia="zh-CN" w:bidi="ar-SA"/>
              </w:rPr>
              <w:t>3</w:t>
            </w:r>
            <w:r>
              <w:rPr>
                <w:rFonts w:hint="default" w:ascii="Times New Roman" w:hAnsi="Times New Roman" w:eastAsia="宋体" w:cs="Times New Roman"/>
                <w:color w:val="auto"/>
                <w:kern w:val="2"/>
                <w:sz w:val="24"/>
                <w:szCs w:val="24"/>
                <w:u w:val="none"/>
                <w:lang w:val="en-US" w:eastAsia="zh-CN" w:bidi="ar-SA"/>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kern w:val="2"/>
                <w:sz w:val="24"/>
                <w:szCs w:val="24"/>
                <w:u w:val="none"/>
                <w:lang w:val="en-US" w:eastAsia="zh-CN" w:bidi="ar-SA"/>
              </w:rPr>
              <w:t>油库火灾产生的消防废水其主要污染物为石油类，其浓度在100~200mg/L，本评价以200mg/L计。则项目因消防废水意外排放的石油类为</w:t>
            </w:r>
            <w:r>
              <w:rPr>
                <w:rFonts w:hint="eastAsia" w:cs="Times New Roman"/>
                <w:color w:val="auto"/>
                <w:kern w:val="2"/>
                <w:sz w:val="24"/>
                <w:szCs w:val="24"/>
                <w:u w:val="none"/>
                <w:lang w:val="en-US" w:eastAsia="zh-CN" w:bidi="ar-SA"/>
              </w:rPr>
              <w:t>0.2376</w:t>
            </w:r>
            <w:r>
              <w:rPr>
                <w:rFonts w:hint="default" w:ascii="Times New Roman" w:hAnsi="Times New Roman" w:eastAsia="宋体" w:cs="Times New Roman"/>
                <w:color w:val="auto"/>
                <w:kern w:val="2"/>
                <w:sz w:val="24"/>
                <w:szCs w:val="24"/>
                <w:u w:val="none"/>
                <w:lang w:val="en-US" w:eastAsia="zh-CN" w:bidi="ar-SA"/>
              </w:rPr>
              <w:t>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3）地下水环境风险事故源强</w:t>
            </w:r>
          </w:p>
          <w:p>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pacing w:val="-2"/>
                <w:kern w:val="0"/>
                <w:sz w:val="24"/>
                <w:szCs w:val="20"/>
                <w:lang w:val="en-US" w:eastAsia="zh-CN" w:bidi="ar-SA"/>
              </w:rPr>
              <w:t>本项目地下水环境风险潜势为Ⅰ，评价等级为简单分析，不涉及地下水环境风险事故源强分析。</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6</w:t>
            </w:r>
            <w:r>
              <w:rPr>
                <w:rFonts w:hint="eastAsia" w:cs="Times New Roman"/>
                <w:b/>
                <w:bCs/>
                <w:color w:val="auto"/>
                <w:sz w:val="24"/>
                <w:szCs w:val="24"/>
                <w:highlight w:val="none"/>
                <w:lang w:eastAsia="zh-CN"/>
              </w:rPr>
              <w:t>）环境风险预测与评价</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1）大气环境风险评价</w:t>
            </w:r>
          </w:p>
          <w:p>
            <w:pPr>
              <w:widowControl/>
              <w:spacing w:line="440" w:lineRule="exact"/>
              <w:ind w:firstLine="480" w:firstLineChars="200"/>
              <w:rPr>
                <w:rFonts w:hint="eastAsia"/>
                <w:color w:val="auto"/>
                <w:sz w:val="24"/>
              </w:rPr>
            </w:pPr>
            <w:r>
              <w:rPr>
                <w:rFonts w:hint="default" w:ascii="Times New Roman" w:hAnsi="Times New Roman" w:eastAsia="宋体" w:cs="Times New Roman"/>
                <w:color w:val="auto"/>
                <w:sz w:val="24"/>
                <w:szCs w:val="20"/>
                <w:highlight w:val="none"/>
              </w:rPr>
              <w:t>根据</w:t>
            </w:r>
            <w:r>
              <w:rPr>
                <w:rFonts w:hint="eastAsia" w:ascii="Times New Roman" w:hAnsi="Times New Roman" w:cs="Times New Roman"/>
                <w:color w:val="auto"/>
                <w:sz w:val="24"/>
                <w:szCs w:val="20"/>
                <w:highlight w:val="none"/>
                <w:lang w:val="en-US" w:eastAsia="zh-CN"/>
              </w:rPr>
              <w:t>大气风险</w:t>
            </w:r>
            <w:r>
              <w:rPr>
                <w:rFonts w:hint="default" w:ascii="Times New Roman" w:hAnsi="Times New Roman" w:eastAsia="宋体" w:cs="Times New Roman"/>
                <w:color w:val="auto"/>
                <w:sz w:val="24"/>
                <w:szCs w:val="20"/>
                <w:highlight w:val="none"/>
              </w:rPr>
              <w:t>预测结果</w:t>
            </w:r>
            <w:r>
              <w:rPr>
                <w:rFonts w:hint="eastAsia" w:ascii="Times New Roman" w:hAnsi="Times New Roman" w:cs="Times New Roman"/>
                <w:color w:val="auto"/>
                <w:sz w:val="24"/>
                <w:szCs w:val="20"/>
                <w:highlight w:val="none"/>
                <w:lang w:eastAsia="zh-CN"/>
              </w:rPr>
              <w:t>，</w:t>
            </w:r>
            <w:r>
              <w:rPr>
                <w:rFonts w:hint="eastAsia" w:cs="Times New Roman"/>
                <w:color w:val="auto"/>
                <w:sz w:val="24"/>
                <w:highlight w:val="none"/>
                <w:lang w:val="en-US" w:eastAsia="zh-CN"/>
              </w:rPr>
              <w:t>汽油储罐火灾事故</w:t>
            </w:r>
            <w:r>
              <w:rPr>
                <w:rFonts w:hint="eastAsia" w:ascii="Times New Roman" w:cs="Times New Roman"/>
                <w:color w:val="auto"/>
                <w:sz w:val="24"/>
                <w:highlight w:val="none"/>
                <w:lang w:eastAsia="zh-CN"/>
              </w:rPr>
              <w:t>，</w:t>
            </w:r>
            <w:r>
              <w:rPr>
                <w:rFonts w:hint="eastAsia" w:ascii="Times New Roman" w:cs="Times New Roman"/>
                <w:color w:val="auto"/>
                <w:sz w:val="24"/>
                <w:highlight w:val="none"/>
                <w:lang w:val="en-US" w:eastAsia="zh-CN"/>
              </w:rPr>
              <w:t>最不利气象条件下，</w:t>
            </w:r>
            <w:r>
              <w:rPr>
                <w:rFonts w:hint="eastAsia" w:cs="Times New Roman"/>
                <w:color w:val="auto"/>
                <w:sz w:val="24"/>
                <w:highlight w:val="none"/>
                <w:lang w:val="en-US" w:eastAsia="zh-CN"/>
              </w:rPr>
              <w:t>火灾产生的CO</w:t>
            </w:r>
            <w:r>
              <w:rPr>
                <w:rFonts w:hint="eastAsia" w:ascii="Times New Roman" w:hAnsi="Times New Roman" w:cs="Times New Roman"/>
                <w:color w:val="auto"/>
                <w:w w:val="100"/>
                <w:kern w:val="2"/>
                <w:sz w:val="24"/>
                <w:szCs w:val="24"/>
                <w:lang w:val="en-US" w:eastAsia="zh-CN" w:bidi="ar-SA"/>
              </w:rPr>
              <w:t>浓度达到毒性终点浓度-1的最远距离为</w:t>
            </w:r>
            <w:r>
              <w:rPr>
                <w:rFonts w:hint="eastAsia" w:cs="Times New Roman"/>
                <w:color w:val="auto"/>
                <w:w w:val="100"/>
                <w:kern w:val="2"/>
                <w:sz w:val="24"/>
                <w:szCs w:val="24"/>
                <w:lang w:val="en-US" w:eastAsia="zh-CN" w:bidi="ar-SA"/>
              </w:rPr>
              <w:t>510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冯家沟、张家沟2</w:t>
            </w:r>
            <w:r>
              <w:rPr>
                <w:rFonts w:hint="eastAsia" w:ascii="Times New Roman" w:hAnsi="Times New Roman" w:cs="Times New Roman"/>
                <w:color w:val="auto"/>
                <w:w w:val="100"/>
                <w:kern w:val="2"/>
                <w:sz w:val="24"/>
                <w:szCs w:val="24"/>
                <w:lang w:val="en-US" w:eastAsia="zh-CN" w:bidi="ar-SA"/>
              </w:rPr>
              <w:t>个敏感点；达到毒性终点浓度-2的最远距离为</w:t>
            </w:r>
            <w:r>
              <w:rPr>
                <w:rFonts w:hint="eastAsia" w:cs="Times New Roman"/>
                <w:color w:val="auto"/>
                <w:w w:val="100"/>
                <w:kern w:val="2"/>
                <w:sz w:val="24"/>
                <w:szCs w:val="24"/>
                <w:lang w:val="en-US" w:eastAsia="zh-CN" w:bidi="ar-SA"/>
              </w:rPr>
              <w:t>1190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冯家沟、张家沟、三丰小湾、上院子、黑儿口、平桥社区、散户8</w:t>
            </w:r>
            <w:r>
              <w:rPr>
                <w:rFonts w:hint="eastAsia" w:ascii="Times New Roman" w:hAnsi="Times New Roman" w:cs="Times New Roman"/>
                <w:color w:val="auto"/>
                <w:w w:val="100"/>
                <w:kern w:val="2"/>
                <w:sz w:val="24"/>
                <w:szCs w:val="24"/>
                <w:lang w:val="en-US" w:eastAsia="zh-CN" w:bidi="ar-SA"/>
              </w:rPr>
              <w:t>个敏感点。</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2）地表水环境风险分析</w:t>
            </w:r>
          </w:p>
          <w:p>
            <w:pPr>
              <w:widowControl/>
              <w:spacing w:line="440" w:lineRule="exact"/>
              <w:ind w:firstLine="480" w:firstLineChars="200"/>
              <w:rPr>
                <w:rFonts w:hint="eastAsia"/>
                <w:color w:val="auto"/>
                <w:sz w:val="24"/>
              </w:rPr>
            </w:pPr>
            <w:r>
              <w:rPr>
                <w:rFonts w:hint="eastAsia"/>
                <w:color w:val="auto"/>
                <w:sz w:val="24"/>
                <w:lang w:eastAsia="zh-CN"/>
              </w:rPr>
              <w:t>①</w:t>
            </w:r>
            <w:r>
              <w:rPr>
                <w:rFonts w:hint="eastAsia"/>
                <w:color w:val="auto"/>
                <w:sz w:val="24"/>
              </w:rPr>
              <w:t>储罐、管道泄漏事故环境风险分析</w:t>
            </w:r>
          </w:p>
          <w:p>
            <w:pPr>
              <w:pageBreakBefore w:val="0"/>
              <w:widowControl/>
              <w:topLinePunct w:val="0"/>
              <w:bidi w:val="0"/>
              <w:adjustRightInd w:val="0"/>
              <w:snapToGrid w:val="0"/>
              <w:spacing w:line="440" w:lineRule="exact"/>
              <w:ind w:left="0" w:firstLine="480" w:firstLineChars="200"/>
              <w:jc w:val="both"/>
              <w:textAlignment w:val="baseline"/>
              <w:rPr>
                <w:rFonts w:hint="default" w:ascii="Times New Roman" w:hAnsi="Times New Roman" w:eastAsia="宋体" w:cs="Times New Roman"/>
                <w:bCs/>
                <w:color w:val="auto"/>
                <w:kern w:val="0"/>
                <w:sz w:val="24"/>
                <w:szCs w:val="24"/>
                <w:u w:val="none"/>
              </w:rPr>
            </w:pPr>
            <w:r>
              <w:rPr>
                <w:rFonts w:hint="eastAsia" w:cs="Times New Roman"/>
                <w:color w:val="auto"/>
                <w:kern w:val="0"/>
                <w:sz w:val="24"/>
                <w:szCs w:val="24"/>
                <w:u w:val="none"/>
                <w:lang w:val="en-US" w:eastAsia="zh-CN"/>
              </w:rPr>
              <w:t>正常工况下，双龙镇污水处理厂扩建完成后，</w:t>
            </w:r>
            <w:r>
              <w:rPr>
                <w:rFonts w:hint="default" w:ascii="Times New Roman" w:hAnsi="Times New Roman" w:eastAsia="宋体" w:cs="Times New Roman"/>
                <w:color w:val="auto"/>
                <w:kern w:val="0"/>
                <w:sz w:val="24"/>
                <w:szCs w:val="24"/>
                <w:u w:val="none"/>
              </w:rPr>
              <w:t>项目</w:t>
            </w:r>
            <w:r>
              <w:rPr>
                <w:rFonts w:hint="eastAsia" w:cs="Times New Roman"/>
                <w:color w:val="auto"/>
                <w:kern w:val="0"/>
                <w:sz w:val="24"/>
                <w:szCs w:val="24"/>
                <w:u w:val="none"/>
                <w:lang w:val="en-US" w:eastAsia="zh-CN"/>
              </w:rPr>
              <w:t>生活污水及含油</w:t>
            </w:r>
            <w:r>
              <w:rPr>
                <w:rFonts w:hint="default" w:ascii="Times New Roman" w:hAnsi="Times New Roman" w:eastAsia="宋体" w:cs="Times New Roman"/>
                <w:color w:val="auto"/>
                <w:kern w:val="0"/>
                <w:sz w:val="24"/>
                <w:szCs w:val="24"/>
                <w:u w:val="none"/>
              </w:rPr>
              <w:t>废水</w:t>
            </w:r>
            <w:r>
              <w:rPr>
                <w:rFonts w:hint="eastAsia" w:cs="Times New Roman"/>
                <w:color w:val="auto"/>
                <w:kern w:val="0"/>
                <w:sz w:val="24"/>
                <w:szCs w:val="24"/>
                <w:u w:val="none"/>
                <w:lang w:val="en-US" w:eastAsia="zh-CN"/>
              </w:rPr>
              <w:t>经厂区内污水处理设施处理后</w:t>
            </w:r>
            <w:r>
              <w:rPr>
                <w:rFonts w:hint="default" w:ascii="Times New Roman" w:hAnsi="Times New Roman" w:eastAsia="宋体" w:cs="Times New Roman"/>
                <w:color w:val="auto"/>
                <w:kern w:val="0"/>
                <w:sz w:val="24"/>
                <w:szCs w:val="24"/>
                <w:u w:val="none"/>
              </w:rPr>
              <w:t>进</w:t>
            </w:r>
            <w:r>
              <w:rPr>
                <w:rFonts w:hint="eastAsia" w:cs="Times New Roman"/>
                <w:color w:val="auto"/>
                <w:kern w:val="0"/>
                <w:sz w:val="24"/>
                <w:szCs w:val="24"/>
                <w:u w:val="none"/>
                <w:lang w:val="en-US" w:eastAsia="zh-CN"/>
              </w:rPr>
              <w:t>排入</w:t>
            </w:r>
            <w:r>
              <w:rPr>
                <w:rFonts w:hint="default" w:ascii="Times New Roman" w:hAnsi="Times New Roman" w:eastAsia="宋体" w:cs="Times New Roman"/>
                <w:bCs/>
                <w:color w:val="auto"/>
                <w:kern w:val="0"/>
                <w:sz w:val="24"/>
                <w:szCs w:val="24"/>
                <w:u w:val="none"/>
              </w:rPr>
              <w:t>污水管网</w:t>
            </w:r>
            <w:r>
              <w:rPr>
                <w:rFonts w:hint="eastAsia" w:cs="Times New Roman"/>
                <w:bCs/>
                <w:color w:val="auto"/>
                <w:kern w:val="0"/>
                <w:sz w:val="24"/>
                <w:szCs w:val="24"/>
                <w:u w:val="none"/>
                <w:lang w:val="en-US" w:eastAsia="zh-CN"/>
              </w:rPr>
              <w:t>最终排入</w:t>
            </w:r>
            <w:r>
              <w:rPr>
                <w:rFonts w:hint="default" w:ascii="Times New Roman" w:hAnsi="Times New Roman" w:eastAsia="宋体" w:cs="Times New Roman"/>
                <w:bCs/>
                <w:color w:val="auto"/>
                <w:kern w:val="0"/>
                <w:sz w:val="24"/>
                <w:szCs w:val="24"/>
                <w:u w:val="none"/>
                <w:lang w:eastAsia="zh-CN"/>
              </w:rPr>
              <w:t>双龙镇污水处理厂</w:t>
            </w:r>
            <w:r>
              <w:rPr>
                <w:rFonts w:hint="eastAsia" w:cs="Times New Roman"/>
                <w:bCs/>
                <w:color w:val="auto"/>
                <w:kern w:val="0"/>
                <w:sz w:val="24"/>
                <w:szCs w:val="24"/>
                <w:u w:val="none"/>
                <w:lang w:val="en-US" w:eastAsia="zh-CN"/>
              </w:rPr>
              <w:t>进一步处理，</w:t>
            </w:r>
            <w:r>
              <w:rPr>
                <w:rFonts w:hint="default" w:ascii="Times New Roman" w:cs="Times New Roman"/>
                <w:color w:val="auto"/>
                <w:sz w:val="24"/>
                <w:szCs w:val="24"/>
                <w:lang w:val="en-US" w:eastAsia="zh-CN"/>
              </w:rPr>
              <w:t>不会对所在区域地表水产生污染影响</w:t>
            </w:r>
            <w:r>
              <w:rPr>
                <w:rFonts w:hint="default" w:ascii="Times New Roman" w:hAnsi="Times New Roman" w:eastAsia="宋体" w:cs="Times New Roman"/>
                <w:bCs/>
                <w:color w:val="auto"/>
                <w:kern w:val="0"/>
                <w:sz w:val="24"/>
                <w:szCs w:val="24"/>
                <w:u w:val="none"/>
              </w:rPr>
              <w:t>。</w:t>
            </w:r>
            <w:r>
              <w:rPr>
                <w:rFonts w:hint="eastAsia" w:cs="Times New Roman"/>
                <w:color w:val="auto"/>
                <w:sz w:val="24"/>
                <w:szCs w:val="24"/>
                <w:lang w:val="en-US" w:eastAsia="zh-CN"/>
              </w:rPr>
              <w:t>泄漏</w:t>
            </w:r>
            <w:r>
              <w:rPr>
                <w:rFonts w:hint="default" w:ascii="Times New Roman" w:cs="Times New Roman"/>
                <w:color w:val="auto"/>
                <w:sz w:val="24"/>
                <w:szCs w:val="24"/>
                <w:lang w:val="en-US" w:eastAsia="zh-CN"/>
              </w:rPr>
              <w:t>的危险液态物料，可能会直接或与雨水系统排出厂区，对地表水环境产生影响。</w:t>
            </w:r>
          </w:p>
          <w:p>
            <w:pPr>
              <w:pageBreakBefore w:val="0"/>
              <w:widowControl/>
              <w:topLinePunct w:val="0"/>
              <w:bidi w:val="0"/>
              <w:adjustRightInd w:val="0"/>
              <w:snapToGrid w:val="0"/>
              <w:spacing w:line="440" w:lineRule="exact"/>
              <w:ind w:left="0" w:firstLine="480" w:firstLineChars="200"/>
              <w:jc w:val="both"/>
              <w:textAlignment w:val="baseline"/>
              <w:rPr>
                <w:rFonts w:hint="default" w:ascii="Times New Roman" w:hAnsi="Times New Roman" w:eastAsia="宋体" w:cs="Times New Roman"/>
                <w:color w:val="auto"/>
                <w:kern w:val="0"/>
                <w:sz w:val="24"/>
                <w:szCs w:val="24"/>
                <w:u w:val="none"/>
                <w:lang w:val="en-US" w:eastAsia="zh-CN"/>
              </w:rPr>
            </w:pPr>
            <w:r>
              <w:rPr>
                <w:rFonts w:hint="eastAsia" w:cs="Times New Roman"/>
                <w:color w:val="auto"/>
                <w:kern w:val="0"/>
                <w:sz w:val="24"/>
                <w:szCs w:val="24"/>
                <w:u w:val="none"/>
                <w:lang w:val="en-US" w:eastAsia="zh-CN"/>
              </w:rPr>
              <w:t>本项目废水经厂区预处理达标后排入双龙镇污水处理厂护处理，</w:t>
            </w:r>
            <w:r>
              <w:rPr>
                <w:rFonts w:hint="default" w:ascii="Times New Roman" w:cs="Times New Roman"/>
                <w:color w:val="auto"/>
                <w:sz w:val="24"/>
                <w:szCs w:val="24"/>
                <w:lang w:val="en-US" w:eastAsia="zh-CN"/>
              </w:rPr>
              <w:t>不直接外排地表水体，大大降低了对周围地表水体造成污染影响的可能性。初期雨水由</w:t>
            </w:r>
            <w:r>
              <w:rPr>
                <w:rFonts w:hint="eastAsia" w:cs="Times New Roman"/>
                <w:color w:val="auto"/>
                <w:sz w:val="24"/>
                <w:szCs w:val="24"/>
                <w:lang w:val="en-US" w:eastAsia="zh-CN"/>
              </w:rPr>
              <w:t>密闭式调节池</w:t>
            </w:r>
            <w:r>
              <w:rPr>
                <w:rFonts w:hint="default" w:ascii="Times New Roman" w:cs="Times New Roman"/>
                <w:color w:val="auto"/>
                <w:sz w:val="24"/>
                <w:szCs w:val="24"/>
                <w:lang w:val="en-US" w:eastAsia="zh-CN"/>
              </w:rPr>
              <w:t>进行收集，</w:t>
            </w:r>
            <w:r>
              <w:rPr>
                <w:rFonts w:hint="eastAsia" w:ascii="Times New Roman" w:cs="Times New Roman"/>
                <w:color w:val="auto"/>
                <w:sz w:val="24"/>
                <w:szCs w:val="24"/>
                <w:lang w:val="en-US" w:eastAsia="zh-CN"/>
              </w:rPr>
              <w:t>清洁雨水排放前进入雨水监控池，监控池设置开闭阀门，只有经水质检测达到清洁雨水标准后才能开启管道阀门，清洁雨水排放入地表水，该过程发生危险化工品进入雨水管网并泄漏入地表水的可能性很小</w:t>
            </w:r>
            <w:r>
              <w:rPr>
                <w:rFonts w:hint="default" w:ascii="Times New Roman" w:cs="Times New Roman"/>
                <w:color w:val="auto"/>
                <w:sz w:val="24"/>
                <w:szCs w:val="24"/>
                <w:lang w:val="en-US" w:eastAsia="zh-CN"/>
              </w:rPr>
              <w:t>。</w:t>
            </w:r>
          </w:p>
          <w:p>
            <w:pPr>
              <w:widowControl/>
              <w:spacing w:line="440" w:lineRule="exact"/>
              <w:ind w:firstLine="480" w:firstLineChars="200"/>
              <w:rPr>
                <w:rFonts w:hint="eastAsia"/>
                <w:color w:val="auto"/>
                <w:sz w:val="24"/>
              </w:rPr>
            </w:pPr>
            <w:r>
              <w:rPr>
                <w:rFonts w:hint="default" w:ascii="Times New Roman" w:cs="Times New Roman"/>
                <w:color w:val="auto"/>
                <w:sz w:val="24"/>
                <w:szCs w:val="24"/>
                <w:lang w:val="en-US" w:eastAsia="zh-CN"/>
              </w:rPr>
              <w:t>本项目采取严格的事故废水三级防控体系，</w:t>
            </w:r>
            <w:r>
              <w:rPr>
                <w:rFonts w:hint="eastAsia" w:ascii="Times New Roman" w:cs="Times New Roman"/>
                <w:color w:val="auto"/>
                <w:sz w:val="24"/>
                <w:szCs w:val="24"/>
                <w:lang w:val="en-US" w:eastAsia="zh-CN"/>
              </w:rPr>
              <w:t>按相关要求罐区设置防火堤及排水沟</w:t>
            </w:r>
            <w:r>
              <w:rPr>
                <w:rFonts w:hint="default" w:ascii="Times New Roman" w:cs="Times New Roman"/>
                <w:color w:val="auto"/>
                <w:sz w:val="24"/>
                <w:szCs w:val="24"/>
                <w:lang w:val="en-US" w:eastAsia="zh-CN"/>
              </w:rPr>
              <w:t>，设置的事故废水收集设施容积满足事故废水暂存的需要，防止废水事故废水直接排放，落实相应风险事故污水措施的情况下，在发生风险事故时，不会造成携带污染物的废水进入外环境，对地表水环境产生不利影响。</w:t>
            </w:r>
          </w:p>
          <w:p>
            <w:pPr>
              <w:widowControl/>
              <w:spacing w:line="440" w:lineRule="exact"/>
              <w:ind w:firstLine="480" w:firstLineChars="200"/>
              <w:rPr>
                <w:rFonts w:hint="eastAsia"/>
                <w:color w:val="auto"/>
                <w:sz w:val="24"/>
              </w:rPr>
            </w:pPr>
            <w:r>
              <w:rPr>
                <w:rFonts w:hint="eastAsia"/>
                <w:color w:val="auto"/>
                <w:sz w:val="24"/>
                <w:lang w:eastAsia="zh-CN"/>
              </w:rPr>
              <w:t>②</w:t>
            </w:r>
            <w:r>
              <w:rPr>
                <w:rFonts w:hint="eastAsia"/>
                <w:color w:val="auto"/>
                <w:sz w:val="24"/>
              </w:rPr>
              <w:t>危险废物泄露事故环境风险分析</w:t>
            </w:r>
          </w:p>
          <w:p>
            <w:pPr>
              <w:widowControl/>
              <w:spacing w:line="440" w:lineRule="exact"/>
              <w:ind w:firstLine="480" w:firstLineChars="200"/>
              <w:rPr>
                <w:rFonts w:hint="eastAsia"/>
                <w:color w:val="auto"/>
                <w:sz w:val="24"/>
              </w:rPr>
            </w:pPr>
            <w:r>
              <w:rPr>
                <w:rFonts w:hint="eastAsia"/>
                <w:color w:val="auto"/>
                <w:sz w:val="24"/>
              </w:rPr>
              <w:t>项目设置1</w:t>
            </w:r>
            <w:r>
              <w:rPr>
                <w:rFonts w:hint="eastAsia"/>
                <w:color w:val="auto"/>
                <w:sz w:val="24"/>
                <w:lang w:val="en-US" w:eastAsia="zh-CN"/>
              </w:rPr>
              <w:t>座</w:t>
            </w:r>
            <w:r>
              <w:rPr>
                <w:rFonts w:hint="eastAsia"/>
                <w:color w:val="auto"/>
                <w:sz w:val="24"/>
              </w:rPr>
              <w:t>危废</w:t>
            </w:r>
            <w:r>
              <w:rPr>
                <w:rFonts w:hint="eastAsia"/>
                <w:color w:val="auto"/>
                <w:sz w:val="24"/>
                <w:lang w:eastAsia="zh-CN"/>
              </w:rPr>
              <w:t>暂存间</w:t>
            </w:r>
            <w:r>
              <w:rPr>
                <w:rFonts w:hint="eastAsia"/>
                <w:color w:val="auto"/>
                <w:sz w:val="24"/>
              </w:rPr>
              <w:t>，项目生产过程中产生大量多种危险废物，其中包含较多含油固态废物，在这些危险废物的收集、贮存、转移过程中，若.上述包装、贮存设施在遭受不可抗力时，出现破损或变形造成各类废物泄漏，导致对周围环境造成影响。</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olor w:val="auto"/>
                <w:sz w:val="24"/>
              </w:rPr>
              <w:t>项目拟建设的危险废物暂存库严格按照《危险废物贮存污染控制标准》(GB18597-2001)中要求建设，采取“三防”措施，设置废液收集槽、收集池</w:t>
            </w:r>
            <w:r>
              <w:rPr>
                <w:rFonts w:hint="eastAsia"/>
                <w:color w:val="auto"/>
                <w:sz w:val="24"/>
                <w:lang w:eastAsia="zh-CN"/>
              </w:rPr>
              <w:t>；</w:t>
            </w:r>
            <w:r>
              <w:rPr>
                <w:rFonts w:hint="eastAsia"/>
                <w:color w:val="auto"/>
                <w:sz w:val="24"/>
              </w:rPr>
              <w:t>各类危废分类、分区暂存。在采取以上措施后，危险废物泄露后可经收集池收集，对环境影响小。</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3）地下水环境风险分析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olor w:val="auto"/>
                <w:sz w:val="24"/>
              </w:rPr>
              <w:t>根据分析，在正常情况下，项目废水采用清污分流、雨污分流制，</w:t>
            </w:r>
            <w:r>
              <w:rPr>
                <w:rFonts w:hint="eastAsia"/>
                <w:color w:val="auto"/>
                <w:sz w:val="24"/>
                <w:lang w:val="en-US" w:eastAsia="zh-CN"/>
              </w:rPr>
              <w:t>双龙镇污水处理厂扩建完成后，</w:t>
            </w:r>
            <w:r>
              <w:rPr>
                <w:rFonts w:hint="eastAsia"/>
                <w:color w:val="auto"/>
                <w:sz w:val="24"/>
              </w:rPr>
              <w:t>各类废水收集处理达标后排入</w:t>
            </w:r>
            <w:r>
              <w:rPr>
                <w:rFonts w:hint="eastAsia"/>
                <w:color w:val="auto"/>
                <w:sz w:val="24"/>
                <w:lang w:eastAsia="zh-CN"/>
              </w:rPr>
              <w:t>双龙镇</w:t>
            </w:r>
            <w:r>
              <w:rPr>
                <w:rFonts w:hint="eastAsia"/>
                <w:color w:val="auto"/>
                <w:sz w:val="24"/>
              </w:rPr>
              <w:t>污水处理厂，厂区均采取了严格的防渗、防溢流措施，不存在“跑、冒、滴、漏”等情况的发生，若运行、操作正常，项目不会对区域地下水环境造成不利影响。项目的其他地面建筑建设、地上储油罐建议以及所配套的安全、消防设施的平面布局等均符合《石油库设计规范》(GB50074-2014)及《石油化工企业设计防火规范》(GB50160-2008)中的相关标准的要求，所有建、构筑物之间与其它场所之间的留有足够的防火间距，防止在火灾或爆炸时相互影响</w:t>
            </w:r>
            <w:r>
              <w:rPr>
                <w:rFonts w:hint="eastAsia"/>
                <w:color w:val="auto"/>
                <w:sz w:val="24"/>
                <w:lang w:eastAsia="zh-CN"/>
              </w:rPr>
              <w:t>；</w:t>
            </w:r>
            <w:r>
              <w:rPr>
                <w:rFonts w:hint="eastAsia"/>
                <w:color w:val="auto"/>
                <w:sz w:val="24"/>
              </w:rPr>
              <w:t>严格按工艺处理物料特性，将</w:t>
            </w:r>
            <w:r>
              <w:rPr>
                <w:rFonts w:hint="eastAsia"/>
                <w:color w:val="auto"/>
                <w:sz w:val="24"/>
                <w:lang w:val="en-US" w:eastAsia="zh-CN"/>
              </w:rPr>
              <w:t>站厂区</w:t>
            </w:r>
            <w:r>
              <w:rPr>
                <w:rFonts w:hint="eastAsia"/>
                <w:color w:val="auto"/>
                <w:sz w:val="24"/>
              </w:rPr>
              <w:t>进行危险区划分。项目危险废物暂存间按《危险废物贮存污染控制标准》(GB18597-2001)及其2013年修改单)的要求进行防腐防渗</w:t>
            </w:r>
            <w:r>
              <w:rPr>
                <w:rFonts w:hint="eastAsia"/>
                <w:color w:val="auto"/>
                <w:sz w:val="24"/>
                <w:lang w:eastAsia="zh-CN"/>
              </w:rPr>
              <w:t>；</w:t>
            </w:r>
            <w:r>
              <w:rPr>
                <w:rFonts w:hint="eastAsia"/>
                <w:color w:val="auto"/>
                <w:sz w:val="24"/>
              </w:rPr>
              <w:t>储罐区、</w:t>
            </w:r>
            <w:r>
              <w:rPr>
                <w:rFonts w:hint="eastAsia"/>
                <w:color w:val="auto"/>
                <w:sz w:val="24"/>
                <w:lang w:eastAsia="zh-CN"/>
              </w:rPr>
              <w:t>危废暂存间</w:t>
            </w:r>
            <w:r>
              <w:rPr>
                <w:rFonts w:hint="eastAsia"/>
                <w:color w:val="auto"/>
                <w:sz w:val="24"/>
              </w:rPr>
              <w:t>设围堰和挡墙，设置事故应急池，主要</w:t>
            </w:r>
            <w:r>
              <w:rPr>
                <w:rFonts w:hint="eastAsia"/>
                <w:color w:val="auto"/>
                <w:sz w:val="24"/>
                <w:lang w:eastAsia="zh-CN"/>
              </w:rPr>
              <w:t>泵棚</w:t>
            </w:r>
            <w:r>
              <w:rPr>
                <w:rFonts w:hint="eastAsia"/>
                <w:color w:val="auto"/>
                <w:sz w:val="24"/>
              </w:rPr>
              <w:t>地坪也进行处理、周边设置明渠，从而正常工况下不会发生因化学品或污染物进入地下而污染地下水质的情况。</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color w:val="auto"/>
                <w:sz w:val="24"/>
                <w:szCs w:val="24"/>
                <w:highlight w:val="none"/>
                <w:lang w:val="en-US" w:eastAsia="zh-CN"/>
              </w:rPr>
            </w:pPr>
            <w:r>
              <w:rPr>
                <w:rFonts w:hint="eastAsia" w:cs="Times New Roman"/>
                <w:b/>
                <w:bCs/>
                <w:color w:val="auto"/>
                <w:sz w:val="24"/>
                <w:szCs w:val="24"/>
                <w:highlight w:val="none"/>
                <w:lang w:val="en-US" w:eastAsia="zh-CN"/>
              </w:rPr>
              <w:t>（7）环境风险管理</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主要包环境风险管理目标，风险防范措施，事故应急防范措施，突发性环境事件应急预案。</w:t>
            </w:r>
            <w:r>
              <w:rPr>
                <w:rFonts w:hint="eastAsia" w:ascii="Times New Roman" w:hAnsi="Times New Roman" w:eastAsia="宋体" w:cs="Times New Roman"/>
                <w:color w:val="auto"/>
                <w:sz w:val="24"/>
                <w:szCs w:val="24"/>
                <w:lang w:val="en-US" w:eastAsia="zh-CN"/>
              </w:rPr>
              <w:t>具体见《</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》中7章节。</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8</w:t>
            </w:r>
            <w:r>
              <w:rPr>
                <w:rFonts w:hint="eastAsia" w:cs="Times New Roman"/>
                <w:b/>
                <w:bCs/>
                <w:color w:val="auto"/>
                <w:sz w:val="24"/>
                <w:szCs w:val="24"/>
                <w:highlight w:val="none"/>
                <w:lang w:eastAsia="zh-CN"/>
              </w:rPr>
              <w:t>）风险评价结论与建议</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1）项目危险因素</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imes New Roman" w:hAnsi="Times New Roman" w:cs="Times New Roman"/>
                <w:color w:val="auto"/>
                <w:sz w:val="24"/>
                <w:szCs w:val="20"/>
                <w:highlight w:val="none"/>
                <w:lang w:eastAsia="zh-CN"/>
              </w:rPr>
            </w:pPr>
            <w:r>
              <w:rPr>
                <w:rFonts w:hint="default" w:ascii="Times New Roman" w:hAnsi="Times New Roman" w:eastAsia="宋体" w:cs="Times New Roman"/>
                <w:color w:val="auto"/>
                <w:sz w:val="24"/>
                <w:szCs w:val="20"/>
                <w:highlight w:val="none"/>
              </w:rPr>
              <w:t>本项目涉及的主要危险物质为</w:t>
            </w:r>
            <w:r>
              <w:rPr>
                <w:rFonts w:hint="eastAsia" w:ascii="Times New Roman" w:hAnsi="Times New Roman" w:eastAsia="宋体" w:cs="Times New Roman"/>
                <w:color w:val="auto"/>
                <w:sz w:val="24"/>
                <w:szCs w:val="20"/>
                <w:highlight w:val="none"/>
                <w:lang w:val="en-US" w:eastAsia="zh-CN"/>
              </w:rPr>
              <w:t>汽油，柴油，</w:t>
            </w:r>
            <w:r>
              <w:rPr>
                <w:rFonts w:hint="eastAsia" w:ascii="Times New Roman" w:hAnsi="Times New Roman" w:eastAsia="宋体" w:cs="Times New Roman"/>
                <w:color w:val="auto"/>
                <w:sz w:val="24"/>
                <w:szCs w:val="20"/>
                <w:highlight w:val="none"/>
                <w:lang w:eastAsia="zh-CN"/>
              </w:rPr>
              <w:t>罐油泥，废水处理站污泥，降质油，污水处理设施废油，废活性炭，废含油抹布及劳保用品，</w:t>
            </w:r>
            <w:r>
              <w:rPr>
                <w:rFonts w:hint="eastAsia" w:ascii="Times New Roman" w:hAnsi="Times New Roman" w:eastAsia="宋体" w:cs="Times New Roman"/>
                <w:color w:val="auto"/>
                <w:sz w:val="24"/>
                <w:szCs w:val="20"/>
                <w:highlight w:val="none"/>
                <w:lang w:val="en-US" w:eastAsia="zh-CN"/>
              </w:rPr>
              <w:t>油罐切水，油罐清洗废水</w:t>
            </w:r>
            <w:r>
              <w:rPr>
                <w:rFonts w:hint="eastAsia"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化验室废酸、碱、化学药剂和废渣等</w:t>
            </w:r>
            <w:r>
              <w:rPr>
                <w:rFonts w:hint="eastAsia" w:ascii="Times New Roman" w:hAnsi="Times New Roman" w:eastAsia="宋体" w:cs="Times New Roman"/>
                <w:color w:val="auto"/>
                <w:sz w:val="24"/>
                <w:szCs w:val="20"/>
                <w:highlight w:val="none"/>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cs="Times New Roman"/>
                <w:color w:val="auto"/>
                <w:sz w:val="24"/>
                <w:szCs w:val="20"/>
                <w:highlight w:val="none"/>
                <w:lang w:eastAsia="zh-CN"/>
              </w:rPr>
              <w:t>本项目危险物质对环境的影响途径包括直接污染和次生/伴生污染。直接污染通常是有毒有害物质泄漏至大气环境，造成环境污染。伴生/次生污染主要指，可燃或易燃物质发生火灾、爆炸事故产生的CO、烟尘等有毒有害烟气污染大气环境；地下水防渗措施缺失或失效，可能造成地下水污染。</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2）环境敏感性及环境风险事故影响</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imes New Roman" w:cs="Times New Roman"/>
                <w:color w:val="auto"/>
                <w:sz w:val="24"/>
                <w:szCs w:val="20"/>
                <w:highlight w:val="none"/>
                <w:lang w:eastAsia="zh-CN"/>
              </w:rPr>
            </w:pPr>
            <w:r>
              <w:rPr>
                <w:rFonts w:hint="eastAsia" w:ascii="Times New Roman" w:cs="Times New Roman"/>
                <w:color w:val="auto"/>
                <w:sz w:val="24"/>
                <w:szCs w:val="20"/>
                <w:highlight w:val="none"/>
                <w:lang w:eastAsia="zh-CN"/>
              </w:rPr>
              <w:t>本项目5km范围内大气环境敏感目标包括居住区和学校，人口数</w:t>
            </w:r>
            <w:r>
              <w:rPr>
                <w:rFonts w:hint="eastAsia" w:cs="Times New Roman"/>
                <w:color w:val="auto"/>
                <w:sz w:val="24"/>
                <w:szCs w:val="20"/>
                <w:highlight w:val="none"/>
                <w:lang w:val="en-US" w:eastAsia="zh-CN"/>
              </w:rPr>
              <w:t>16959</w:t>
            </w:r>
            <w:r>
              <w:rPr>
                <w:rFonts w:hint="eastAsia" w:ascii="Times New Roman" w:cs="Times New Roman"/>
                <w:color w:val="auto"/>
                <w:sz w:val="24"/>
                <w:szCs w:val="20"/>
                <w:highlight w:val="none"/>
                <w:lang w:eastAsia="zh-CN"/>
              </w:rPr>
              <w:t>人。</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cs="Times New Roman"/>
                <w:color w:val="auto"/>
                <w:sz w:val="24"/>
                <w:szCs w:val="20"/>
                <w:highlight w:val="none"/>
                <w:lang w:val="en-US" w:eastAsia="zh-CN"/>
              </w:rPr>
            </w:pPr>
            <w:r>
              <w:rPr>
                <w:rFonts w:hint="eastAsia" w:ascii="Times New Roman" w:cs="Times New Roman"/>
                <w:color w:val="auto"/>
                <w:sz w:val="24"/>
                <w:szCs w:val="20"/>
                <w:highlight w:val="none"/>
                <w:lang w:val="en-US" w:eastAsia="zh-CN"/>
              </w:rPr>
              <w:t>本项目评价范围内无自然保护区、风景名胜区、饮用水源保护区。</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imes New Roman" w:cs="Times New Roman"/>
                <w:color w:val="auto"/>
                <w:sz w:val="24"/>
                <w:szCs w:val="20"/>
                <w:highlight w:val="none"/>
                <w:lang w:eastAsia="zh-CN"/>
              </w:rPr>
            </w:pPr>
            <w:r>
              <w:rPr>
                <w:rFonts w:hint="default" w:ascii="Times New Roman" w:hAnsi="Times New Roman" w:eastAsia="宋体" w:cs="Times New Roman"/>
                <w:color w:val="auto"/>
                <w:sz w:val="24"/>
                <w:szCs w:val="20"/>
                <w:highlight w:val="none"/>
              </w:rPr>
              <w:t>根据</w:t>
            </w:r>
            <w:r>
              <w:rPr>
                <w:rFonts w:hint="eastAsia" w:ascii="Times New Roman" w:hAnsi="Times New Roman" w:cs="Times New Roman"/>
                <w:color w:val="auto"/>
                <w:sz w:val="24"/>
                <w:szCs w:val="20"/>
                <w:highlight w:val="none"/>
                <w:lang w:val="en-US" w:eastAsia="zh-CN"/>
              </w:rPr>
              <w:t>大气风险</w:t>
            </w:r>
            <w:r>
              <w:rPr>
                <w:rFonts w:hint="default" w:ascii="Times New Roman" w:hAnsi="Times New Roman" w:eastAsia="宋体" w:cs="Times New Roman"/>
                <w:color w:val="auto"/>
                <w:sz w:val="24"/>
                <w:szCs w:val="20"/>
                <w:highlight w:val="none"/>
              </w:rPr>
              <w:t>预测结果</w:t>
            </w:r>
            <w:r>
              <w:rPr>
                <w:rFonts w:hint="eastAsia" w:ascii="Times New Roman" w:hAnsi="Times New Roman" w:cs="Times New Roman"/>
                <w:color w:val="auto"/>
                <w:sz w:val="24"/>
                <w:szCs w:val="20"/>
                <w:highlight w:val="none"/>
                <w:lang w:eastAsia="zh-CN"/>
              </w:rPr>
              <w:t>，</w:t>
            </w:r>
            <w:r>
              <w:rPr>
                <w:rFonts w:hint="eastAsia" w:cs="Times New Roman"/>
                <w:color w:val="auto"/>
                <w:sz w:val="24"/>
                <w:highlight w:val="none"/>
                <w:lang w:val="en-US" w:eastAsia="zh-CN"/>
              </w:rPr>
              <w:t>汽油储罐火灾事故</w:t>
            </w:r>
            <w:r>
              <w:rPr>
                <w:rFonts w:hint="eastAsia" w:ascii="Times New Roman" w:cs="Times New Roman"/>
                <w:color w:val="auto"/>
                <w:sz w:val="24"/>
                <w:highlight w:val="none"/>
                <w:lang w:eastAsia="zh-CN"/>
              </w:rPr>
              <w:t>，</w:t>
            </w:r>
            <w:r>
              <w:rPr>
                <w:rFonts w:hint="eastAsia" w:ascii="Times New Roman" w:cs="Times New Roman"/>
                <w:color w:val="auto"/>
                <w:sz w:val="24"/>
                <w:highlight w:val="none"/>
                <w:lang w:val="en-US" w:eastAsia="zh-CN"/>
              </w:rPr>
              <w:t>最不利气象条件下，</w:t>
            </w:r>
            <w:r>
              <w:rPr>
                <w:rFonts w:hint="eastAsia" w:cs="Times New Roman"/>
                <w:color w:val="auto"/>
                <w:sz w:val="24"/>
                <w:highlight w:val="none"/>
                <w:lang w:val="en-US" w:eastAsia="zh-CN"/>
              </w:rPr>
              <w:t>火灾产生的CO</w:t>
            </w:r>
            <w:r>
              <w:rPr>
                <w:rFonts w:hint="eastAsia" w:ascii="Times New Roman" w:hAnsi="Times New Roman" w:cs="Times New Roman"/>
                <w:color w:val="auto"/>
                <w:w w:val="100"/>
                <w:kern w:val="2"/>
                <w:sz w:val="24"/>
                <w:szCs w:val="24"/>
                <w:lang w:val="en-US" w:eastAsia="zh-CN" w:bidi="ar-SA"/>
              </w:rPr>
              <w:t>浓度达到毒性终点浓度-1的最远距离为</w:t>
            </w:r>
            <w:r>
              <w:rPr>
                <w:rFonts w:hint="eastAsia" w:cs="Times New Roman"/>
                <w:color w:val="auto"/>
                <w:w w:val="100"/>
                <w:kern w:val="2"/>
                <w:sz w:val="24"/>
                <w:szCs w:val="24"/>
                <w:lang w:val="en-US" w:eastAsia="zh-CN" w:bidi="ar-SA"/>
              </w:rPr>
              <w:t>510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冯家沟、张家沟2</w:t>
            </w:r>
            <w:r>
              <w:rPr>
                <w:rFonts w:hint="eastAsia" w:ascii="Times New Roman" w:hAnsi="Times New Roman" w:cs="Times New Roman"/>
                <w:color w:val="auto"/>
                <w:w w:val="100"/>
                <w:kern w:val="2"/>
                <w:sz w:val="24"/>
                <w:szCs w:val="24"/>
                <w:lang w:val="en-US" w:eastAsia="zh-CN" w:bidi="ar-SA"/>
              </w:rPr>
              <w:t>个敏感点；达到毒性终点浓度-2的最远距离为</w:t>
            </w:r>
            <w:r>
              <w:rPr>
                <w:rFonts w:hint="eastAsia" w:cs="Times New Roman"/>
                <w:color w:val="auto"/>
                <w:w w:val="100"/>
                <w:kern w:val="2"/>
                <w:sz w:val="24"/>
                <w:szCs w:val="24"/>
                <w:lang w:val="en-US" w:eastAsia="zh-CN" w:bidi="ar-SA"/>
              </w:rPr>
              <w:t>1190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冯家沟、张家沟、三丰小湾、上院子、黑儿口、平桥社区、散户8</w:t>
            </w:r>
            <w:r>
              <w:rPr>
                <w:rFonts w:hint="eastAsia" w:ascii="Times New Roman" w:hAnsi="Times New Roman" w:cs="Times New Roman"/>
                <w:color w:val="auto"/>
                <w:w w:val="100"/>
                <w:kern w:val="2"/>
                <w:sz w:val="24"/>
                <w:szCs w:val="24"/>
                <w:lang w:val="en-US" w:eastAsia="zh-CN" w:bidi="ar-SA"/>
              </w:rPr>
              <w:t>个敏感点。</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sz w:val="24"/>
                <w:szCs w:val="20"/>
                <w:highlight w:val="none"/>
                <w:lang w:val="en-US" w:eastAsia="zh-CN"/>
              </w:rPr>
            </w:pPr>
            <w:r>
              <w:rPr>
                <w:rFonts w:hint="eastAsia"/>
                <w:color w:val="auto"/>
                <w:sz w:val="24"/>
                <w:lang w:val="en-US" w:eastAsia="zh-CN"/>
              </w:rPr>
              <w:t>为防止地下水污染，本项目采取源头控制措施、末端控制措施、污染监控体系、应急相应措施、分区防渗等措施减少事故状态下地下水污染</w:t>
            </w:r>
            <w:r>
              <w:rPr>
                <w:rFonts w:hint="eastAsia"/>
                <w:color w:val="auto"/>
                <w:sz w:val="24"/>
              </w:rPr>
              <w:t>。</w:t>
            </w:r>
          </w:p>
          <w:p>
            <w:pPr>
              <w:pStyle w:val="2"/>
              <w:spacing w:line="440" w:lineRule="exact"/>
              <w:ind w:firstLine="482"/>
              <w:outlineLvl w:val="1"/>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为防止事故废水污染地表水体，本项目建立</w:t>
            </w:r>
            <w:r>
              <w:rPr>
                <w:rFonts w:hint="eastAsia" w:ascii="Times New Roman" w:hAnsi="Times New Roman"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单元</w:t>
            </w:r>
            <w:r>
              <w:rPr>
                <w:rFonts w:hint="eastAsia" w:ascii="Times New Roman" w:hAnsi="Times New Roman"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rPr>
              <w:t>厂级</w:t>
            </w:r>
            <w:r>
              <w:rPr>
                <w:rFonts w:hint="eastAsia" w:ascii="Times New Roman" w:hAnsi="Times New Roman"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rPr>
              <w:t>园区</w:t>
            </w:r>
            <w:r>
              <w:rPr>
                <w:rFonts w:hint="eastAsia" w:ascii="Times New Roman" w:hAnsi="Times New Roman"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事故水防控体系，针对事故情况下的泄漏液体物料及火灾扑救中的消防废水、污染雨水等事故废水采取了控制、收集、储存、封堵等措施。通过多级事故废水收集系统的建立，切断了事故废水进入外部地表水环境的途径。</w:t>
            </w:r>
          </w:p>
          <w:p>
            <w:pPr>
              <w:pStyle w:val="2"/>
              <w:spacing w:line="440" w:lineRule="exact"/>
              <w:ind w:firstLine="482"/>
              <w:outlineLvl w:val="1"/>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环境风险防范措施和应急预案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为了预防大气环境风险，本项目有针对性地采取了事故预防、事故预警、事故应急处置等措施。根据大气风险预测结果，发生所设定事故情形的最远距离可达3</w:t>
            </w:r>
            <w:r>
              <w:rPr>
                <w:rFonts w:hint="eastAsia" w:cs="Times New Roman"/>
                <w:color w:val="auto"/>
                <w:kern w:val="0"/>
                <w:sz w:val="24"/>
                <w:szCs w:val="24"/>
                <w:highlight w:val="none"/>
                <w:vertAlign w:val="baseline"/>
                <w:lang w:val="en-US" w:eastAsia="zh-CN" w:bidi="ar-SA"/>
              </w:rPr>
              <w:t>1190</w:t>
            </w:r>
            <w:r>
              <w:rPr>
                <w:rFonts w:hint="eastAsia" w:ascii="Times New Roman" w:hAnsi="Times New Roman" w:cs="Times New Roman"/>
                <w:color w:val="auto"/>
                <w:kern w:val="0"/>
                <w:sz w:val="24"/>
                <w:szCs w:val="24"/>
                <w:highlight w:val="none"/>
                <w:vertAlign w:val="baseline"/>
                <w:lang w:val="en-US" w:eastAsia="zh-CN" w:bidi="ar-SA"/>
              </w:rPr>
              <w:t>m，建议参考事故影响范围设定环境风险防范区。事故时，环境风险防范区内的人群应作为紧急撤离目标，并保证能够在60min内撤离至安全地点。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default" w:ascii="Times New Roman" w:hAnsi="Times New Roman" w:cs="Times New Roman"/>
                <w:color w:val="auto"/>
                <w:kern w:val="0"/>
                <w:sz w:val="24"/>
                <w:szCs w:val="24"/>
                <w:highlight w:val="none"/>
                <w:vertAlign w:val="baseline"/>
                <w:lang w:val="en-US" w:eastAsia="zh-CN" w:bidi="ar-SA"/>
              </w:rPr>
              <w:t>本项目设置独立的事故废水收集和输送系统。设置</w:t>
            </w:r>
            <w:r>
              <w:rPr>
                <w:rFonts w:hint="eastAsia" w:ascii="Times New Roman" w:hAnsi="Times New Roman" w:cs="Times New Roman"/>
                <w:color w:val="auto"/>
                <w:kern w:val="0"/>
                <w:sz w:val="24"/>
                <w:szCs w:val="24"/>
                <w:highlight w:val="none"/>
                <w:vertAlign w:val="baseline"/>
                <w:lang w:val="en-US" w:eastAsia="zh-CN" w:bidi="ar-SA"/>
              </w:rPr>
              <w:t>1座</w:t>
            </w:r>
            <w:r>
              <w:rPr>
                <w:rFonts w:hint="eastAsia" w:cs="Times New Roman"/>
                <w:color w:val="auto"/>
                <w:kern w:val="0"/>
                <w:sz w:val="24"/>
                <w:szCs w:val="24"/>
                <w:highlight w:val="none"/>
                <w:vertAlign w:val="baseline"/>
                <w:lang w:val="en-US" w:eastAsia="zh-CN" w:bidi="ar-SA"/>
              </w:rPr>
              <w:t>2160</w:t>
            </w:r>
            <w:r>
              <w:rPr>
                <w:rFonts w:hint="eastAsia" w:ascii="Times New Roman" w:hAnsi="Times New Roman" w:cs="Times New Roman"/>
                <w:color w:val="auto"/>
                <w:kern w:val="0"/>
                <w:sz w:val="24"/>
                <w:szCs w:val="24"/>
                <w:highlight w:val="none"/>
                <w:vertAlign w:val="baseline"/>
                <w:lang w:val="en-US" w:eastAsia="zh-CN" w:bidi="ar-SA"/>
              </w:rPr>
              <w:t>m</w:t>
            </w:r>
            <w:r>
              <w:rPr>
                <w:rFonts w:hint="eastAsia" w:ascii="Times New Roman" w:hAnsi="Times New Roman" w:cs="Times New Roman"/>
                <w:color w:val="auto"/>
                <w:kern w:val="0"/>
                <w:sz w:val="24"/>
                <w:szCs w:val="24"/>
                <w:highlight w:val="none"/>
                <w:vertAlign w:val="superscript"/>
                <w:lang w:val="en-US" w:eastAsia="zh-CN" w:bidi="ar-SA"/>
              </w:rPr>
              <w:t>3</w:t>
            </w:r>
            <w:r>
              <w:rPr>
                <w:rFonts w:hint="eastAsia" w:ascii="Times New Roman" w:hAnsi="Times New Roman" w:cs="Times New Roman"/>
                <w:color w:val="auto"/>
                <w:kern w:val="0"/>
                <w:sz w:val="24"/>
                <w:szCs w:val="24"/>
                <w:highlight w:val="none"/>
                <w:vertAlign w:val="baseline"/>
                <w:lang w:val="en-US" w:eastAsia="zh-CN" w:bidi="ar-SA"/>
              </w:rPr>
              <w:t>的</w:t>
            </w:r>
            <w:r>
              <w:rPr>
                <w:rFonts w:hint="eastAsia" w:cs="Times New Roman"/>
                <w:color w:val="auto"/>
                <w:kern w:val="0"/>
                <w:sz w:val="24"/>
                <w:szCs w:val="24"/>
                <w:highlight w:val="none"/>
                <w:vertAlign w:val="baseline"/>
                <w:lang w:val="en-US" w:eastAsia="zh-CN" w:bidi="ar-SA"/>
              </w:rPr>
              <w:t>漏油及事故废水收集池</w:t>
            </w:r>
            <w:r>
              <w:rPr>
                <w:rFonts w:hint="eastAsia" w:ascii="Times New Roman" w:hAnsi="Times New Roman" w:cs="Times New Roman"/>
                <w:color w:val="auto"/>
                <w:kern w:val="0"/>
                <w:sz w:val="24"/>
                <w:szCs w:val="24"/>
                <w:highlight w:val="none"/>
                <w:vertAlign w:val="baseline"/>
                <w:lang w:val="en-US" w:eastAsia="zh-CN" w:bidi="ar-SA"/>
              </w:rPr>
              <w:t>，</w:t>
            </w:r>
            <w:r>
              <w:rPr>
                <w:rFonts w:hint="default" w:ascii="Times New Roman" w:hAnsi="Times New Roman" w:cs="Times New Roman"/>
                <w:color w:val="auto"/>
                <w:kern w:val="0"/>
                <w:sz w:val="24"/>
                <w:szCs w:val="24"/>
                <w:highlight w:val="none"/>
                <w:vertAlign w:val="baseline"/>
                <w:lang w:val="en-US" w:eastAsia="zh-CN" w:bidi="ar-SA"/>
              </w:rPr>
              <w:t>对</w:t>
            </w:r>
            <w:r>
              <w:rPr>
                <w:rFonts w:hint="eastAsia" w:ascii="Times New Roman" w:hAnsi="Times New Roman" w:cs="Times New Roman"/>
                <w:color w:val="auto"/>
                <w:kern w:val="0"/>
                <w:sz w:val="24"/>
                <w:szCs w:val="24"/>
                <w:highlight w:val="none"/>
                <w:vertAlign w:val="baseline"/>
                <w:lang w:val="en-US" w:eastAsia="zh-CN" w:bidi="ar-SA"/>
              </w:rPr>
              <w:t>消防事故和其他重大事故时污染排水</w:t>
            </w:r>
            <w:r>
              <w:rPr>
                <w:rFonts w:hint="default" w:ascii="Times New Roman" w:hAnsi="Times New Roman" w:cs="Times New Roman"/>
                <w:color w:val="auto"/>
                <w:kern w:val="0"/>
                <w:sz w:val="24"/>
                <w:szCs w:val="24"/>
                <w:highlight w:val="none"/>
                <w:vertAlign w:val="baseline"/>
                <w:lang w:val="en-US" w:eastAsia="zh-CN" w:bidi="ar-SA"/>
              </w:rPr>
              <w:t>进行收集</w:t>
            </w:r>
            <w:r>
              <w:rPr>
                <w:rFonts w:hint="eastAsia" w:ascii="Times New Roman" w:hAnsi="Times New Roman" w:cs="Times New Roman"/>
                <w:color w:val="auto"/>
                <w:kern w:val="0"/>
                <w:sz w:val="24"/>
                <w:szCs w:val="24"/>
                <w:highlight w:val="none"/>
                <w:vertAlign w:val="baseline"/>
                <w:lang w:val="en-US" w:eastAsia="zh-CN" w:bidi="ar-SA"/>
              </w:rPr>
              <w:t>，将污染物控制在厂区范围内</w:t>
            </w:r>
            <w:r>
              <w:rPr>
                <w:rFonts w:hint="default" w:ascii="Times New Roman" w:hAnsi="Times New Roman" w:cs="Times New Roman"/>
                <w:color w:val="auto"/>
                <w:kern w:val="0"/>
                <w:sz w:val="24"/>
                <w:szCs w:val="24"/>
                <w:highlight w:val="none"/>
                <w:vertAlign w:val="baseline"/>
                <w:lang w:val="en-US" w:eastAsia="zh-CN" w:bidi="ar-SA"/>
              </w:rPr>
              <w:t>。</w:t>
            </w:r>
            <w:r>
              <w:rPr>
                <w:rFonts w:hint="eastAsia" w:ascii="Times New Roman" w:hAnsi="Times New Roman" w:cs="Times New Roman"/>
                <w:color w:val="auto"/>
                <w:kern w:val="0"/>
                <w:sz w:val="24"/>
                <w:szCs w:val="24"/>
                <w:highlight w:val="none"/>
                <w:vertAlign w:val="baseline"/>
                <w:lang w:val="en-US" w:eastAsia="zh-CN" w:bidi="ar-SA"/>
              </w:rPr>
              <w:t>在极端情况下，当所发生的突发环境事件超出企业防控能力，产生的事故废水超过消防事故水池存储能力时，为确保事故废水不外流出园区，避免对园区外水环境造成污染，通过事故水管道排至园区事故水池。</w:t>
            </w:r>
          </w:p>
          <w:p>
            <w:pPr>
              <w:pStyle w:val="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eastAsia="宋体" w:cs="Times New Roman"/>
                <w:color w:val="auto"/>
                <w:kern w:val="0"/>
                <w:sz w:val="24"/>
                <w:szCs w:val="24"/>
                <w:highlight w:val="none"/>
                <w:vertAlign w:val="baseline"/>
                <w:lang w:val="en-US" w:eastAsia="zh-CN" w:bidi="ar-SA"/>
              </w:rPr>
              <w:t>建设单位应根据《企事业单位突发环境事件应急预案备案管理办法》(环发[2015]4号）的要求编制突发环境事件应急预案，并在项目投产前向主管部门备案。</w:t>
            </w:r>
          </w:p>
          <w:p>
            <w:pPr>
              <w:pStyle w:val="2"/>
              <w:spacing w:line="440" w:lineRule="exact"/>
              <w:ind w:firstLine="482"/>
              <w:outlineLvl w:val="1"/>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环境风险评价结论与建议</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在落实各项环保措施和本评价提出的各项环境风险防范措施</w:t>
            </w:r>
            <w:r>
              <w:rPr>
                <w:rFonts w:hint="eastAsia" w:ascii="Times New Roman" w:hAnsi="Times New Roman"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加强风险管理的条件下，本项目的环境风险可防控。</w:t>
            </w:r>
          </w:p>
          <w:p>
            <w:pPr>
              <w:pStyle w:val="2"/>
              <w:spacing w:line="440" w:lineRule="exact"/>
              <w:ind w:firstLine="480"/>
              <w:rPr>
                <w:color w:val="auto"/>
                <w:sz w:val="24"/>
              </w:rPr>
            </w:pPr>
            <w:r>
              <w:rPr>
                <w:rFonts w:hint="default" w:ascii="Times New Roman" w:hAnsi="Times New Roman" w:eastAsia="宋体" w:cs="Times New Roman"/>
                <w:color w:val="auto"/>
                <w:sz w:val="24"/>
                <w:szCs w:val="20"/>
                <w:highlight w:val="none"/>
              </w:rPr>
              <w:t>建议加快园区事故池及配套设施的建设，确保与本项目同期建成。</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9、项目污染物排放量情况</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4-36</w:t>
            </w:r>
            <w:r>
              <w:rPr>
                <w:rFonts w:cs="Times New Roman"/>
                <w:b/>
                <w:bCs/>
                <w:color w:val="auto"/>
                <w:sz w:val="24"/>
                <w:szCs w:val="24"/>
                <w:highlight w:val="none"/>
              </w:rPr>
              <w:t xml:space="preserve">    项目</w:t>
            </w:r>
            <w:r>
              <w:rPr>
                <w:rFonts w:hint="eastAsia" w:cs="Times New Roman"/>
                <w:b/>
                <w:bCs/>
                <w:color w:val="auto"/>
                <w:sz w:val="24"/>
                <w:szCs w:val="24"/>
                <w:highlight w:val="none"/>
                <w:lang w:eastAsia="zh-CN"/>
              </w:rPr>
              <w:t>污染物排放量一览表（固废为产生量）</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069"/>
              <w:gridCol w:w="1564"/>
              <w:gridCol w:w="1679"/>
              <w:gridCol w:w="3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1268"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类别</w:t>
                  </w: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主要污染物</w:t>
                  </w:r>
                </w:p>
              </w:tc>
              <w:tc>
                <w:tcPr>
                  <w:tcW w:w="1794"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拟建</w:t>
                  </w:r>
                  <w:r>
                    <w:rPr>
                      <w:rFonts w:hint="default" w:cs="Times New Roman"/>
                      <w:color w:val="auto"/>
                      <w:sz w:val="21"/>
                      <w:szCs w:val="21"/>
                      <w:highlight w:val="none"/>
                    </w:rPr>
                    <w:t>项目</w:t>
                  </w:r>
                  <w:r>
                    <w:rPr>
                      <w:rFonts w:hint="eastAsia" w:cs="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废气</w:t>
                  </w:r>
                </w:p>
              </w:tc>
              <w:tc>
                <w:tcPr>
                  <w:tcW w:w="934" w:type="pct"/>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002"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794"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934"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cs="Times New Roman"/>
                      <w:color w:val="auto"/>
                      <w:sz w:val="21"/>
                      <w:szCs w:val="21"/>
                      <w:highlight w:val="none"/>
                      <w:lang w:val="en-US" w:eastAsia="zh-CN"/>
                    </w:rPr>
                  </w:pPr>
                </w:p>
              </w:tc>
              <w:tc>
                <w:tcPr>
                  <w:tcW w:w="1002"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4"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油烟</w:t>
                  </w:r>
                </w:p>
              </w:tc>
              <w:tc>
                <w:tcPr>
                  <w:tcW w:w="179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废水</w:t>
                  </w: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bidi="ar"/>
                    </w:rPr>
                  </w:pPr>
                  <w:r>
                    <w:rPr>
                      <w:rFonts w:hint="default" w:cs="Times New Roman"/>
                      <w:color w:val="auto"/>
                      <w:kern w:val="0"/>
                      <w:sz w:val="21"/>
                      <w:szCs w:val="21"/>
                      <w:highlight w:val="none"/>
                      <w:lang w:bidi="ar"/>
                    </w:rPr>
                    <w:t>废水量</w:t>
                  </w:r>
                </w:p>
              </w:tc>
              <w:tc>
                <w:tcPr>
                  <w:tcW w:w="179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1.320445万m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COD</w:t>
                  </w:r>
                </w:p>
              </w:tc>
              <w:tc>
                <w:tcPr>
                  <w:tcW w:w="17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BOD</w:t>
                  </w:r>
                  <w:r>
                    <w:rPr>
                      <w:rFonts w:hint="eastAsia" w:ascii="Times New Roman" w:hAnsi="Times New Roman" w:cs="Times New Roman"/>
                      <w:color w:val="auto"/>
                      <w:spacing w:val="-20"/>
                      <w:sz w:val="21"/>
                      <w:szCs w:val="21"/>
                      <w:vertAlign w:val="subscript"/>
                      <w:lang w:val="en-US" w:eastAsia="zh-CN"/>
                    </w:rPr>
                    <w:t>5</w:t>
                  </w:r>
                </w:p>
              </w:tc>
              <w:tc>
                <w:tcPr>
                  <w:tcW w:w="17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SS</w:t>
                  </w:r>
                </w:p>
              </w:tc>
              <w:tc>
                <w:tcPr>
                  <w:tcW w:w="17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氨氮</w:t>
                  </w:r>
                </w:p>
              </w:tc>
              <w:tc>
                <w:tcPr>
                  <w:tcW w:w="17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pt-BR" w:eastAsia="zh-CN" w:bidi="ar-SA"/>
                    </w:rPr>
                    <w:t>动植物油</w:t>
                  </w:r>
                </w:p>
              </w:tc>
              <w:tc>
                <w:tcPr>
                  <w:tcW w:w="17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石油类</w:t>
                  </w:r>
                </w:p>
              </w:tc>
              <w:tc>
                <w:tcPr>
                  <w:tcW w:w="17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固废</w:t>
                  </w:r>
                </w:p>
              </w:tc>
              <w:tc>
                <w:tcPr>
                  <w:tcW w:w="638" w:type="pct"/>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危险废物</w:t>
                  </w: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color w:val="auto"/>
                      <w:spacing w:val="-10"/>
                      <w:sz w:val="21"/>
                      <w:szCs w:val="21"/>
                      <w:highlight w:val="none"/>
                      <w:lang w:eastAsia="zh-CN"/>
                    </w:rPr>
                    <w:t>储罐油泥</w:t>
                  </w:r>
                </w:p>
              </w:tc>
              <w:tc>
                <w:tcPr>
                  <w:tcW w:w="1794" w:type="pct"/>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color w:val="auto"/>
                      <w:spacing w:val="-10"/>
                      <w:sz w:val="21"/>
                      <w:szCs w:val="21"/>
                      <w:highlight w:val="none"/>
                      <w:lang w:eastAsia="zh-CN"/>
                    </w:rPr>
                    <w:t>废水处理站污泥</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color w:val="auto"/>
                      <w:spacing w:val="-10"/>
                      <w:sz w:val="21"/>
                      <w:szCs w:val="21"/>
                      <w:highlight w:val="none"/>
                      <w:lang w:eastAsia="zh-CN"/>
                    </w:rPr>
                    <w:t>污水处理设施废油</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ascii="Times New Roman" w:cs="Times New Roman"/>
                      <w:color w:val="auto"/>
                      <w:spacing w:val="-10"/>
                      <w:kern w:val="2"/>
                      <w:sz w:val="21"/>
                      <w:szCs w:val="21"/>
                      <w:highlight w:val="none"/>
                      <w:lang w:eastAsia="zh-CN"/>
                    </w:rPr>
                    <w:t>降质油</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ascii="Times New Roman" w:cs="Times New Roman"/>
                      <w:color w:val="auto"/>
                      <w:spacing w:val="-10"/>
                      <w:kern w:val="2"/>
                      <w:sz w:val="21"/>
                      <w:szCs w:val="21"/>
                      <w:highlight w:val="none"/>
                      <w:lang w:eastAsia="zh-CN"/>
                    </w:rPr>
                    <w:t>废活性炭</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废含油抹布及劳保用品</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罐底切水</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39.36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储罐清洗废水</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864t/3a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化验室废弃酸、碱、化学药剂、废渣</w:t>
                  </w:r>
                </w:p>
              </w:tc>
              <w:tc>
                <w:tcPr>
                  <w:tcW w:w="1794"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restar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一般固废</w:t>
                  </w: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bidi="ar"/>
                    </w:rPr>
                  </w:pPr>
                  <w:r>
                    <w:rPr>
                      <w:rFonts w:hint="eastAsia" w:cs="Times New Roman"/>
                      <w:color w:val="auto"/>
                      <w:kern w:val="0"/>
                      <w:sz w:val="21"/>
                      <w:szCs w:val="21"/>
                      <w:highlight w:val="none"/>
                      <w:lang w:bidi="ar"/>
                    </w:rPr>
                    <w:t>生活垃圾</w:t>
                  </w:r>
                </w:p>
              </w:tc>
              <w:tc>
                <w:tcPr>
                  <w:tcW w:w="1794" w:type="pct"/>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eastAsia="宋体" w:cs="Times New Roman"/>
                      <w:color w:val="auto"/>
                      <w:kern w:val="0"/>
                      <w:sz w:val="21"/>
                      <w:szCs w:val="21"/>
                      <w:highlight w:val="none"/>
                      <w:lang w:eastAsia="zh-CN" w:bidi="ar"/>
                    </w:rPr>
                  </w:pPr>
                  <w:r>
                    <w:rPr>
                      <w:rFonts w:hint="eastAsia" w:cs="Times New Roman"/>
                      <w:color w:val="auto"/>
                      <w:kern w:val="0"/>
                      <w:sz w:val="21"/>
                      <w:szCs w:val="21"/>
                      <w:highlight w:val="none"/>
                      <w:lang w:eastAsia="zh-CN" w:bidi="ar"/>
                    </w:rPr>
                    <w:t>化粪池污泥</w:t>
                  </w:r>
                </w:p>
              </w:tc>
              <w:tc>
                <w:tcPr>
                  <w:tcW w:w="1794"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生活污水处理污泥</w:t>
                  </w:r>
                </w:p>
              </w:tc>
              <w:tc>
                <w:tcPr>
                  <w:tcW w:w="1794"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食堂废水隔油池废油</w:t>
                  </w:r>
                </w:p>
              </w:tc>
              <w:tc>
                <w:tcPr>
                  <w:tcW w:w="1794"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0.06</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12、排污口规范化</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根据国家环保总局《关于开展排放口规范化整治工作的通知》（环发〔1999〕24号）要求，现就项目排放口规整提出如下要求：</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（1）废水</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废水达标处理后，污水处理设施只能设置一个排放口，并且应规范化设置，设置专门的废水采样口，设立明显的标志牌。</w:t>
            </w:r>
          </w:p>
          <w:p>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规范废水排放口，使用混凝土矩形管道，内侧表面光滑平整。</w:t>
            </w:r>
          </w:p>
          <w:p>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标志牌立点距排污口在1m范围内，1m范围内有建筑物的挂平面式，无建筑物树立式，挂提示式标志。</w:t>
            </w:r>
          </w:p>
          <w:p>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排污口必须具备采样和流量测定条件，按照《污染源监测技术规范》设置采样点，如总排污口、污水处理设施的进水和出水口等。污水面在地下或距地面超过1m的，应建取样台阶或梯架，进行编号并设置标志。</w:t>
            </w:r>
          </w:p>
          <w:p>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根据实际地形合理确定一个总排污口位置。</w:t>
            </w:r>
          </w:p>
          <w:p>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总排污口的横截面积不得低于1.0m</w:t>
            </w:r>
            <w:r>
              <w:rPr>
                <w:rFonts w:cs="Times New Roman"/>
                <w:color w:val="auto"/>
                <w:kern w:val="0"/>
                <w:sz w:val="24"/>
                <w:szCs w:val="24"/>
                <w:highlight w:val="none"/>
                <w:vertAlign w:val="superscript"/>
                <w:lang w:bidi="ar"/>
              </w:rPr>
              <w:t>2</w:t>
            </w:r>
            <w:r>
              <w:rPr>
                <w:rFonts w:cs="Times New Roman"/>
                <w:color w:val="auto"/>
                <w:kern w:val="0"/>
                <w:sz w:val="24"/>
                <w:szCs w:val="24"/>
                <w:highlight w:val="none"/>
                <w:lang w:bidi="ar"/>
              </w:rPr>
              <w:t>，并使污水表面与明渠顶部保持1/3以上的空间。</w:t>
            </w:r>
          </w:p>
          <w:p>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设置规范的、便于测量流量、流速的测流段。拟建工程明渠应约1～2m。</w:t>
            </w:r>
          </w:p>
          <w:p>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（2）废气</w:t>
            </w:r>
          </w:p>
          <w:p>
            <w:pPr>
              <w:keepNext w:val="0"/>
              <w:keepLines w:val="0"/>
              <w:pageBreakBefore w:val="0"/>
              <w:widowControl/>
              <w:numPr>
                <w:ilvl w:val="0"/>
                <w:numId w:val="22"/>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对其排气筒进行编号并设置标志，排气筒应设置便于人工采样、监测的采样口，采样口的设置应符合《污染源监测技术规范》要求；</w:t>
            </w:r>
          </w:p>
          <w:p>
            <w:pPr>
              <w:keepNext w:val="0"/>
              <w:keepLines w:val="0"/>
              <w:pageBreakBefore w:val="0"/>
              <w:widowControl/>
              <w:numPr>
                <w:ilvl w:val="0"/>
                <w:numId w:val="22"/>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采样口位置无法满足规范要求的，其位置由当地环境监测部门确认，根据《固定污染源排气中颗粒物测定与气态污染源采样方法》（GB/T16157-1996），废气排污口采样孔设置的位置应该是“距弯头、阀门、变径下游方向不小于6倍直径，上游方向不小于3倍直径”。如果是矩形烟道的，其当量直径D=2AB/(A+B)，式中A、B为边长。采样口必须设置常备电源；</w:t>
            </w:r>
          </w:p>
          <w:p>
            <w:pPr>
              <w:keepNext w:val="0"/>
              <w:keepLines w:val="0"/>
              <w:pageBreakBefore w:val="0"/>
              <w:widowControl/>
              <w:numPr>
                <w:ilvl w:val="0"/>
                <w:numId w:val="22"/>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无组织排放有毒有害气体的，应加装引风装置，进行收集、处理，并标明采样点。</w:t>
            </w:r>
          </w:p>
          <w:p>
            <w:pPr>
              <w:keepNext w:val="0"/>
              <w:keepLines w:val="0"/>
              <w:pageBreakBefore w:val="0"/>
              <w:kinsoku/>
              <w:wordWrap/>
              <w:overflowPunct/>
              <w:topLinePunct w:val="0"/>
              <w:autoSpaceDE w:val="0"/>
              <w:autoSpaceDN w:val="0"/>
              <w:bidi w:val="0"/>
              <w:adjustRightInd w:val="0"/>
              <w:snapToGrid/>
              <w:spacing w:line="400" w:lineRule="exact"/>
              <w:ind w:firstLine="480" w:firstLineChars="200"/>
              <w:textAlignment w:val="auto"/>
              <w:rPr>
                <w:rFonts w:hint="eastAsia" w:ascii="Times New Roman" w:eastAsia="宋体"/>
                <w:color w:val="auto"/>
                <w:sz w:val="24"/>
                <w:szCs w:val="24"/>
                <w:lang w:eastAsia="zh-CN"/>
              </w:rPr>
            </w:pPr>
            <w:r>
              <w:rPr>
                <w:rFonts w:hint="eastAsia" w:ascii="Times New Roman"/>
                <w:color w:val="auto"/>
                <w:sz w:val="24"/>
                <w:szCs w:val="24"/>
                <w:lang w:eastAsia="zh-CN"/>
              </w:rPr>
              <w:t>（</w:t>
            </w:r>
            <w:r>
              <w:rPr>
                <w:rFonts w:hint="eastAsia" w:ascii="Times New Roman"/>
                <w:color w:val="auto"/>
                <w:sz w:val="24"/>
                <w:szCs w:val="24"/>
                <w:lang w:val="en-US" w:eastAsia="zh-CN"/>
              </w:rPr>
              <w:t>3</w:t>
            </w:r>
            <w:r>
              <w:rPr>
                <w:rFonts w:hint="eastAsia" w:ascii="Times New Roman"/>
                <w:color w:val="auto"/>
                <w:sz w:val="24"/>
                <w:szCs w:val="24"/>
                <w:lang w:eastAsia="zh-CN"/>
              </w:rPr>
              <w:t>）噪声</w:t>
            </w:r>
          </w:p>
          <w:p>
            <w:pPr>
              <w:keepNext w:val="0"/>
              <w:keepLines w:val="0"/>
              <w:pageBreakBefore w:val="0"/>
              <w:kinsoku/>
              <w:wordWrap/>
              <w:overflowPunct/>
              <w:topLinePunct w:val="0"/>
              <w:autoSpaceDE w:val="0"/>
              <w:autoSpaceDN w:val="0"/>
              <w:bidi w:val="0"/>
              <w:adjustRightInd w:val="0"/>
              <w:snapToGrid/>
              <w:spacing w:line="400" w:lineRule="exact"/>
              <w:ind w:firstLine="480" w:firstLineChars="20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拟建项目</w:t>
            </w:r>
            <w:r>
              <w:rPr>
                <w:rFonts w:hint="default" w:ascii="Times New Roman" w:hAnsi="Times New Roman" w:cs="Times New Roman"/>
                <w:color w:val="auto"/>
                <w:sz w:val="24"/>
                <w:szCs w:val="24"/>
                <w:lang w:eastAsia="zh-CN"/>
              </w:rPr>
              <w:t>采取将产噪设备布置在</w:t>
            </w:r>
            <w:r>
              <w:rPr>
                <w:rFonts w:hint="eastAsia" w:ascii="Times New Roman" w:hAnsi="Times New Roman" w:cs="Times New Roman"/>
                <w:color w:val="auto"/>
                <w:sz w:val="24"/>
                <w:szCs w:val="24"/>
                <w:lang w:eastAsia="zh-CN"/>
              </w:rPr>
              <w:t>建筑物</w:t>
            </w:r>
            <w:r>
              <w:rPr>
                <w:rFonts w:hint="default" w:ascii="Times New Roman" w:hAnsi="Times New Roman" w:cs="Times New Roman"/>
                <w:color w:val="auto"/>
                <w:sz w:val="24"/>
                <w:szCs w:val="24"/>
                <w:lang w:eastAsia="zh-CN"/>
              </w:rPr>
              <w:t>内、对振动较大的设备采取基础减震的降噪措施控制噪声</w:t>
            </w:r>
            <w:r>
              <w:rPr>
                <w:rFonts w:hint="eastAsia" w:ascii="Times New Roman" w:hAnsi="Times New Roman" w:cs="Times New Roman"/>
                <w:color w:val="auto"/>
                <w:sz w:val="24"/>
                <w:szCs w:val="24"/>
                <w:lang w:eastAsia="zh-CN"/>
              </w:rPr>
              <w:t>、风机加装消声器</w:t>
            </w:r>
            <w:r>
              <w:rPr>
                <w:rFonts w:hint="default" w:ascii="Times New Roman" w:hAnsi="Times New Roman" w:cs="Times New Roman"/>
                <w:color w:val="auto"/>
                <w:sz w:val="24"/>
                <w:szCs w:val="24"/>
                <w:lang w:eastAsia="zh-CN"/>
              </w:rPr>
              <w:t>，采取上述隔声减振措施后，</w:t>
            </w:r>
            <w:r>
              <w:rPr>
                <w:rFonts w:hint="default" w:ascii="Times New Roman" w:hAnsi="Times New Roman" w:cs="Times New Roman"/>
                <w:color w:val="auto"/>
                <w:sz w:val="24"/>
                <w:szCs w:val="24"/>
                <w:lang w:val="en-GB" w:eastAsia="zh-CN"/>
              </w:rPr>
              <w:t>再经距离衰减后，</w:t>
            </w:r>
            <w:r>
              <w:rPr>
                <w:rFonts w:hint="eastAsia" w:ascii="Times New Roman" w:hAnsi="Times New Roman" w:cs="Times New Roman"/>
                <w:color w:val="auto"/>
                <w:sz w:val="24"/>
                <w:szCs w:val="24"/>
                <w:lang w:val="en-GB" w:eastAsia="zh-CN"/>
              </w:rPr>
              <w:t>厂</w:t>
            </w:r>
            <w:r>
              <w:rPr>
                <w:rFonts w:hint="eastAsia" w:ascii="Times New Roman" w:hAnsi="Times New Roman" w:cs="Times New Roman"/>
                <w:color w:val="auto"/>
                <w:sz w:val="24"/>
                <w:szCs w:val="24"/>
                <w:lang w:eastAsia="zh-CN"/>
              </w:rPr>
              <w:t>界</w:t>
            </w:r>
            <w:r>
              <w:rPr>
                <w:rFonts w:hint="default" w:ascii="Times New Roman" w:hAnsi="Times New Roman" w:cs="Times New Roman"/>
                <w:color w:val="auto"/>
                <w:sz w:val="24"/>
                <w:szCs w:val="24"/>
                <w:lang w:eastAsia="zh-CN"/>
              </w:rPr>
              <w:t>噪声符合当地环境噪声标准要求。噪声源方面，要求对</w:t>
            </w:r>
            <w:r>
              <w:rPr>
                <w:rFonts w:hint="eastAsia" w:ascii="Times New Roman" w:hAnsi="Times New Roman" w:cs="Times New Roman"/>
                <w:color w:val="auto"/>
                <w:sz w:val="24"/>
                <w:szCs w:val="24"/>
                <w:lang w:eastAsia="zh-CN"/>
              </w:rPr>
              <w:t>厂界</w:t>
            </w:r>
            <w:r>
              <w:rPr>
                <w:rFonts w:hint="default" w:ascii="Times New Roman" w:hAnsi="Times New Roman" w:cs="Times New Roman"/>
                <w:color w:val="auto"/>
                <w:sz w:val="24"/>
                <w:szCs w:val="24"/>
                <w:lang w:eastAsia="zh-CN"/>
              </w:rPr>
              <w:t>噪声敏感、且对外界影响最大处设置该噪声源的监测点</w:t>
            </w:r>
            <w:r>
              <w:rPr>
                <w:rFonts w:hint="eastAsia" w:ascii="Times New Roman" w:hAnsi="Times New Roman" w:cs="Times New Roman"/>
                <w:color w:val="auto"/>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kern w:val="0"/>
                <w:sz w:val="24"/>
                <w:szCs w:val="24"/>
                <w:highlight w:val="none"/>
                <w:lang w:bidi="ar"/>
              </w:rPr>
            </w:pP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4）一般</w:t>
            </w:r>
            <w:r>
              <w:rPr>
                <w:rFonts w:hint="eastAsia" w:cs="Times New Roman"/>
                <w:color w:val="auto"/>
                <w:kern w:val="0"/>
                <w:sz w:val="24"/>
                <w:szCs w:val="24"/>
                <w:highlight w:val="none"/>
                <w:lang w:bidi="ar"/>
              </w:rPr>
              <w:t>固废堆放</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color w:val="auto"/>
                <w:sz w:val="24"/>
                <w:szCs w:val="24"/>
                <w:highlight w:val="none"/>
              </w:rPr>
            </w:pPr>
            <w:r>
              <w:rPr>
                <w:color w:val="auto"/>
                <w:sz w:val="24"/>
                <w:szCs w:val="24"/>
                <w:highlight w:val="none"/>
              </w:rPr>
              <w:t>固废堆场应设置环境保护图形标志牌，将生活垃圾、一般固废等分开存放，做到防火、防扬散、防渗漏，确保不对周围环境形成二次污染。</w:t>
            </w:r>
          </w:p>
          <w:p>
            <w:pPr>
              <w:pStyle w:val="48"/>
              <w:adjustRightInd w:val="0"/>
              <w:snapToGrid w:val="0"/>
              <w:spacing w:line="440" w:lineRule="exact"/>
              <w:ind w:firstLine="482"/>
              <w:rPr>
                <w:rFonts w:ascii="Times New Roman" w:hAnsi="Times New Roman"/>
                <w:b/>
                <w:color w:val="auto"/>
                <w:sz w:val="24"/>
                <w:szCs w:val="24"/>
              </w:rPr>
            </w:pPr>
            <w:r>
              <w:rPr>
                <w:rFonts w:hint="eastAsia" w:ascii="Times New Roman" w:hAnsi="Times New Roman"/>
                <w:b/>
                <w:color w:val="auto"/>
                <w:sz w:val="24"/>
                <w:szCs w:val="24"/>
                <w:lang w:eastAsia="zh-CN"/>
              </w:rPr>
              <w:t>表</w:t>
            </w:r>
            <w:r>
              <w:rPr>
                <w:rFonts w:hint="eastAsia" w:ascii="Times New Roman" w:hAnsi="Times New Roman"/>
                <w:b/>
                <w:color w:val="auto"/>
                <w:sz w:val="24"/>
                <w:szCs w:val="24"/>
                <w:lang w:val="en-US" w:eastAsia="zh-CN"/>
              </w:rPr>
              <w:t>4-37</w:t>
            </w:r>
            <w:r>
              <w:rPr>
                <w:rFonts w:ascii="Times New Roman" w:hAnsi="Times New Roman"/>
                <w:b/>
                <w:color w:val="auto"/>
                <w:sz w:val="24"/>
                <w:szCs w:val="24"/>
              </w:rPr>
              <w:t xml:space="preserve">   排放口标志牌示例</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0" w:type="dxa"/>
                <w:right w:w="108" w:type="dxa"/>
              </w:tblCellMar>
            </w:tblPr>
            <w:tblGrid>
              <w:gridCol w:w="1546"/>
              <w:gridCol w:w="1187"/>
              <w:gridCol w:w="1168"/>
              <w:gridCol w:w="46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排放口名称</w:t>
                  </w:r>
                </w:p>
              </w:tc>
              <w:tc>
                <w:tcPr>
                  <w:tcW w:w="1187"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编号示例</w:t>
                  </w:r>
                </w:p>
              </w:tc>
              <w:tc>
                <w:tcPr>
                  <w:tcW w:w="1168"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图形标志</w:t>
                  </w:r>
                </w:p>
              </w:tc>
              <w:tc>
                <w:tcPr>
                  <w:tcW w:w="4621"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排气筒</w:t>
                  </w:r>
                </w:p>
              </w:tc>
              <w:tc>
                <w:tcPr>
                  <w:tcW w:w="1187"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FQ-01</w:t>
                  </w:r>
                </w:p>
              </w:tc>
              <w:tc>
                <w:tcPr>
                  <w:tcW w:w="1168"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color w:val="auto"/>
                      <w:sz w:val="21"/>
                      <w:szCs w:val="21"/>
                    </w:rPr>
                  </w:pPr>
                  <w:r>
                    <w:rPr>
                      <w:rFonts w:ascii="Times New Roman" w:hAnsi="Times New Roman"/>
                      <w:color w:val="auto"/>
                      <w:sz w:val="21"/>
                      <w:szCs w:val="21"/>
                      <w:u w:val="none"/>
                    </w:rPr>
                    <w:drawing>
                      <wp:inline distT="0" distB="0" distL="114300" distR="114300">
                        <wp:extent cx="522605" cy="504190"/>
                        <wp:effectExtent l="0" t="0" r="10795" b="10160"/>
                        <wp:docPr id="32" name="图片 9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2"/>
                                <pic:cNvPicPr>
                                  <a:picLocks noChangeAspect="1"/>
                                </pic:cNvPicPr>
                              </pic:nvPicPr>
                              <pic:blipFill>
                                <a:blip r:embed="rId49"/>
                                <a:stretch>
                                  <a:fillRect/>
                                </a:stretch>
                              </pic:blipFill>
                              <pic:spPr>
                                <a:xfrm>
                                  <a:off x="0" y="0"/>
                                  <a:ext cx="522605" cy="504190"/>
                                </a:xfrm>
                                <a:prstGeom prst="rect">
                                  <a:avLst/>
                                </a:prstGeom>
                                <a:noFill/>
                                <a:ln>
                                  <a:noFill/>
                                </a:ln>
                              </pic:spPr>
                            </pic:pic>
                          </a:graphicData>
                        </a:graphic>
                      </wp:inline>
                    </w:drawing>
                  </w:r>
                </w:p>
              </w:tc>
              <w:tc>
                <w:tcPr>
                  <w:tcW w:w="46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0"/>
                      <w:sz w:val="21"/>
                      <w:szCs w:val="21"/>
                    </w:rPr>
                  </w:pPr>
                  <w:r>
                    <w:rPr>
                      <w:rFonts w:ascii="Times New Roman" w:hAnsi="Times New Roman"/>
                      <w:color w:val="auto"/>
                      <w:spacing w:val="0"/>
                      <w:sz w:val="21"/>
                      <w:szCs w:val="21"/>
                    </w:rPr>
                    <w:t>辅助标志内容(1)排放口标志名称；(2)单位名称；(3)编号；(4)污染物种类；(5)</w:t>
                  </w:r>
                  <w:r>
                    <w:rPr>
                      <w:rFonts w:hint="eastAsia" w:ascii="Times New Roman" w:hAnsi="Times New Roman"/>
                      <w:color w:val="auto"/>
                      <w:spacing w:val="0"/>
                      <w:sz w:val="21"/>
                      <w:szCs w:val="21"/>
                      <w:lang w:eastAsia="zh-CN"/>
                    </w:rPr>
                    <w:t>达州市通川区生态环境局</w:t>
                  </w:r>
                  <w:r>
                    <w:rPr>
                      <w:rFonts w:ascii="Times New Roman" w:hAnsi="Times New Roman"/>
                      <w:color w:val="auto"/>
                      <w:spacing w:val="0"/>
                      <w:sz w:val="21"/>
                      <w:szCs w:val="21"/>
                    </w:rPr>
                    <w:t>监制。</w:t>
                  </w:r>
                </w:p>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ascii="Times New Roman" w:hAnsi="Times New Roman"/>
                      <w:color w:val="auto"/>
                      <w:spacing w:val="0"/>
                      <w:sz w:val="21"/>
                      <w:szCs w:val="21"/>
                    </w:rPr>
                  </w:pPr>
                  <w:r>
                    <w:rPr>
                      <w:rFonts w:ascii="Times New Roman" w:hAnsi="Times New Roman"/>
                      <w:color w:val="auto"/>
                      <w:spacing w:val="0"/>
                      <w:sz w:val="21"/>
                      <w:szCs w:val="21"/>
                    </w:rPr>
                    <w:t>辅助标志字型：黑体字</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0"/>
                      <w:sz w:val="21"/>
                      <w:szCs w:val="21"/>
                    </w:rPr>
                  </w:pPr>
                  <w:r>
                    <w:rPr>
                      <w:rFonts w:ascii="Times New Roman" w:hAnsi="Times New Roman"/>
                      <w:color w:val="auto"/>
                      <w:spacing w:val="0"/>
                      <w:sz w:val="21"/>
                      <w:szCs w:val="21"/>
                    </w:rPr>
                    <w:t>标志牌尺寸：(1)提示标志：480×300mm；(2)警告标志：边长420mm</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r>
                    <w:rPr>
                      <w:rFonts w:ascii="Times New Roman" w:hAnsi="Times New Roman"/>
                      <w:color w:val="auto"/>
                      <w:spacing w:val="0"/>
                      <w:sz w:val="21"/>
                      <w:szCs w:val="21"/>
                    </w:rPr>
                    <w:t>标志牌材料：1.5~2mm冷轧钢板，表面采用搪瓷或反光贴膜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废水</w:t>
                  </w:r>
                </w:p>
              </w:tc>
              <w:tc>
                <w:tcPr>
                  <w:tcW w:w="1187"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FS-01</w:t>
                  </w:r>
                </w:p>
              </w:tc>
              <w:tc>
                <w:tcPr>
                  <w:tcW w:w="1168"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color w:val="auto"/>
                      <w:sz w:val="21"/>
                      <w:szCs w:val="21"/>
                    </w:rPr>
                  </w:pPr>
                  <w:r>
                    <w:rPr>
                      <w:rFonts w:ascii="Times New Roman" w:hAnsi="Times New Roman"/>
                      <w:color w:val="auto"/>
                      <w:sz w:val="21"/>
                      <w:szCs w:val="21"/>
                    </w:rPr>
                    <w:drawing>
                      <wp:inline distT="0" distB="0" distL="114300" distR="114300">
                        <wp:extent cx="509905" cy="504190"/>
                        <wp:effectExtent l="0" t="0" r="4445" b="10160"/>
                        <wp:docPr id="33" name="图片 40" descr="废水排放口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废水排放口提示标志"/>
                                <pic:cNvPicPr>
                                  <a:picLocks noChangeAspect="1"/>
                                </pic:cNvPicPr>
                              </pic:nvPicPr>
                              <pic:blipFill>
                                <a:blip r:embed="rId50"/>
                                <a:stretch>
                                  <a:fillRect/>
                                </a:stretch>
                              </pic:blipFill>
                              <pic:spPr>
                                <a:xfrm>
                                  <a:off x="0" y="0"/>
                                  <a:ext cx="509905" cy="504190"/>
                                </a:xfrm>
                                <a:prstGeom prst="rect">
                                  <a:avLst/>
                                </a:prstGeom>
                                <a:noFill/>
                                <a:ln>
                                  <a:noFill/>
                                </a:ln>
                              </pic:spPr>
                            </pic:pic>
                          </a:graphicData>
                        </a:graphic>
                      </wp:inline>
                    </w:drawing>
                  </w:r>
                </w:p>
              </w:tc>
              <w:tc>
                <w:tcPr>
                  <w:tcW w:w="46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噪声源</w:t>
                  </w:r>
                </w:p>
              </w:tc>
              <w:tc>
                <w:tcPr>
                  <w:tcW w:w="1187"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ZS-01</w:t>
                  </w:r>
                </w:p>
              </w:tc>
              <w:tc>
                <w:tcPr>
                  <w:tcW w:w="1168"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napToGrid w:val="0"/>
                      <w:color w:val="auto"/>
                      <w:kern w:val="2"/>
                      <w:sz w:val="21"/>
                      <w:szCs w:val="21"/>
                      <w:lang w:val="en-US" w:eastAsia="zh-CN" w:bidi="ar-SA"/>
                    </w:rPr>
                  </w:pPr>
                  <w:r>
                    <w:rPr>
                      <w:rFonts w:ascii="Times New Roman" w:hAnsi="Times New Roman"/>
                      <w:color w:val="auto"/>
                      <w:sz w:val="21"/>
                      <w:szCs w:val="21"/>
                      <w:u w:val="none"/>
                    </w:rPr>
                    <w:drawing>
                      <wp:inline distT="0" distB="0" distL="114300" distR="114300">
                        <wp:extent cx="529590" cy="504190"/>
                        <wp:effectExtent l="0" t="0" r="3810" b="10160"/>
                        <wp:docPr id="34" name="图片 4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
                                <pic:cNvPicPr>
                                  <a:picLocks noChangeAspect="1"/>
                                </pic:cNvPicPr>
                              </pic:nvPicPr>
                              <pic:blipFill>
                                <a:blip r:embed="rId52"/>
                                <a:stretch>
                                  <a:fillRect/>
                                </a:stretch>
                              </pic:blipFill>
                              <pic:spPr>
                                <a:xfrm>
                                  <a:off x="0" y="0"/>
                                  <a:ext cx="529590" cy="504190"/>
                                </a:xfrm>
                                <a:prstGeom prst="rect">
                                  <a:avLst/>
                                </a:prstGeom>
                                <a:noFill/>
                                <a:ln>
                                  <a:noFill/>
                                </a:ln>
                              </pic:spPr>
                            </pic:pic>
                          </a:graphicData>
                        </a:graphic>
                      </wp:inline>
                    </w:drawing>
                  </w:r>
                </w:p>
              </w:tc>
              <w:tc>
                <w:tcPr>
                  <w:tcW w:w="46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466" w:hRule="atLeast"/>
                <w:jc w:val="center"/>
              </w:trPr>
              <w:tc>
                <w:tcPr>
                  <w:tcW w:w="1546"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一般工业固废</w:t>
                  </w:r>
                </w:p>
              </w:tc>
              <w:tc>
                <w:tcPr>
                  <w:tcW w:w="1187"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GF-01</w:t>
                  </w:r>
                </w:p>
              </w:tc>
              <w:tc>
                <w:tcPr>
                  <w:tcW w:w="1168"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color w:val="auto"/>
                      <w:kern w:val="2"/>
                      <w:sz w:val="21"/>
                      <w:szCs w:val="21"/>
                      <w:lang w:val="en-US" w:eastAsia="zh-CN" w:bidi="ar-SA"/>
                    </w:rPr>
                  </w:pPr>
                  <w:r>
                    <w:rPr>
                      <w:rFonts w:ascii="Times New Roman" w:hAnsi="Times New Roman"/>
                      <w:color w:val="auto"/>
                      <w:sz w:val="21"/>
                      <w:szCs w:val="21"/>
                    </w:rPr>
                    <w:drawing>
                      <wp:inline distT="0" distB="0" distL="114300" distR="114300">
                        <wp:extent cx="604520" cy="504190"/>
                        <wp:effectExtent l="0" t="0" r="5080" b="10160"/>
                        <wp:docPr id="35" name="图片 91" descr="一般固废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1" descr="一般固废提示标志"/>
                                <pic:cNvPicPr>
                                  <a:picLocks noChangeAspect="1"/>
                                </pic:cNvPicPr>
                              </pic:nvPicPr>
                              <pic:blipFill>
                                <a:blip r:embed="rId53"/>
                                <a:stretch>
                                  <a:fillRect/>
                                </a:stretch>
                              </pic:blipFill>
                              <pic:spPr>
                                <a:xfrm>
                                  <a:off x="0" y="0"/>
                                  <a:ext cx="604520" cy="504190"/>
                                </a:xfrm>
                                <a:prstGeom prst="rect">
                                  <a:avLst/>
                                </a:prstGeom>
                                <a:noFill/>
                                <a:ln>
                                  <a:noFill/>
                                </a:ln>
                              </pic:spPr>
                            </pic:pic>
                          </a:graphicData>
                        </a:graphic>
                      </wp:inline>
                    </w:drawing>
                  </w:r>
                </w:p>
              </w:tc>
              <w:tc>
                <w:tcPr>
                  <w:tcW w:w="46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p>
              </w:tc>
            </w:tr>
          </w:tbl>
          <w:p>
            <w:pPr>
              <w:pStyle w:val="48"/>
              <w:adjustRightInd w:val="0"/>
              <w:snapToGrid w:val="0"/>
              <w:spacing w:line="440" w:lineRule="exact"/>
              <w:ind w:firstLine="482"/>
              <w:rPr>
                <w:rFonts w:hint="default" w:ascii="Times New Roman" w:hAnsi="Times New Roman"/>
                <w:b/>
                <w:color w:val="auto"/>
                <w:sz w:val="24"/>
                <w:szCs w:val="24"/>
                <w:lang w:val="en-US" w:eastAsia="zh-CN"/>
              </w:rPr>
            </w:pPr>
            <w:r>
              <w:rPr>
                <w:rFonts w:hint="eastAsia" w:ascii="Times New Roman" w:hAnsi="Times New Roman"/>
                <w:b/>
                <w:color w:val="auto"/>
                <w:sz w:val="24"/>
                <w:szCs w:val="24"/>
                <w:lang w:val="en-US" w:eastAsia="zh-CN"/>
              </w:rPr>
              <w:t>13、环保投资估算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拟建项目</w:t>
            </w:r>
            <w:r>
              <w:rPr>
                <w:rFonts w:hint="default" w:ascii="Times New Roman" w:hAnsi="Times New Roman" w:cs="Times New Roman"/>
                <w:color w:val="auto"/>
                <w:sz w:val="24"/>
                <w:szCs w:val="24"/>
                <w:highlight w:val="none"/>
              </w:rPr>
              <w:t>总投资</w:t>
            </w:r>
            <w:r>
              <w:rPr>
                <w:rFonts w:hint="eastAsia" w:cs="Times New Roman"/>
                <w:color w:val="auto"/>
                <w:sz w:val="24"/>
                <w:szCs w:val="24"/>
                <w:highlight w:val="none"/>
                <w:lang w:val="en-US" w:eastAsia="zh-CN"/>
              </w:rPr>
              <w:t>29000</w:t>
            </w:r>
            <w:r>
              <w:rPr>
                <w:rFonts w:hint="default" w:ascii="Times New Roman" w:hAnsi="Times New Roman" w:cs="Times New Roman"/>
                <w:color w:val="auto"/>
                <w:sz w:val="24"/>
                <w:szCs w:val="24"/>
                <w:highlight w:val="none"/>
              </w:rPr>
              <w:t>万元，环保投资约为</w:t>
            </w:r>
            <w:r>
              <w:rPr>
                <w:rFonts w:hint="eastAsia" w:cs="Times New Roman"/>
                <w:color w:val="auto"/>
                <w:sz w:val="24"/>
                <w:szCs w:val="24"/>
                <w:highlight w:val="none"/>
                <w:lang w:val="en-US" w:eastAsia="zh-CN"/>
              </w:rPr>
              <w:t>428</w:t>
            </w:r>
            <w:r>
              <w:rPr>
                <w:rFonts w:hint="default" w:ascii="Times New Roman" w:hAnsi="Times New Roman" w:cs="Times New Roman"/>
                <w:color w:val="auto"/>
                <w:sz w:val="24"/>
                <w:szCs w:val="24"/>
                <w:highlight w:val="none"/>
              </w:rPr>
              <w:t>万元，占工程总投资的</w:t>
            </w:r>
            <w:r>
              <w:rPr>
                <w:rFonts w:hint="eastAsia" w:cs="Times New Roman"/>
                <w:color w:val="auto"/>
                <w:sz w:val="24"/>
                <w:szCs w:val="24"/>
                <w:highlight w:val="none"/>
                <w:lang w:val="en-US" w:eastAsia="zh-CN"/>
              </w:rPr>
              <w:t>1.48</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。具体情况见下表。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4-38</w:t>
            </w:r>
            <w:r>
              <w:rPr>
                <w:rFonts w:hint="default" w:ascii="Times New Roman" w:hAnsi="Times New Roman" w:cs="Times New Roman"/>
                <w:b/>
                <w:bCs/>
                <w:color w:val="auto"/>
                <w:sz w:val="24"/>
                <w:szCs w:val="24"/>
                <w:highlight w:val="none"/>
              </w:rPr>
              <w:t xml:space="preserve">    </w:t>
            </w:r>
            <w:r>
              <w:rPr>
                <w:rFonts w:hint="eastAsia" w:ascii="Times New Roman" w:hAnsi="Times New Roman" w:cs="Times New Roman"/>
                <w:b/>
                <w:bCs/>
                <w:color w:val="auto"/>
                <w:sz w:val="24"/>
                <w:szCs w:val="24"/>
                <w:highlight w:val="none"/>
                <w:lang w:eastAsia="zh-CN"/>
              </w:rPr>
              <w:t>拟建项目</w:t>
            </w:r>
            <w:r>
              <w:rPr>
                <w:rFonts w:hint="default" w:ascii="Times New Roman" w:hAnsi="Times New Roman" w:cs="Times New Roman"/>
                <w:b/>
                <w:bCs/>
                <w:color w:val="auto"/>
                <w:sz w:val="24"/>
                <w:szCs w:val="24"/>
                <w:highlight w:val="none"/>
              </w:rPr>
              <w:t>环保措施投资估算表</w:t>
            </w:r>
          </w:p>
          <w:tbl>
            <w:tblPr>
              <w:tblStyle w:val="19"/>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9"/>
              <w:gridCol w:w="328"/>
              <w:gridCol w:w="400"/>
              <w:gridCol w:w="1556"/>
              <w:gridCol w:w="2569"/>
              <w:gridCol w:w="1888"/>
              <w:gridCol w:w="1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621" w:type="pct"/>
                  <w:gridSpan w:val="4"/>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项目</w:t>
                  </w:r>
                </w:p>
              </w:tc>
              <w:tc>
                <w:tcPr>
                  <w:tcW w:w="1535" w:type="pct"/>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内容</w:t>
                  </w:r>
                </w:p>
              </w:tc>
              <w:tc>
                <w:tcPr>
                  <w:tcW w:w="1128" w:type="pct"/>
                  <w:tcBorders>
                    <w:lef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设备数量</w:t>
                  </w:r>
                </w:p>
              </w:tc>
              <w:tc>
                <w:tcPr>
                  <w:tcW w:w="715" w:type="pc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投资估算(万元)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废气</w:t>
                  </w:r>
                </w:p>
              </w:tc>
              <w:tc>
                <w:tcPr>
                  <w:tcW w:w="19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扬尘</w:t>
                  </w:r>
                </w:p>
              </w:tc>
              <w:tc>
                <w:tcPr>
                  <w:tcW w:w="2663"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施工作业面、施工场地、施工道路洒水降尘</w:t>
                  </w:r>
                </w:p>
              </w:tc>
              <w:tc>
                <w:tcPr>
                  <w:tcW w:w="715" w:type="pc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材料堆放、弃土临时堆场洒水防尘，采取覆盖堆料、润湿等措施</w:t>
                  </w:r>
                </w:p>
              </w:tc>
              <w:tc>
                <w:tcPr>
                  <w:tcW w:w="715" w:type="pc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汽车加盖篷布运输，及时清扫道路沿线遗洒物料，道路洒水降尘</w:t>
                  </w:r>
                </w:p>
              </w:tc>
              <w:tc>
                <w:tcPr>
                  <w:tcW w:w="715" w:type="pct"/>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eastAsia="zh-CN"/>
                    </w:rPr>
                    <w:t>设置不低于</w:t>
                  </w:r>
                  <w:r>
                    <w:rPr>
                      <w:rFonts w:hint="default" w:ascii="Times New Roman" w:hAnsi="Times New Roman" w:eastAsia="宋体" w:cs="Times New Roman"/>
                      <w:color w:val="auto"/>
                      <w:sz w:val="21"/>
                      <w:szCs w:val="21"/>
                      <w:u w:val="none"/>
                      <w:lang w:val="en-US" w:eastAsia="zh-CN"/>
                    </w:rPr>
                    <w:t>1.5m围挡</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施工结束后，对厂区内裸露地面进行绿化</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车辆及施工机械尾气</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选用先进施工机械，尽量使用电气化设备，</w:t>
                  </w:r>
                  <w:r>
                    <w:rPr>
                      <w:rFonts w:hint="default" w:ascii="Times New Roman" w:hAnsi="Times New Roman" w:eastAsia="宋体" w:cs="Times New Roman"/>
                      <w:color w:val="auto"/>
                      <w:sz w:val="21"/>
                      <w:szCs w:val="21"/>
                      <w:u w:val="none"/>
                    </w:rPr>
                    <w:t>加强车辆</w:t>
                  </w:r>
                  <w:r>
                    <w:rPr>
                      <w:rFonts w:hint="eastAsia" w:cs="Times New Roman"/>
                      <w:color w:val="auto"/>
                      <w:sz w:val="21"/>
                      <w:szCs w:val="21"/>
                      <w:u w:val="none"/>
                      <w:lang w:eastAsia="zh-CN"/>
                    </w:rPr>
                    <w:t>、</w:t>
                  </w:r>
                  <w:r>
                    <w:rPr>
                      <w:rFonts w:hint="eastAsia" w:cs="Times New Roman"/>
                      <w:color w:val="auto"/>
                      <w:sz w:val="21"/>
                      <w:szCs w:val="21"/>
                      <w:u w:val="none"/>
                      <w:lang w:val="en-US" w:eastAsia="zh-CN"/>
                    </w:rPr>
                    <w:t>机械</w:t>
                  </w:r>
                  <w:r>
                    <w:rPr>
                      <w:rFonts w:hint="default" w:ascii="Times New Roman" w:hAnsi="Times New Roman" w:eastAsia="宋体" w:cs="Times New Roman"/>
                      <w:color w:val="auto"/>
                      <w:sz w:val="21"/>
                      <w:szCs w:val="21"/>
                      <w:u w:val="none"/>
                    </w:rPr>
                    <w:t>维修保养</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罐体焊接烟尘</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焊接烟尘产生量较小，周边空气流通性较好</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装修废气</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采用环保油漆和涂料，分批购进油漆，及时清运处理油漆桶，加强管理</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罐体涂装废气</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采用环保型涂料，周边空气流通性较好，</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储罐底座防渗产生的废气</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沥青废气分散且具有流动性，周边空气流通性较好</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探伤辐射</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建设1套探伤集装箱铅房，5座临时铅棚，各种建筑物遮挡；作业人员佩戴护目镜，配备射线剂量检测仪，加强射线装置管理，设置警示标志</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运营期</w:t>
                  </w: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汽油装车废气（含应急汽油卸车废气）、汽油扫仓废气</w:t>
                  </w:r>
                </w:p>
              </w:tc>
              <w:tc>
                <w:tcPr>
                  <w:tcW w:w="1535" w:type="pct"/>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密闭鹤管/密闭软管+油气回收装置（三级冷凝+活性炭吸附）+20m高排气筒</w:t>
                  </w:r>
                </w:p>
              </w:tc>
              <w:tc>
                <w:tcPr>
                  <w:tcW w:w="1128" w:type="pct"/>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1套油气回收装置，1根排气筒</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储罐</w:t>
                  </w:r>
                  <w:r>
                    <w:rPr>
                      <w:rFonts w:hint="eastAsia" w:ascii="Times New Roman" w:hAnsi="Times New Roman" w:cs="Times New Roman"/>
                      <w:color w:val="auto"/>
                      <w:sz w:val="21"/>
                      <w:szCs w:val="21"/>
                      <w:u w:val="none"/>
                      <w:lang w:val="en-US" w:eastAsia="zh-CN"/>
                    </w:rPr>
                    <w:t>大小呼吸</w:t>
                  </w:r>
                  <w:r>
                    <w:rPr>
                      <w:rFonts w:hint="default" w:ascii="Times New Roman" w:hAnsi="Times New Roman" w:eastAsia="宋体" w:cs="Times New Roman"/>
                      <w:color w:val="auto"/>
                      <w:sz w:val="21"/>
                      <w:szCs w:val="21"/>
                      <w:u w:val="none"/>
                      <w:lang w:eastAsia="zh-CN"/>
                    </w:rPr>
                    <w:t>废气</w:t>
                  </w:r>
                </w:p>
              </w:tc>
              <w:tc>
                <w:tcPr>
                  <w:tcW w:w="1535" w:type="pct"/>
                  <w:tcBorders>
                    <w:top w:val="single" w:color="auto" w:sz="4" w:space="0"/>
                    <w:bottom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浮顶罐+高效二次密封</w:t>
                  </w: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w:t>
                  </w:r>
                  <w:r>
                    <w:rPr>
                      <w:rFonts w:hint="default" w:ascii="Times New Roman" w:hAnsi="Times New Roman" w:eastAsia="宋体" w:cs="Times New Roman"/>
                      <w:color w:val="auto"/>
                      <w:sz w:val="21"/>
                      <w:szCs w:val="21"/>
                      <w:u w:val="none"/>
                      <w:lang w:eastAsia="zh-CN"/>
                    </w:rPr>
                    <w:t>夏季高温采用自动喷淋装置对油罐进行冷却降温</w:t>
                  </w:r>
                </w:p>
              </w:tc>
              <w:tc>
                <w:tcPr>
                  <w:tcW w:w="1128" w:type="pct"/>
                  <w:tcBorders>
                    <w:top w:val="single" w:color="auto" w:sz="4" w:space="0"/>
                    <w:left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1套</w:t>
                  </w:r>
                  <w:r>
                    <w:rPr>
                      <w:rFonts w:hint="default" w:ascii="Times New Roman" w:hAnsi="Times New Roman" w:eastAsia="宋体" w:cs="Times New Roman"/>
                      <w:color w:val="auto"/>
                      <w:sz w:val="21"/>
                      <w:szCs w:val="21"/>
                      <w:u w:val="none"/>
                      <w:lang w:eastAsia="zh-CN"/>
                    </w:rPr>
                    <w:t>自动喷淋设备</w:t>
                  </w:r>
                  <w:r>
                    <w:rPr>
                      <w:rFonts w:hint="eastAsia" w:cs="Times New Roman"/>
                      <w:color w:val="auto"/>
                      <w:sz w:val="21"/>
                      <w:szCs w:val="21"/>
                      <w:u w:val="none"/>
                      <w:lang w:val="en-US" w:eastAsia="zh-CN"/>
                    </w:rPr>
                    <w:t>，9个浮顶罐，9套高效二次密封</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食堂油烟</w:t>
                  </w:r>
                </w:p>
              </w:tc>
              <w:tc>
                <w:tcPr>
                  <w:tcW w:w="1535" w:type="pct"/>
                  <w:tcBorders>
                    <w:top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cs="Times New Roman"/>
                      <w:color w:val="auto"/>
                      <w:spacing w:val="-11"/>
                      <w:sz w:val="21"/>
                      <w:szCs w:val="21"/>
                      <w:highlight w:val="none"/>
                    </w:rPr>
                    <w:t>油烟集气罩+油烟净化装置+</w:t>
                  </w:r>
                  <w:r>
                    <w:rPr>
                      <w:rFonts w:hint="eastAsia" w:ascii="Times New Roman" w:hAnsi="Times New Roman" w:cs="Times New Roman"/>
                      <w:color w:val="auto"/>
                      <w:sz w:val="21"/>
                      <w:szCs w:val="21"/>
                      <w:u w:val="none"/>
                      <w:lang w:val="en-US" w:eastAsia="zh-CN"/>
                    </w:rPr>
                    <w:t>专用烟道</w:t>
                  </w:r>
                  <w:r>
                    <w:rPr>
                      <w:rFonts w:hint="eastAsia" w:cs="Times New Roman"/>
                      <w:color w:val="auto"/>
                      <w:sz w:val="21"/>
                      <w:szCs w:val="21"/>
                      <w:u w:val="none"/>
                      <w:lang w:val="en-US" w:eastAsia="zh-CN"/>
                    </w:rPr>
                    <w:t>综合楼顶</w:t>
                  </w:r>
                  <w:r>
                    <w:rPr>
                      <w:rFonts w:hint="eastAsia" w:ascii="Times New Roman" w:hAnsi="Times New Roman" w:cs="Times New Roman"/>
                      <w:color w:val="auto"/>
                      <w:sz w:val="21"/>
                      <w:szCs w:val="21"/>
                      <w:u w:val="none"/>
                      <w:lang w:val="en-US" w:eastAsia="zh-CN"/>
                    </w:rPr>
                    <w:t>排放（</w:t>
                  </w:r>
                  <w:r>
                    <w:rPr>
                      <w:rFonts w:hint="eastAsia" w:cs="Times New Roman"/>
                      <w:color w:val="auto"/>
                      <w:sz w:val="21"/>
                      <w:szCs w:val="21"/>
                      <w:u w:val="none"/>
                      <w:lang w:val="en-US" w:eastAsia="zh-CN"/>
                    </w:rPr>
                    <w:t>10m</w:t>
                  </w:r>
                  <w:r>
                    <w:rPr>
                      <w:rFonts w:hint="eastAsia" w:ascii="Times New Roman" w:hAnsi="Times New Roman" w:cs="Times New Roman"/>
                      <w:color w:val="auto"/>
                      <w:sz w:val="21"/>
                      <w:szCs w:val="21"/>
                      <w:u w:val="none"/>
                      <w:lang w:val="en-US" w:eastAsia="zh-CN"/>
                    </w:rPr>
                    <w:t>）</w:t>
                  </w:r>
                </w:p>
              </w:tc>
              <w:tc>
                <w:tcPr>
                  <w:tcW w:w="1128" w:type="pct"/>
                  <w:tcBorders>
                    <w:top w:val="single" w:color="auto" w:sz="4" w:space="0"/>
                    <w:lef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1个油烟集气罩，</w:t>
                  </w:r>
                  <w:r>
                    <w:rPr>
                      <w:rFonts w:hint="default" w:ascii="Times New Roman" w:hAnsi="Times New Roman" w:eastAsia="宋体" w:cs="Times New Roman"/>
                      <w:color w:val="auto"/>
                      <w:sz w:val="21"/>
                      <w:szCs w:val="21"/>
                      <w:u w:val="none"/>
                      <w:lang w:val="en-US" w:eastAsia="zh-CN"/>
                    </w:rPr>
                    <w:t>油烟净化器1套</w:t>
                  </w:r>
                  <w:r>
                    <w:rPr>
                      <w:rFonts w:hint="eastAsia"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1根专用烟道</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卸油废气</w:t>
                  </w:r>
                </w:p>
              </w:tc>
              <w:tc>
                <w:tcPr>
                  <w:tcW w:w="2663"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cs="Times New Roman"/>
                      <w:color w:val="auto"/>
                      <w:sz w:val="21"/>
                      <w:szCs w:val="21"/>
                      <w:u w:val="none"/>
                      <w:lang w:val="en-US" w:eastAsia="zh-CN"/>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鹤管+软管</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密闭卸车，罐车顶部气相口关闭</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柴油扫仓废气</w:t>
                  </w:r>
                </w:p>
              </w:tc>
              <w:tc>
                <w:tcPr>
                  <w:tcW w:w="2663"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密闭软管收集后排放</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柴油装车废气</w:t>
                  </w:r>
                </w:p>
              </w:tc>
              <w:tc>
                <w:tcPr>
                  <w:tcW w:w="2663"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密闭发油鹤管收集后排放</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化验室废气</w:t>
                  </w:r>
                </w:p>
              </w:tc>
              <w:tc>
                <w:tcPr>
                  <w:tcW w:w="2663"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通风柜收集后排放</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污水处理站废气</w:t>
                  </w:r>
                </w:p>
              </w:tc>
              <w:tc>
                <w:tcPr>
                  <w:tcW w:w="2663"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加盖密闭</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柴油发电机废气</w:t>
                  </w:r>
                </w:p>
              </w:tc>
              <w:tc>
                <w:tcPr>
                  <w:tcW w:w="2663"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设置排放系统，加强管理</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cs="Times New Roman"/>
                      <w:color w:val="auto"/>
                      <w:sz w:val="21"/>
                      <w:szCs w:val="21"/>
                      <w:u w:val="none"/>
                      <w:lang w:val="en-US" w:eastAsia="zh-CN"/>
                    </w:rPr>
                  </w:pPr>
                  <w:r>
                    <w:rPr>
                      <w:rFonts w:hint="eastAsia" w:cs="Times New Roman"/>
                      <w:color w:val="auto"/>
                      <w:spacing w:val="-11"/>
                      <w:sz w:val="21"/>
                      <w:szCs w:val="21"/>
                      <w:highlight w:val="none"/>
                      <w:lang w:val="en-US" w:eastAsia="zh-CN"/>
                    </w:rPr>
                    <w:t>汽车尾气</w:t>
                  </w:r>
                </w:p>
              </w:tc>
              <w:tc>
                <w:tcPr>
                  <w:tcW w:w="2663" w:type="pct"/>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缩短车辆在库内的怠速时间，降低车辆运输车速，加强管理</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废水</w:t>
                  </w:r>
                </w:p>
              </w:tc>
              <w:tc>
                <w:tcPr>
                  <w:tcW w:w="19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施工废水</w:t>
                  </w:r>
                  <w:r>
                    <w:rPr>
                      <w:rFonts w:hint="default" w:ascii="Times New Roman" w:hAnsi="Times New Roman" w:eastAsia="宋体" w:cs="Times New Roman"/>
                      <w:color w:val="auto"/>
                      <w:sz w:val="21"/>
                      <w:szCs w:val="21"/>
                      <w:u w:val="none"/>
                      <w:lang w:eastAsia="zh-CN"/>
                    </w:rPr>
                    <w:t>（储罐试压试漏废水）</w:t>
                  </w:r>
                </w:p>
              </w:tc>
              <w:tc>
                <w:tcPr>
                  <w:tcW w:w="2663"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施压试漏水重复使用，</w:t>
                  </w:r>
                  <w:r>
                    <w:rPr>
                      <w:rFonts w:hint="default" w:ascii="Times New Roman" w:hAnsi="Times New Roman" w:eastAsia="宋体" w:cs="Times New Roman"/>
                      <w:color w:val="auto"/>
                      <w:sz w:val="21"/>
                      <w:szCs w:val="21"/>
                      <w:u w:val="none"/>
                    </w:rPr>
                    <w:t>施工场地内修建隔油、沉淀池，</w:t>
                  </w:r>
                  <w:r>
                    <w:rPr>
                      <w:rFonts w:hint="eastAsia" w:cs="Times New Roman"/>
                      <w:color w:val="auto"/>
                      <w:sz w:val="21"/>
                      <w:szCs w:val="21"/>
                      <w:u w:val="none"/>
                      <w:lang w:val="en-US" w:eastAsia="zh-CN"/>
                    </w:rPr>
                    <w:t>回用于施工场地洒水抑尘、车辆冲洗</w:t>
                  </w:r>
                  <w:r>
                    <w:rPr>
                      <w:rFonts w:hint="default" w:ascii="Times New Roman" w:hAnsi="Times New Roman" w:eastAsia="宋体" w:cs="Times New Roman"/>
                      <w:color w:val="auto"/>
                      <w:sz w:val="21"/>
                      <w:szCs w:val="21"/>
                      <w:u w:val="none"/>
                    </w:rPr>
                    <w:t>。</w:t>
                  </w:r>
                </w:p>
              </w:tc>
              <w:tc>
                <w:tcPr>
                  <w:tcW w:w="715" w:type="pc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生活废水</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工人为附近居民，施工场地设置旱厕，饮食均在当地居民家中。</w:t>
                  </w:r>
                </w:p>
              </w:tc>
              <w:tc>
                <w:tcPr>
                  <w:tcW w:w="715" w:type="pct"/>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restar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运营期</w:t>
                  </w:r>
                </w:p>
              </w:tc>
              <w:tc>
                <w:tcPr>
                  <w:tcW w:w="239" w:type="pct"/>
                  <w:vMerge w:val="restart"/>
                  <w:tcBorders>
                    <w:top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生活污水</w:t>
                  </w:r>
                </w:p>
              </w:tc>
              <w:tc>
                <w:tcPr>
                  <w:tcW w:w="929" w:type="pct"/>
                  <w:tcBorders>
                    <w:top w:val="single" w:color="auto" w:sz="4" w:space="0"/>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双龙镇污水处理厂扩建完成前</w:t>
                  </w:r>
                </w:p>
              </w:tc>
              <w:tc>
                <w:tcPr>
                  <w:tcW w:w="1535" w:type="pct"/>
                  <w:tcBorders>
                    <w:top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bidi="ar-SA"/>
                    </w:rPr>
                    <w:t>食堂废水经隔油池处理后与生活污水一并经“</w:t>
                  </w:r>
                  <w:r>
                    <w:rPr>
                      <w:rFonts w:hint="default" w:ascii="Times New Roman" w:hAnsi="Times New Roman" w:eastAsia="宋体" w:cs="Times New Roman"/>
                      <w:color w:val="auto"/>
                      <w:sz w:val="21"/>
                      <w:szCs w:val="21"/>
                      <w:u w:val="none"/>
                      <w:lang w:val="en-US" w:eastAsia="zh-CN" w:bidi="ar-SA"/>
                    </w:rPr>
                    <w:t>化粪池</w:t>
                  </w:r>
                  <w:r>
                    <w:rPr>
                      <w:rFonts w:hint="eastAsia" w:ascii="Times New Roman" w:hAnsi="Times New Roman" w:eastAsia="宋体" w:cs="Times New Roman"/>
                      <w:color w:val="auto"/>
                      <w:sz w:val="21"/>
                      <w:szCs w:val="21"/>
                      <w:u w:val="none"/>
                      <w:lang w:val="en-US" w:eastAsia="zh-CN" w:bidi="ar-SA"/>
                    </w:rPr>
                    <w:t>”处理后定期清掏外运</w:t>
                  </w:r>
                </w:p>
              </w:tc>
              <w:tc>
                <w:tcPr>
                  <w:tcW w:w="1128" w:type="pct"/>
                  <w:tcBorders>
                    <w:top w:val="single" w:color="auto" w:sz="4" w:space="0"/>
                    <w:lef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1座隔油池，1座化粪池</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70"/>
                    <w:keepNext w:val="0"/>
                    <w:keepLines w:val="0"/>
                    <w:pageBreakBefore w:val="0"/>
                    <w:widowControl/>
                    <w:kinsoku/>
                    <w:topLinePunct w:val="0"/>
                    <w:bidi w:val="0"/>
                    <w:adjustRightInd w:val="0"/>
                    <w:snapToGrid w:val="0"/>
                    <w:spacing w:line="320" w:lineRule="exact"/>
                    <w:rPr>
                      <w:color w:val="auto"/>
                    </w:rPr>
                  </w:pPr>
                </w:p>
              </w:tc>
              <w:tc>
                <w:tcPr>
                  <w:tcW w:w="196" w:type="pct"/>
                  <w:vMerge w:val="continue"/>
                  <w:noWrap w:val="0"/>
                  <w:vAlign w:val="center"/>
                </w:tcPr>
                <w:p>
                  <w:pPr>
                    <w:pStyle w:val="70"/>
                    <w:keepNext w:val="0"/>
                    <w:keepLines w:val="0"/>
                    <w:pageBreakBefore w:val="0"/>
                    <w:widowControl/>
                    <w:kinsoku/>
                    <w:topLinePunct w:val="0"/>
                    <w:bidi w:val="0"/>
                    <w:adjustRightInd w:val="0"/>
                    <w:snapToGrid w:val="0"/>
                    <w:spacing w:line="320" w:lineRule="exact"/>
                    <w:rPr>
                      <w:color w:val="auto"/>
                    </w:rPr>
                  </w:pPr>
                </w:p>
              </w:tc>
              <w:tc>
                <w:tcPr>
                  <w:tcW w:w="239" w:type="pct"/>
                  <w:vMerge w:val="continue"/>
                  <w:tcBorders>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color w:val="auto"/>
                    </w:rPr>
                  </w:pPr>
                </w:p>
              </w:tc>
              <w:tc>
                <w:tcPr>
                  <w:tcW w:w="929" w:type="pct"/>
                  <w:tcBorders>
                    <w:top w:val="single" w:color="auto" w:sz="4" w:space="0"/>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color w:val="auto"/>
                      <w:lang w:val="en-US"/>
                    </w:rPr>
                  </w:pPr>
                  <w:r>
                    <w:rPr>
                      <w:rFonts w:hint="eastAsia" w:cs="Times New Roman"/>
                      <w:color w:val="auto"/>
                      <w:sz w:val="21"/>
                      <w:szCs w:val="21"/>
                      <w:u w:val="none"/>
                      <w:lang w:val="en-US" w:eastAsia="zh-CN"/>
                    </w:rPr>
                    <w:t>双龙镇污水处理厂扩建完成后</w:t>
                  </w:r>
                </w:p>
              </w:tc>
              <w:tc>
                <w:tcPr>
                  <w:tcW w:w="1535" w:type="pct"/>
                  <w:tcBorders>
                    <w:bottom w:val="single" w:color="auto" w:sz="4" w:space="0"/>
                    <w:right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食堂废水经隔油池处理后与生活污水一并经“</w:t>
                  </w:r>
                  <w:r>
                    <w:rPr>
                      <w:rFonts w:hint="default" w:ascii="Times New Roman" w:hAnsi="Times New Roman" w:eastAsia="宋体" w:cs="Times New Roman"/>
                      <w:color w:val="auto"/>
                      <w:kern w:val="2"/>
                      <w:sz w:val="21"/>
                      <w:szCs w:val="21"/>
                      <w:u w:val="none"/>
                      <w:lang w:val="en-US" w:eastAsia="zh-CN" w:bidi="ar-SA"/>
                    </w:rPr>
                    <w:t>化粪池</w:t>
                  </w:r>
                  <w:r>
                    <w:rPr>
                      <w:rFonts w:hint="eastAsia" w:ascii="Times New Roman" w:hAnsi="Times New Roman" w:eastAsia="宋体" w:cs="Times New Roman"/>
                      <w:color w:val="auto"/>
                      <w:kern w:val="2"/>
                      <w:sz w:val="21"/>
                      <w:szCs w:val="21"/>
                      <w:u w:val="none"/>
                      <w:lang w:val="en-US" w:eastAsia="zh-CN" w:bidi="ar-SA"/>
                    </w:rPr>
                    <w:t>+地埋式生活污水处理装置（格栅+调节+A/O+混凝沉淀）”处理后排入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128" w:type="pct"/>
                  <w:tcBorders>
                    <w:left w:val="single" w:color="auto" w:sz="4" w:space="0"/>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z w:val="21"/>
                      <w:szCs w:val="21"/>
                      <w:u w:val="none"/>
                      <w:lang w:val="en-US" w:eastAsia="zh-CN"/>
                    </w:rPr>
                    <w:t>1座隔油池，1座化粪池，1套地埋式生活污水处理装置</w:t>
                  </w:r>
                </w:p>
              </w:tc>
              <w:tc>
                <w:tcPr>
                  <w:tcW w:w="715" w:type="pct"/>
                  <w:tcBorders>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restart"/>
                  <w:tcBorders>
                    <w:top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含油污水</w:t>
                  </w:r>
                </w:p>
              </w:tc>
              <w:tc>
                <w:tcPr>
                  <w:tcW w:w="929" w:type="pct"/>
                  <w:tcBorders>
                    <w:top w:val="single" w:color="auto" w:sz="4" w:space="0"/>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双龙镇污水处理厂扩建完成前</w:t>
                  </w:r>
                </w:p>
              </w:tc>
              <w:tc>
                <w:tcPr>
                  <w:tcW w:w="1535" w:type="pct"/>
                  <w:tcBorders>
                    <w:top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“调节池+油水分离器+气浮+A/O+MBR膜池+检测池”处理后用于库区绿化、泼洒抑尘</w:t>
                  </w:r>
                </w:p>
              </w:tc>
              <w:tc>
                <w:tcPr>
                  <w:tcW w:w="1128" w:type="pct"/>
                  <w:tcBorders>
                    <w:top w:val="single" w:color="auto" w:sz="4" w:space="0"/>
                    <w:lef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1座密闭式含油污水调节池，1套含有废水处理装置</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70"/>
                    <w:keepNext w:val="0"/>
                    <w:keepLines w:val="0"/>
                    <w:pageBreakBefore w:val="0"/>
                    <w:widowControl/>
                    <w:kinsoku/>
                    <w:topLinePunct w:val="0"/>
                    <w:bidi w:val="0"/>
                    <w:adjustRightInd w:val="0"/>
                    <w:snapToGrid w:val="0"/>
                    <w:spacing w:line="320" w:lineRule="exact"/>
                    <w:rPr>
                      <w:color w:val="auto"/>
                    </w:rPr>
                  </w:pPr>
                </w:p>
              </w:tc>
              <w:tc>
                <w:tcPr>
                  <w:tcW w:w="196" w:type="pct"/>
                  <w:vMerge w:val="continue"/>
                  <w:noWrap w:val="0"/>
                  <w:vAlign w:val="center"/>
                </w:tcPr>
                <w:p>
                  <w:pPr>
                    <w:pStyle w:val="70"/>
                    <w:keepNext w:val="0"/>
                    <w:keepLines w:val="0"/>
                    <w:pageBreakBefore w:val="0"/>
                    <w:widowControl/>
                    <w:kinsoku/>
                    <w:topLinePunct w:val="0"/>
                    <w:bidi w:val="0"/>
                    <w:adjustRightInd w:val="0"/>
                    <w:snapToGrid w:val="0"/>
                    <w:spacing w:line="320" w:lineRule="exact"/>
                    <w:rPr>
                      <w:color w:val="auto"/>
                    </w:rPr>
                  </w:pPr>
                </w:p>
              </w:tc>
              <w:tc>
                <w:tcPr>
                  <w:tcW w:w="239" w:type="pct"/>
                  <w:vMerge w:val="continue"/>
                  <w:tcBorders>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color w:val="auto"/>
                    </w:rPr>
                  </w:pPr>
                </w:p>
              </w:tc>
              <w:tc>
                <w:tcPr>
                  <w:tcW w:w="929" w:type="pct"/>
                  <w:tcBorders>
                    <w:top w:val="single" w:color="auto" w:sz="4" w:space="0"/>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color w:val="auto"/>
                    </w:rPr>
                  </w:pPr>
                  <w:r>
                    <w:rPr>
                      <w:rFonts w:hint="eastAsia" w:cs="Times New Roman"/>
                      <w:color w:val="auto"/>
                      <w:sz w:val="21"/>
                      <w:szCs w:val="21"/>
                      <w:u w:val="none"/>
                      <w:lang w:val="en-US" w:eastAsia="zh-CN"/>
                    </w:rPr>
                    <w:t>双龙镇污水处理厂扩建完成后</w:t>
                  </w:r>
                </w:p>
              </w:tc>
              <w:tc>
                <w:tcPr>
                  <w:tcW w:w="1535" w:type="pct"/>
                  <w:tcBorders>
                    <w:bottom w:val="single" w:color="auto" w:sz="4" w:space="0"/>
                    <w:right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“调节池+油水分离器+过滤器+检测池”处理后排入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128" w:type="pct"/>
                  <w:tcBorders>
                    <w:left w:val="single" w:color="auto" w:sz="4" w:space="0"/>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1座密闭式含油污水调节池，1套含有废水处理装置</w:t>
                  </w:r>
                </w:p>
              </w:tc>
              <w:tc>
                <w:tcPr>
                  <w:tcW w:w="715" w:type="pct"/>
                  <w:tcBorders>
                    <w:bottom w:val="single" w:color="auto" w:sz="4" w:space="0"/>
                  </w:tcBorders>
                  <w:noWrap w:val="0"/>
                  <w:vAlign w:val="center"/>
                </w:tcPr>
                <w:p>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噪声</w:t>
                  </w:r>
                </w:p>
              </w:tc>
              <w:tc>
                <w:tcPr>
                  <w:tcW w:w="196" w:type="pc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设备噪声</w:t>
                  </w:r>
                </w:p>
              </w:tc>
              <w:tc>
                <w:tcPr>
                  <w:tcW w:w="2663"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尽量采用低噪声设备，</w:t>
                  </w:r>
                  <w:r>
                    <w:rPr>
                      <w:rFonts w:hint="default" w:ascii="Times New Roman" w:hAnsi="Times New Roman" w:eastAsia="宋体" w:cs="Times New Roman"/>
                      <w:color w:val="auto"/>
                      <w:sz w:val="21"/>
                      <w:szCs w:val="21"/>
                      <w:u w:val="none"/>
                    </w:rPr>
                    <w:t>高噪设备进行隔声、减振，施工现场设置隔挡，在特殊点施工时安装隔声屏障</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rPr>
                    <w:t>合理进行施工</w:t>
                  </w:r>
                  <w:r>
                    <w:rPr>
                      <w:rFonts w:hint="eastAsia" w:cs="Times New Roman"/>
                      <w:color w:val="auto"/>
                      <w:sz w:val="21"/>
                      <w:szCs w:val="21"/>
                      <w:u w:val="none"/>
                      <w:lang w:val="en-US" w:eastAsia="zh-CN"/>
                    </w:rPr>
                    <w:t>总</w:t>
                  </w:r>
                  <w:r>
                    <w:rPr>
                      <w:rFonts w:hint="default" w:ascii="Times New Roman" w:hAnsi="Times New Roman" w:eastAsia="宋体" w:cs="Times New Roman"/>
                      <w:color w:val="auto"/>
                      <w:sz w:val="21"/>
                      <w:szCs w:val="21"/>
                      <w:u w:val="none"/>
                    </w:rPr>
                    <w:t>平面布置，</w:t>
                  </w:r>
                  <w:r>
                    <w:rPr>
                      <w:rFonts w:hint="eastAsia" w:cs="Times New Roman"/>
                      <w:color w:val="auto"/>
                      <w:sz w:val="21"/>
                      <w:szCs w:val="21"/>
                      <w:u w:val="none"/>
                      <w:lang w:val="en-US" w:eastAsia="zh-CN"/>
                    </w:rPr>
                    <w:t>合理安排施工作业时间，杜绝夜间施工</w:t>
                  </w:r>
                  <w:r>
                    <w:rPr>
                      <w:rFonts w:hint="default" w:ascii="Times New Roman" w:hAnsi="Times New Roman" w:eastAsia="宋体" w:cs="Times New Roman"/>
                      <w:color w:val="auto"/>
                      <w:sz w:val="21"/>
                      <w:szCs w:val="21"/>
                      <w:u w:val="none"/>
                    </w:rPr>
                    <w:t>，</w:t>
                  </w:r>
                  <w:r>
                    <w:rPr>
                      <w:rFonts w:hint="eastAsia" w:cs="Times New Roman"/>
                      <w:color w:val="auto"/>
                      <w:sz w:val="21"/>
                      <w:szCs w:val="21"/>
                      <w:u w:val="none"/>
                      <w:lang w:eastAsia="zh-CN"/>
                    </w:rPr>
                    <w:t>制订</w:t>
                  </w:r>
                  <w:r>
                    <w:rPr>
                      <w:rFonts w:hint="default" w:ascii="Times New Roman" w:hAnsi="Times New Roman" w:eastAsia="宋体" w:cs="Times New Roman"/>
                      <w:color w:val="auto"/>
                      <w:sz w:val="21"/>
                      <w:szCs w:val="21"/>
                      <w:u w:val="none"/>
                    </w:rPr>
                    <w:t>合理运输路线，采取控制车速和禁鸣笛等措施，定期检修和维护机械设备</w:t>
                  </w:r>
                </w:p>
              </w:tc>
              <w:tc>
                <w:tcPr>
                  <w:tcW w:w="715" w:type="pct"/>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运营期</w:t>
                  </w:r>
                </w:p>
              </w:tc>
              <w:tc>
                <w:tcPr>
                  <w:tcW w:w="1168"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设备噪声</w:t>
                  </w:r>
                </w:p>
              </w:tc>
              <w:tc>
                <w:tcPr>
                  <w:tcW w:w="2663" w:type="pct"/>
                  <w:gridSpan w:val="2"/>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选用低噪声设备</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泵采用泵棚密闭安装隔声，做好基础减震措施，泵进出口加柔性软连接</w:t>
                  </w:r>
                  <w:r>
                    <w:rPr>
                      <w:rFonts w:hint="default" w:ascii="Times New Roman" w:hAnsi="Times New Roman" w:cs="Times New Roman"/>
                      <w:color w:val="auto"/>
                      <w:sz w:val="21"/>
                      <w:szCs w:val="21"/>
                      <w:u w:val="none"/>
                      <w:lang w:eastAsia="zh-CN"/>
                    </w:rPr>
                    <w:t>；车辆减速、禁止鸣笛。</w:t>
                  </w:r>
                </w:p>
              </w:tc>
              <w:tc>
                <w:tcPr>
                  <w:tcW w:w="715" w:type="pc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固废</w:t>
                  </w:r>
                </w:p>
              </w:tc>
              <w:tc>
                <w:tcPr>
                  <w:tcW w:w="196" w:type="pct"/>
                  <w:vMerge w:val="restar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eastAsia="zh-CN"/>
                    </w:rPr>
                    <w:t>建筑垃圾</w:t>
                  </w:r>
                </w:p>
              </w:tc>
              <w:tc>
                <w:tcPr>
                  <w:tcW w:w="2663"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按当地政府要求到指定位置倾倒。</w:t>
                  </w:r>
                </w:p>
              </w:tc>
              <w:tc>
                <w:tcPr>
                  <w:tcW w:w="715" w:type="pc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eastAsia="zh-CN"/>
                    </w:rPr>
                    <w:t>拆迁废物</w:t>
                  </w:r>
                </w:p>
              </w:tc>
              <w:tc>
                <w:tcPr>
                  <w:tcW w:w="2663" w:type="pct"/>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拆迁垃圾中有用废木料全部回收外卖利用，其余将运往政府制定的废气垃圾堆存点。</w:t>
                  </w:r>
                </w:p>
              </w:tc>
              <w:tc>
                <w:tcPr>
                  <w:tcW w:w="715" w:type="pct"/>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施工土石方</w:t>
                  </w: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运送至政府部门指定填埋场进行填埋</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废包装材料</w:t>
                  </w: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包装材料集中收集回收外卖处理；罐体涂装会产生废涂料、油漆桶交由有资质的单位统一处置</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生活垃圾</w:t>
                  </w: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日产日清，由环卫部门收集、处理</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restar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运营期</w:t>
                  </w:r>
                </w:p>
              </w:tc>
              <w:tc>
                <w:tcPr>
                  <w:tcW w:w="239" w:type="pct"/>
                  <w:vMerge w:val="restart"/>
                  <w:tcBorders>
                    <w:top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一般固废</w:t>
                  </w:r>
                </w:p>
              </w:tc>
              <w:tc>
                <w:tcPr>
                  <w:tcW w:w="929" w:type="pct"/>
                  <w:tcBorders>
                    <w:top w:val="single" w:color="auto" w:sz="4" w:space="0"/>
                    <w:left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生活垃圾</w:t>
                  </w: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垃圾桶收集，由环卫部门</w:t>
                  </w:r>
                  <w:r>
                    <w:rPr>
                      <w:rFonts w:hint="default" w:ascii="Times New Roman" w:hAnsi="Times New Roman" w:cs="Times New Roman"/>
                      <w:color w:val="auto"/>
                      <w:sz w:val="21"/>
                      <w:szCs w:val="21"/>
                      <w:u w:val="none"/>
                      <w:lang w:eastAsia="zh-CN"/>
                    </w:rPr>
                    <w:t>清运处理</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化粪池污泥</w:t>
                  </w: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定期清掏</w:t>
                  </w:r>
                  <w:r>
                    <w:rPr>
                      <w:rFonts w:hint="default" w:ascii="Times New Roman" w:hAnsi="Times New Roman" w:cs="Times New Roman"/>
                      <w:color w:val="auto"/>
                      <w:sz w:val="21"/>
                      <w:szCs w:val="21"/>
                      <w:u w:val="none"/>
                      <w:lang w:eastAsia="zh-CN"/>
                    </w:rPr>
                    <w:t>，由环卫部门填埋处理</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生活污水处理站污泥</w:t>
                  </w:r>
                </w:p>
              </w:tc>
              <w:tc>
                <w:tcPr>
                  <w:tcW w:w="2663" w:type="pct"/>
                  <w:gridSpan w:val="2"/>
                  <w:tcBorders>
                    <w:top w:val="single" w:color="auto" w:sz="4" w:space="0"/>
                    <w:bottom w:val="single" w:color="auto" w:sz="4" w:space="0"/>
                  </w:tcBorders>
                  <w:noWrap w:val="0"/>
                  <w:vAlign w:val="center"/>
                </w:tcPr>
                <w:p>
                  <w:pPr>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u w:val="none"/>
                      <w:lang w:eastAsia="zh-CN"/>
                    </w:rPr>
                  </w:pPr>
                  <w:r>
                    <w:rPr>
                      <w:rFonts w:hint="eastAsia"/>
                      <w:color w:val="auto"/>
                      <w:sz w:val="21"/>
                      <w:szCs w:val="21"/>
                      <w:highlight w:val="none"/>
                      <w:lang w:val="en-US" w:eastAsia="zh-CN"/>
                    </w:rPr>
                    <w:t>及时清理污泥，由环卫部门填埋处理</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bottom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食堂废水隔油池废油</w:t>
                  </w:r>
                </w:p>
              </w:tc>
              <w:tc>
                <w:tcPr>
                  <w:tcW w:w="2663" w:type="pct"/>
                  <w:gridSpan w:val="2"/>
                  <w:tcBorders>
                    <w:top w:val="single" w:color="auto" w:sz="4" w:space="0"/>
                    <w:bottom w:val="single" w:color="auto" w:sz="4" w:space="0"/>
                  </w:tcBorders>
                  <w:noWrap w:val="0"/>
                  <w:vAlign w:val="center"/>
                </w:tcPr>
                <w:p>
                  <w:pPr>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u w:val="none"/>
                      <w:lang w:eastAsia="zh-CN"/>
                    </w:rPr>
                  </w:pPr>
                  <w:r>
                    <w:rPr>
                      <w:rFonts w:hint="eastAsia"/>
                      <w:color w:val="auto"/>
                      <w:sz w:val="21"/>
                      <w:szCs w:val="21"/>
                      <w:highlight w:val="none"/>
                      <w:lang w:val="en-US" w:eastAsia="zh-CN"/>
                    </w:rPr>
                    <w:t>定期清掏，交由废油脂回收单位处理</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restart"/>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危险固废</w:t>
                  </w:r>
                </w:p>
              </w:tc>
              <w:tc>
                <w:tcPr>
                  <w:tcW w:w="929" w:type="pct"/>
                  <w:tcBorders>
                    <w:top w:val="single" w:color="auto" w:sz="4" w:space="0"/>
                    <w:left w:val="single" w:color="auto" w:sz="4" w:space="0"/>
                    <w:bottom w:val="single" w:color="auto" w:sz="4" w:space="0"/>
                  </w:tcBorders>
                  <w:noWrap w:val="0"/>
                  <w:vAlign w:val="center"/>
                </w:tcPr>
                <w:p>
                  <w:pPr>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pacing w:val="-10"/>
                      <w:sz w:val="21"/>
                      <w:szCs w:val="21"/>
                      <w:highlight w:val="none"/>
                      <w:lang w:eastAsia="zh-CN"/>
                    </w:rPr>
                    <w:t>储罐油泥</w:t>
                  </w: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每三年清理一次，由第三方专业单位清洗后直接带走</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keepNext w:val="0"/>
                    <w:keepLines w:val="0"/>
                    <w:pageBreakBefore w:val="0"/>
                    <w:suppressLineNumbers w:val="0"/>
                    <w:kinsoku/>
                    <w:topLinePunct w:val="0"/>
                    <w:bidi w:val="0"/>
                    <w:adjustRightInd w:val="0"/>
                    <w:snapToGrid w:val="0"/>
                    <w:spacing w:beforeAutospacing="0" w:afterAutospacing="0" w:line="320" w:lineRule="exact"/>
                    <w:ind w:left="0" w:leftChars="0" w:right="0" w:rightChars="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pacing w:val="-10"/>
                      <w:sz w:val="21"/>
                      <w:szCs w:val="21"/>
                      <w:highlight w:val="none"/>
                      <w:lang w:eastAsia="zh-CN"/>
                    </w:rPr>
                    <w:t>废水处理站污泥</w:t>
                  </w:r>
                </w:p>
              </w:tc>
              <w:tc>
                <w:tcPr>
                  <w:tcW w:w="2663" w:type="pct"/>
                  <w:gridSpan w:val="2"/>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清理后直接交由有资质单位处理</w:t>
                  </w:r>
                </w:p>
              </w:tc>
              <w:tc>
                <w:tcPr>
                  <w:tcW w:w="715" w:type="pct"/>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keepNext w:val="0"/>
                    <w:keepLines w:val="0"/>
                    <w:pageBreakBefore w:val="0"/>
                    <w:suppressLineNumbers w:val="0"/>
                    <w:kinsoku/>
                    <w:topLinePunct w:val="0"/>
                    <w:bidi w:val="0"/>
                    <w:adjustRightInd w:val="0"/>
                    <w:snapToGrid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pacing w:val="-10"/>
                      <w:sz w:val="21"/>
                      <w:szCs w:val="21"/>
                      <w:highlight w:val="none"/>
                      <w:lang w:eastAsia="zh-CN"/>
                    </w:rPr>
                    <w:t>污水处理设施废油</w:t>
                  </w:r>
                </w:p>
              </w:tc>
              <w:tc>
                <w:tcPr>
                  <w:tcW w:w="1535" w:type="pct"/>
                  <w:vMerge w:val="restart"/>
                  <w:tcBorders>
                    <w:top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储存于</w:t>
                  </w:r>
                  <w:r>
                    <w:rPr>
                      <w:rFonts w:hint="default" w:ascii="Times New Roman" w:hAnsi="Times New Roman" w:cs="Times New Roman"/>
                      <w:color w:val="auto"/>
                      <w:sz w:val="21"/>
                      <w:szCs w:val="21"/>
                      <w:u w:val="none"/>
                      <w:lang w:eastAsia="zh-CN"/>
                    </w:rPr>
                    <w:t>危废暂存间</w:t>
                  </w:r>
                  <w:r>
                    <w:rPr>
                      <w:rFonts w:hint="default" w:ascii="Times New Roman" w:hAnsi="Times New Roman" w:eastAsia="宋体" w:cs="Times New Roman"/>
                      <w:color w:val="auto"/>
                      <w:sz w:val="21"/>
                      <w:szCs w:val="21"/>
                      <w:u w:val="none"/>
                      <w:lang w:eastAsia="zh-CN"/>
                    </w:rPr>
                    <w:t>，定期交由危废处理资质的单位统一处理</w:t>
                  </w:r>
                </w:p>
              </w:tc>
              <w:tc>
                <w:tcPr>
                  <w:tcW w:w="1128" w:type="pct"/>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pacing w:val="-6"/>
                      <w:sz w:val="21"/>
                      <w:szCs w:val="21"/>
                      <w:u w:val="none"/>
                      <w:lang w:val="en-US" w:eastAsia="zh-CN"/>
                    </w:rPr>
                    <w:t>35</w:t>
                  </w:r>
                  <w:r>
                    <w:rPr>
                      <w:rFonts w:hint="default" w:ascii="Times New Roman" w:hAnsi="Times New Roman" w:eastAsia="宋体" w:cs="Times New Roman"/>
                      <w:color w:val="auto"/>
                      <w:spacing w:val="-6"/>
                      <w:sz w:val="21"/>
                      <w:szCs w:val="21"/>
                      <w:u w:val="none"/>
                    </w:rPr>
                    <w:t>m</w:t>
                  </w:r>
                  <w:r>
                    <w:rPr>
                      <w:rFonts w:hint="default" w:ascii="Times New Roman" w:hAnsi="Times New Roman" w:eastAsia="宋体" w:cs="Times New Roman"/>
                      <w:color w:val="auto"/>
                      <w:spacing w:val="-6"/>
                      <w:sz w:val="21"/>
                      <w:szCs w:val="21"/>
                      <w:u w:val="none"/>
                      <w:vertAlign w:val="superscript"/>
                    </w:rPr>
                    <w:t>2</w:t>
                  </w:r>
                  <w:r>
                    <w:rPr>
                      <w:rFonts w:hint="default" w:ascii="Times New Roman" w:hAnsi="Times New Roman" w:cs="Times New Roman"/>
                      <w:color w:val="auto"/>
                      <w:spacing w:val="-6"/>
                      <w:sz w:val="21"/>
                      <w:szCs w:val="21"/>
                      <w:u w:val="none"/>
                      <w:vertAlign w:val="baseline"/>
                      <w:lang w:eastAsia="zh-CN"/>
                    </w:rPr>
                    <w:t>危废暂存间</w:t>
                  </w:r>
                  <w:r>
                    <w:rPr>
                      <w:rFonts w:hint="default" w:ascii="Times New Roman" w:hAnsi="Times New Roman" w:eastAsia="宋体" w:cs="Times New Roman"/>
                      <w:color w:val="auto"/>
                      <w:spacing w:val="-6"/>
                      <w:sz w:val="21"/>
                      <w:szCs w:val="21"/>
                      <w:u w:val="none"/>
                    </w:rPr>
                    <w:t>1座</w:t>
                  </w:r>
                </w:p>
              </w:tc>
              <w:tc>
                <w:tcPr>
                  <w:tcW w:w="715" w:type="pct"/>
                  <w:vMerge w:val="restart"/>
                  <w:tcBorders>
                    <w:top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keepNext w:val="0"/>
                    <w:keepLines w:val="0"/>
                    <w:pageBreakBefore w:val="0"/>
                    <w:suppressLineNumbers w:val="0"/>
                    <w:kinsoku/>
                    <w:topLinePunct w:val="0"/>
                    <w:bidi w:val="0"/>
                    <w:adjustRightInd w:val="0"/>
                    <w:snapToGrid w:val="0"/>
                    <w:spacing w:beforeAutospacing="0" w:afterAutospacing="0" w:line="320" w:lineRule="exact"/>
                    <w:ind w:left="0" w:leftChars="0" w:right="0" w:rightChars="0" w:firstLine="0" w:firstLineChars="0"/>
                    <w:jc w:val="center"/>
                    <w:rPr>
                      <w:rFonts w:hint="default" w:ascii="Times New Roman" w:hAnsi="Times New Roman" w:cs="Times New Roman"/>
                      <w:color w:val="auto"/>
                      <w:spacing w:val="-10"/>
                      <w:sz w:val="21"/>
                      <w:szCs w:val="21"/>
                      <w:highlight w:val="none"/>
                      <w:lang w:eastAsia="zh-CN"/>
                    </w:rPr>
                  </w:pPr>
                  <w:r>
                    <w:rPr>
                      <w:rFonts w:hint="eastAsia" w:cs="Times New Roman"/>
                      <w:color w:val="auto"/>
                      <w:spacing w:val="-10"/>
                      <w:sz w:val="21"/>
                      <w:szCs w:val="21"/>
                      <w:highlight w:val="none"/>
                      <w:lang w:eastAsia="zh-CN"/>
                    </w:rPr>
                    <w:t>降质油</w:t>
                  </w:r>
                </w:p>
              </w:tc>
              <w:tc>
                <w:tcPr>
                  <w:tcW w:w="1535"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color w:val="auto"/>
                      <w:spacing w:val="-6"/>
                      <w:sz w:val="21"/>
                      <w:szCs w:val="21"/>
                      <w:u w:val="none"/>
                      <w:lang w:val="en-US" w:eastAsia="zh-CN"/>
                    </w:rPr>
                  </w:pPr>
                </w:p>
              </w:tc>
              <w:tc>
                <w:tcPr>
                  <w:tcW w:w="715"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cs="Times New Roman"/>
                      <w:color w:val="auto"/>
                      <w:sz w:val="21"/>
                      <w:szCs w:val="21"/>
                      <w:u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cs="Times New Roman"/>
                      <w:color w:val="auto"/>
                      <w:spacing w:val="-10"/>
                      <w:kern w:val="2"/>
                      <w:sz w:val="21"/>
                      <w:szCs w:val="21"/>
                      <w:highlight w:val="none"/>
                      <w:lang w:eastAsia="zh-CN"/>
                    </w:rPr>
                    <w:t>废活性炭</w:t>
                  </w:r>
                </w:p>
              </w:tc>
              <w:tc>
                <w:tcPr>
                  <w:tcW w:w="1535"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color w:val="auto"/>
                      <w:spacing w:val="-6"/>
                      <w:sz w:val="21"/>
                      <w:szCs w:val="21"/>
                      <w:u w:val="none"/>
                      <w:lang w:val="en-US" w:eastAsia="zh-CN"/>
                    </w:rPr>
                  </w:pPr>
                </w:p>
              </w:tc>
              <w:tc>
                <w:tcPr>
                  <w:tcW w:w="715"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cs="Times New Roman"/>
                      <w:color w:val="auto"/>
                      <w:spacing w:val="-10"/>
                      <w:kern w:val="2"/>
                      <w:sz w:val="21"/>
                      <w:szCs w:val="21"/>
                      <w:highlight w:val="none"/>
                      <w:lang w:val="en-US" w:eastAsia="zh-CN"/>
                    </w:rPr>
                  </w:pPr>
                  <w:r>
                    <w:rPr>
                      <w:rFonts w:hint="default" w:ascii="Times New Roman" w:hAnsi="Times New Roman" w:cs="Times New Roman"/>
                      <w:color w:val="auto"/>
                      <w:spacing w:val="-10"/>
                      <w:kern w:val="2"/>
                      <w:sz w:val="21"/>
                      <w:szCs w:val="21"/>
                      <w:highlight w:val="none"/>
                      <w:lang w:val="en-US" w:eastAsia="zh-CN"/>
                    </w:rPr>
                    <w:t>废含油抹布</w:t>
                  </w:r>
                </w:p>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cs="Times New Roman"/>
                      <w:color w:val="auto"/>
                      <w:spacing w:val="-10"/>
                      <w:kern w:val="2"/>
                      <w:sz w:val="21"/>
                      <w:szCs w:val="21"/>
                      <w:highlight w:val="none"/>
                      <w:lang w:val="en-US" w:eastAsia="zh-CN"/>
                    </w:rPr>
                    <w:t>及劳保用品</w:t>
                  </w:r>
                </w:p>
              </w:tc>
              <w:tc>
                <w:tcPr>
                  <w:tcW w:w="1535"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715"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cs="Times New Roman"/>
                      <w:color w:val="auto"/>
                      <w:kern w:val="0"/>
                      <w:sz w:val="21"/>
                      <w:szCs w:val="21"/>
                      <w:u w:val="none"/>
                      <w:lang w:val="en-US" w:eastAsia="zh-CN" w:bidi="ar-SA"/>
                    </w:rPr>
                    <w:t>罐底切水</w:t>
                  </w:r>
                </w:p>
              </w:tc>
              <w:tc>
                <w:tcPr>
                  <w:tcW w:w="1535"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715"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color w:val="auto"/>
                    </w:rPr>
                  </w:pPr>
                </w:p>
              </w:tc>
              <w:tc>
                <w:tcPr>
                  <w:tcW w:w="196" w:type="pct"/>
                  <w:vMerge w:val="continue"/>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color w:val="auto"/>
                    </w:rPr>
                  </w:pPr>
                </w:p>
              </w:tc>
              <w:tc>
                <w:tcPr>
                  <w:tcW w:w="239" w:type="pct"/>
                  <w:vMerge w:val="continue"/>
                  <w:tcBorders>
                    <w:right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color w:val="auto"/>
                    </w:rPr>
                  </w:pPr>
                </w:p>
              </w:tc>
              <w:tc>
                <w:tcPr>
                  <w:tcW w:w="929" w:type="pct"/>
                  <w:tcBorders>
                    <w:top w:val="single" w:color="auto" w:sz="4" w:space="0"/>
                    <w:left w:val="single" w:color="auto" w:sz="4" w:space="0"/>
                    <w:bottom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cs="Times New Roman"/>
                      <w:color w:val="auto"/>
                      <w:kern w:val="0"/>
                      <w:sz w:val="21"/>
                      <w:szCs w:val="21"/>
                      <w:u w:val="none"/>
                      <w:lang w:val="en-US" w:eastAsia="zh-CN" w:bidi="ar-SA"/>
                    </w:rPr>
                    <w:t>储罐清洗废水</w:t>
                  </w:r>
                </w:p>
              </w:tc>
              <w:tc>
                <w:tcPr>
                  <w:tcW w:w="1535" w:type="pct"/>
                  <w:vMerge w:val="continue"/>
                  <w:tcBorders>
                    <w:right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128" w:type="pct"/>
                  <w:vMerge w:val="continue"/>
                  <w:tcBorders>
                    <w:left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715" w:type="pct"/>
                  <w:vMerge w:val="continue"/>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tcBorders>
                  <w:noWrap w:val="0"/>
                  <w:vAlign w:val="center"/>
                </w:tcPr>
                <w:p>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cs="Times New Roman"/>
                      <w:color w:val="auto"/>
                      <w:spacing w:val="-10"/>
                      <w:kern w:val="2"/>
                      <w:sz w:val="21"/>
                      <w:szCs w:val="21"/>
                      <w:highlight w:val="none"/>
                      <w:lang w:val="en-US" w:eastAsia="zh-CN"/>
                    </w:rPr>
                  </w:pPr>
                  <w:r>
                    <w:rPr>
                      <w:rFonts w:hint="default" w:ascii="Times New Roman" w:hAnsi="Times New Roman" w:cs="Times New Roman"/>
                      <w:color w:val="auto"/>
                      <w:spacing w:val="-10"/>
                      <w:kern w:val="2"/>
                      <w:sz w:val="21"/>
                      <w:szCs w:val="21"/>
                      <w:highlight w:val="none"/>
                      <w:lang w:val="en-US" w:eastAsia="zh-CN"/>
                    </w:rPr>
                    <w:t>化验室废弃酸、碱、化学药剂、废渣</w:t>
                  </w:r>
                </w:p>
              </w:tc>
              <w:tc>
                <w:tcPr>
                  <w:tcW w:w="2663" w:type="pct"/>
                  <w:gridSpan w:val="2"/>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eastAsia"/>
                      <w:color w:val="auto"/>
                      <w:spacing w:val="-10"/>
                      <w:sz w:val="21"/>
                      <w:szCs w:val="21"/>
                      <w:highlight w:val="none"/>
                      <w:lang w:val="en-US" w:eastAsia="zh-CN"/>
                    </w:rPr>
                    <w:t>暂存于化验废液集存池，交由有资质单位处理</w:t>
                  </w:r>
                </w:p>
              </w:tc>
              <w:tc>
                <w:tcPr>
                  <w:tcW w:w="715" w:type="pct"/>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cs="Times New Roman"/>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cs="Times New Roman"/>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cs="Times New Roman"/>
                <w:b/>
                <w:bCs/>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续</w:t>
            </w: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4-38</w:t>
            </w:r>
            <w:r>
              <w:rPr>
                <w:rFonts w:hint="default" w:ascii="Times New Roman" w:hAnsi="Times New Roman" w:cs="Times New Roman"/>
                <w:b/>
                <w:bCs/>
                <w:color w:val="auto"/>
                <w:sz w:val="24"/>
                <w:szCs w:val="24"/>
                <w:highlight w:val="none"/>
              </w:rPr>
              <w:t xml:space="preserve">    </w:t>
            </w:r>
            <w:r>
              <w:rPr>
                <w:rFonts w:hint="eastAsia" w:ascii="Times New Roman" w:hAnsi="Times New Roman" w:cs="Times New Roman"/>
                <w:b/>
                <w:bCs/>
                <w:color w:val="auto"/>
                <w:sz w:val="24"/>
                <w:szCs w:val="24"/>
                <w:highlight w:val="none"/>
                <w:lang w:eastAsia="zh-CN"/>
              </w:rPr>
              <w:t>拟建项目</w:t>
            </w:r>
            <w:r>
              <w:rPr>
                <w:rFonts w:hint="default" w:ascii="Times New Roman" w:hAnsi="Times New Roman" w:cs="Times New Roman"/>
                <w:b/>
                <w:bCs/>
                <w:color w:val="auto"/>
                <w:sz w:val="24"/>
                <w:szCs w:val="24"/>
                <w:highlight w:val="none"/>
              </w:rPr>
              <w:t>环保措施投资估算表</w:t>
            </w:r>
          </w:p>
          <w:tbl>
            <w:tblPr>
              <w:tblStyle w:val="19"/>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1385"/>
              <w:gridCol w:w="3767"/>
              <w:gridCol w:w="1683"/>
              <w:gridCol w:w="1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851" w:type="dxa"/>
                  <w:gridSpan w:val="2"/>
                  <w:tcBorders>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项目</w:t>
                  </w:r>
                </w:p>
              </w:tc>
              <w:tc>
                <w:tcPr>
                  <w:tcW w:w="3767" w:type="dxa"/>
                  <w:tcBorders>
                    <w:top w:val="single" w:color="auto" w:sz="4" w:space="0"/>
                    <w:bottom w:val="single" w:color="auto" w:sz="4" w:space="0"/>
                    <w:right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内容</w:t>
                  </w:r>
                </w:p>
              </w:tc>
              <w:tc>
                <w:tcPr>
                  <w:tcW w:w="1683" w:type="dxa"/>
                  <w:tcBorders>
                    <w:top w:val="single" w:color="auto" w:sz="4" w:space="0"/>
                    <w:left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vertAlign w:val="superscript"/>
                      <w:lang w:val="en-US" w:eastAsia="zh-CN"/>
                    </w:rPr>
                  </w:pPr>
                  <w:r>
                    <w:rPr>
                      <w:rFonts w:hint="default" w:ascii="Times New Roman" w:hAnsi="Times New Roman" w:eastAsia="宋体" w:cs="Times New Roman"/>
                      <w:color w:val="auto"/>
                      <w:sz w:val="21"/>
                      <w:szCs w:val="21"/>
                      <w:u w:val="none"/>
                      <w:lang w:eastAsia="zh-CN"/>
                    </w:rPr>
                    <w:t>设备数量</w:t>
                  </w:r>
                </w:p>
              </w:tc>
              <w:tc>
                <w:tcPr>
                  <w:tcW w:w="1066" w:type="dxa"/>
                  <w:tcBorders>
                    <w:top w:val="single" w:color="auto" w:sz="4" w:space="0"/>
                    <w:bottom w:val="single" w:color="auto" w:sz="4" w:space="0"/>
                  </w:tcBorders>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投资估算(万元)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restart"/>
                  <w:noWrap w:val="0"/>
                  <w:vAlign w:val="center"/>
                </w:tcPr>
                <w:p>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eastAsia" w:ascii="Times New Roman" w:hAnsi="Times New Roman" w:eastAsia="宋体" w:cs="Times New Roman"/>
                      <w:color w:val="auto"/>
                      <w:sz w:val="21"/>
                      <w:szCs w:val="21"/>
                      <w:u w:val="none"/>
                      <w:lang w:eastAsia="zh-CN"/>
                    </w:rPr>
                  </w:pPr>
                  <w:r>
                    <w:rPr>
                      <w:rFonts w:hint="eastAsia" w:ascii="Times New Roman" w:hAnsi="Times New Roman" w:cs="Times New Roman"/>
                      <w:color w:val="auto"/>
                      <w:sz w:val="21"/>
                      <w:szCs w:val="21"/>
                      <w:u w:val="none"/>
                      <w:lang w:eastAsia="zh-CN"/>
                    </w:rPr>
                    <w:t>其他</w:t>
                  </w:r>
                </w:p>
              </w:tc>
              <w:tc>
                <w:tcPr>
                  <w:tcW w:w="1385"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环境管理及监测</w:t>
                  </w:r>
                </w:p>
              </w:tc>
              <w:tc>
                <w:tcPr>
                  <w:tcW w:w="5450" w:type="dxa"/>
                  <w:gridSpan w:val="2"/>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施工期开展施工环境监理工作</w:t>
                  </w:r>
                </w:p>
              </w:tc>
              <w:tc>
                <w:tcPr>
                  <w:tcW w:w="1066"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纳入主体工程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eastAsia" w:ascii="Times New Roman" w:hAnsi="Times New Roman" w:cs="Times New Roman"/>
                      <w:color w:val="auto"/>
                      <w:sz w:val="21"/>
                      <w:szCs w:val="21"/>
                      <w:u w:val="none"/>
                      <w:lang w:eastAsia="zh-CN"/>
                    </w:rPr>
                  </w:pPr>
                </w:p>
              </w:tc>
              <w:tc>
                <w:tcPr>
                  <w:tcW w:w="1385" w:type="dxa"/>
                  <w:noWrap w:val="0"/>
                  <w:vAlign w:val="center"/>
                </w:tcPr>
                <w:p>
                  <w:pPr>
                    <w:pStyle w:val="27"/>
                    <w:keepNext w:val="0"/>
                    <w:keepLines w:val="0"/>
                    <w:pageBreakBefore w:val="0"/>
                    <w:suppressLineNumbers w:val="0"/>
                    <w:kinsoku/>
                    <w:topLinePunct w:val="0"/>
                    <w:bidi w:val="0"/>
                    <w:adjustRightInd w:val="0"/>
                    <w:snapToGrid w:val="0"/>
                    <w:spacing w:beforeLines="0" w:beforeAutospacing="0" w:afterLines="0" w:afterAutospacing="0" w:line="360" w:lineRule="exact"/>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风险</w:t>
                  </w:r>
                </w:p>
              </w:tc>
              <w:tc>
                <w:tcPr>
                  <w:tcW w:w="545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both"/>
                    <w:textAlignment w:val="baseline"/>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1）项目对于进出罐区的物料管道，除起讫点设置阀门外，全线均采用钢管焊接密闭输送，以确保正常情况下无油气泄露；</w:t>
                  </w:r>
                </w:p>
                <w:p>
                  <w:pPr>
                    <w:keepNext w:val="0"/>
                    <w:keepLines w:val="0"/>
                    <w:pageBreakBefore w:val="0"/>
                    <w:widowControl/>
                    <w:kinsoku/>
                    <w:wordWrap/>
                    <w:overflowPunct/>
                    <w:topLinePunct w:val="0"/>
                    <w:autoSpaceDE/>
                    <w:autoSpaceDN/>
                    <w:bidi w:val="0"/>
                    <w:adjustRightInd w:val="0"/>
                    <w:snapToGrid w:val="0"/>
                    <w:spacing w:line="360" w:lineRule="exact"/>
                    <w:jc w:val="both"/>
                    <w:textAlignment w:val="baseline"/>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w:t>
                  </w:r>
                  <w:r>
                    <w:rPr>
                      <w:rFonts w:hint="eastAsia" w:ascii="Times New Roman" w:hAnsi="Times New Roman" w:eastAsia="宋体" w:cs="Times New Roman"/>
                      <w:color w:val="auto"/>
                      <w:kern w:val="2"/>
                      <w:sz w:val="21"/>
                      <w:szCs w:val="21"/>
                      <w:u w:val="none"/>
                      <w:lang w:val="en-US" w:eastAsia="zh-CN" w:bidi="ar-SA"/>
                    </w:rPr>
                    <w:t>储罐</w:t>
                  </w:r>
                  <w:r>
                    <w:rPr>
                      <w:rFonts w:hint="default" w:ascii="Times New Roman" w:hAnsi="Times New Roman" w:eastAsia="宋体" w:cs="Times New Roman"/>
                      <w:color w:val="auto"/>
                      <w:kern w:val="2"/>
                      <w:sz w:val="21"/>
                      <w:szCs w:val="21"/>
                      <w:u w:val="none"/>
                      <w:lang w:val="en-US" w:eastAsia="zh-CN" w:bidi="ar-SA"/>
                    </w:rPr>
                    <w:t>区为相对独立的区域，</w:t>
                  </w:r>
                  <w:r>
                    <w:rPr>
                      <w:rFonts w:hint="eastAsia" w:ascii="Times New Roman" w:hAnsi="Times New Roman" w:eastAsia="宋体" w:cs="Times New Roman"/>
                      <w:color w:val="auto"/>
                      <w:kern w:val="2"/>
                      <w:sz w:val="21"/>
                      <w:szCs w:val="21"/>
                      <w:u w:val="none"/>
                      <w:lang w:val="en-US" w:eastAsia="zh-CN" w:bidi="ar-SA"/>
                    </w:rPr>
                    <w:t>储罐</w:t>
                  </w:r>
                  <w:r>
                    <w:rPr>
                      <w:rFonts w:hint="default" w:ascii="Times New Roman" w:hAnsi="Times New Roman" w:eastAsia="宋体" w:cs="Times New Roman"/>
                      <w:color w:val="auto"/>
                      <w:kern w:val="2"/>
                      <w:sz w:val="21"/>
                      <w:szCs w:val="21"/>
                      <w:u w:val="none"/>
                      <w:lang w:val="en-US" w:eastAsia="zh-CN" w:bidi="ar-SA"/>
                    </w:rPr>
                    <w:t>区将设置2m高的围堰；</w:t>
                  </w:r>
                </w:p>
                <w:p>
                  <w:pPr>
                    <w:pStyle w:val="27"/>
                    <w:keepNext w:val="0"/>
                    <w:keepLines w:val="0"/>
                    <w:pageBreakBefore w:val="0"/>
                    <w:suppressLineNumbers w:val="0"/>
                    <w:kinsoku/>
                    <w:wordWrap/>
                    <w:overflowPunct/>
                    <w:topLinePunct w:val="0"/>
                    <w:autoSpaceDE/>
                    <w:autoSpaceDN/>
                    <w:bidi w:val="0"/>
                    <w:adjustRightInd w:val="0"/>
                    <w:snapToGrid w:val="0"/>
                    <w:spacing w:beforeLines="0" w:beforeAutospacing="0" w:afterLines="0" w:afterAutospacing="0" w:line="360" w:lineRule="exact"/>
                    <w:ind w:left="0" w:leftChars="0" w:right="0" w:right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u w:val="none"/>
                      <w:lang w:val="en-US" w:eastAsia="zh-CN" w:bidi="ar-SA"/>
                    </w:rPr>
                    <w:t>3）项目在有可能散发易燃易爆气体的场所，如罐区等，均设有监控系统，并有控制室进行监控；另外在项目入口设立明显标志，禁止使用手机等通讯设施。同时环评建议项目在易散发易燃易爆气体的场所，如罐区等安装可燃气体检测报警仪，同时，引入控制室进行监控；</w:t>
                  </w:r>
                </w:p>
              </w:tc>
              <w:tc>
                <w:tcPr>
                  <w:tcW w:w="1066"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eastAsia" w:ascii="Times New Roman" w:hAnsi="Times New Roman" w:cs="Times New Roman"/>
                      <w:color w:val="auto"/>
                      <w:sz w:val="21"/>
                      <w:szCs w:val="21"/>
                      <w:u w:val="none"/>
                      <w:lang w:eastAsia="zh-CN"/>
                    </w:rPr>
                  </w:pPr>
                </w:p>
              </w:tc>
              <w:tc>
                <w:tcPr>
                  <w:tcW w:w="1385" w:type="dxa"/>
                  <w:noWrap w:val="0"/>
                  <w:vAlign w:val="center"/>
                </w:tcPr>
                <w:p>
                  <w:pPr>
                    <w:pStyle w:val="27"/>
                    <w:keepNext w:val="0"/>
                    <w:keepLines w:val="0"/>
                    <w:pageBreakBefore w:val="0"/>
                    <w:suppressLineNumbers w:val="0"/>
                    <w:kinsoku/>
                    <w:topLinePunct w:val="0"/>
                    <w:bidi w:val="0"/>
                    <w:adjustRightInd w:val="0"/>
                    <w:snapToGrid w:val="0"/>
                    <w:spacing w:beforeLines="0" w:beforeAutospacing="0" w:afterLines="0" w:afterAutospacing="0" w:line="360" w:lineRule="exact"/>
                    <w:ind w:left="0" w:leftChars="0" w:right="0" w:rightChars="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防渗</w:t>
                  </w:r>
                </w:p>
              </w:tc>
              <w:tc>
                <w:tcPr>
                  <w:tcW w:w="5450" w:type="dxa"/>
                  <w:gridSpan w:val="2"/>
                  <w:noWrap w:val="0"/>
                  <w:vAlign w:val="center"/>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leftChars="0" w:right="0" w:rightChars="0"/>
                    <w:jc w:val="both"/>
                    <w:textAlignment w:val="auto"/>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储罐区、</w:t>
                  </w:r>
                  <w:r>
                    <w:rPr>
                      <w:rFonts w:hint="default" w:ascii="Times New Roman" w:hAnsi="Times New Roman" w:eastAsia="宋体" w:cs="Times New Roman"/>
                      <w:bCs/>
                      <w:color w:val="auto"/>
                      <w:spacing w:val="-2"/>
                      <w:kern w:val="0"/>
                      <w:sz w:val="21"/>
                      <w:szCs w:val="21"/>
                    </w:rPr>
                    <w:t>储罐组及扫仓罐区内地面、油气回收装置</w:t>
                  </w:r>
                  <w:r>
                    <w:rPr>
                      <w:rFonts w:hint="eastAsia" w:ascii="Times New Roman" w:hAnsi="Times New Roman" w:eastAsia="宋体" w:cs="Times New Roman"/>
                      <w:bCs/>
                      <w:color w:val="auto"/>
                      <w:spacing w:val="-2"/>
                      <w:kern w:val="0"/>
                      <w:sz w:val="21"/>
                      <w:szCs w:val="21"/>
                      <w:lang w:eastAsia="zh-CN"/>
                    </w:rPr>
                    <w:t>区</w:t>
                  </w:r>
                  <w:r>
                    <w:rPr>
                      <w:rFonts w:hint="default" w:ascii="Times New Roman" w:hAnsi="Times New Roman" w:eastAsia="宋体" w:cs="Times New Roman"/>
                      <w:color w:val="auto"/>
                      <w:kern w:val="2"/>
                      <w:sz w:val="21"/>
                      <w:szCs w:val="21"/>
                      <w:u w:val="none"/>
                      <w:lang w:val="en-US" w:eastAsia="zh-CN" w:bidi="ar-SA"/>
                    </w:rPr>
                    <w:t>、危废暂存间、隔油池、化粪池</w:t>
                  </w:r>
                  <w:r>
                    <w:rPr>
                      <w:rFonts w:hint="default" w:ascii="Times New Roman" w:hAnsi="Times New Roman" w:eastAsia="宋体" w:cs="Times New Roman"/>
                      <w:bCs/>
                      <w:color w:val="auto"/>
                      <w:spacing w:val="-2"/>
                      <w:kern w:val="0"/>
                      <w:sz w:val="21"/>
                      <w:szCs w:val="21"/>
                      <w:lang w:val="en-US" w:eastAsia="zh-CN"/>
                    </w:rPr>
                    <w:t>、</w:t>
                  </w:r>
                  <w:r>
                    <w:rPr>
                      <w:rFonts w:hint="eastAsia" w:ascii="Times New Roman" w:hAnsi="Times New Roman" w:eastAsia="宋体" w:cs="Times New Roman"/>
                      <w:bCs/>
                      <w:color w:val="auto"/>
                      <w:spacing w:val="-2"/>
                      <w:kern w:val="0"/>
                      <w:sz w:val="21"/>
                      <w:szCs w:val="21"/>
                      <w:lang w:val="en-US" w:eastAsia="zh-CN"/>
                    </w:rPr>
                    <w:t>漏油及事故污水收集池</w:t>
                  </w:r>
                  <w:r>
                    <w:rPr>
                      <w:rFonts w:hint="default" w:ascii="Times New Roman" w:hAnsi="Times New Roman" w:eastAsia="宋体" w:cs="Times New Roman"/>
                      <w:bCs/>
                      <w:color w:val="auto"/>
                      <w:spacing w:val="-2"/>
                      <w:kern w:val="0"/>
                      <w:sz w:val="21"/>
                      <w:szCs w:val="21"/>
                      <w:lang w:val="en-US" w:eastAsia="zh-CN"/>
                    </w:rPr>
                    <w:t>、废水处理站、</w:t>
                  </w:r>
                  <w:r>
                    <w:rPr>
                      <w:rFonts w:hint="eastAsia" w:ascii="Times New Roman" w:hAnsi="Times New Roman" w:eastAsia="宋体" w:cs="Times New Roman"/>
                      <w:bCs/>
                      <w:color w:val="auto"/>
                      <w:spacing w:val="-2"/>
                      <w:kern w:val="0"/>
                      <w:sz w:val="21"/>
                      <w:szCs w:val="21"/>
                      <w:lang w:val="en-US" w:eastAsia="zh-CN"/>
                    </w:rPr>
                    <w:t>化验废液集存池、生活污</w:t>
                  </w:r>
                  <w:r>
                    <w:rPr>
                      <w:rFonts w:hint="eastAsia" w:ascii="Times New Roman" w:hAnsi="Times New Roman" w:eastAsia="宋体" w:cs="Times New Roman"/>
                      <w:color w:val="auto"/>
                      <w:kern w:val="2"/>
                      <w:sz w:val="21"/>
                      <w:szCs w:val="21"/>
                      <w:u w:val="none"/>
                      <w:lang w:val="en-US" w:eastAsia="zh-CN" w:bidi="ar-SA"/>
                    </w:rPr>
                    <w:t>水处理站</w:t>
                  </w:r>
                  <w:r>
                    <w:rPr>
                      <w:rFonts w:hint="eastAsia" w:ascii="Times New Roman" w:cs="Times New Roman"/>
                      <w:color w:val="auto"/>
                      <w:kern w:val="2"/>
                      <w:sz w:val="21"/>
                      <w:szCs w:val="21"/>
                      <w:u w:val="none"/>
                      <w:lang w:val="en-US" w:eastAsia="zh-CN" w:bidi="ar-SA"/>
                    </w:rPr>
                    <w:t>、</w:t>
                  </w:r>
                  <w:r>
                    <w:rPr>
                      <w:rFonts w:hint="default" w:ascii="Times New Roman" w:hAnsi="Times New Roman" w:eastAsia="宋体" w:cs="Times New Roman"/>
                      <w:color w:val="auto"/>
                      <w:kern w:val="2"/>
                      <w:sz w:val="21"/>
                      <w:szCs w:val="21"/>
                      <w:u w:val="none"/>
                      <w:lang w:val="en-US" w:eastAsia="zh-CN" w:bidi="ar-SA"/>
                    </w:rPr>
                    <w:t>物料输送管线进行重点防渗，</w:t>
                  </w:r>
                  <w:r>
                    <w:rPr>
                      <w:rFonts w:hint="default" w:ascii="Times New Roman" w:hAnsi="Times New Roman" w:cs="Times New Roman"/>
                      <w:snapToGrid w:val="0"/>
                      <w:color w:val="auto"/>
                      <w:kern w:val="0"/>
                      <w:sz w:val="21"/>
                      <w:szCs w:val="21"/>
                      <w:highlight w:val="none"/>
                    </w:rPr>
                    <w:t>等效黏土防渗层Mb≥6.0m，K≤1×10</w:t>
                  </w:r>
                  <w:r>
                    <w:rPr>
                      <w:rFonts w:hint="default" w:ascii="Times New Roman" w:hAnsi="Times New Roman" w:cs="Times New Roman"/>
                      <w:snapToGrid w:val="0"/>
                      <w:color w:val="auto"/>
                      <w:kern w:val="0"/>
                      <w:sz w:val="21"/>
                      <w:szCs w:val="21"/>
                      <w:highlight w:val="none"/>
                      <w:vertAlign w:val="superscript"/>
                    </w:rPr>
                    <w:t>-7</w:t>
                  </w:r>
                  <w:r>
                    <w:rPr>
                      <w:rFonts w:hint="default" w:ascii="Times New Roman" w:hAnsi="Times New Roman" w:cs="Times New Roman"/>
                      <w:snapToGrid w:val="0"/>
                      <w:color w:val="auto"/>
                      <w:kern w:val="0"/>
                      <w:sz w:val="21"/>
                      <w:szCs w:val="21"/>
                      <w:highlight w:val="none"/>
                    </w:rPr>
                    <w:t>cm/s</w:t>
                  </w:r>
                  <w:r>
                    <w:rPr>
                      <w:rFonts w:hint="default" w:ascii="Times New Roman" w:hAnsi="Times New Roman" w:cs="Times New Roman"/>
                      <w:snapToGrid w:val="0"/>
                      <w:color w:val="auto"/>
                      <w:kern w:val="0"/>
                      <w:sz w:val="21"/>
                      <w:szCs w:val="21"/>
                      <w:highlight w:val="none"/>
                      <w:lang w:eastAsia="zh-CN"/>
                    </w:rPr>
                    <w:t>，危废暂存间</w:t>
                  </w:r>
                  <w:r>
                    <w:rPr>
                      <w:rFonts w:hint="default" w:ascii="Times New Roman" w:hAnsi="Times New Roman" w:cs="Times New Roman"/>
                      <w:color w:val="auto"/>
                      <w:sz w:val="21"/>
                      <w:szCs w:val="21"/>
                    </w:rPr>
                    <w:t>渗透系数低于10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default" w:ascii="Times New Roman" w:hAnsi="Times New Roman" w:cs="Times New Roman"/>
                      <w:snapToGrid w:val="0"/>
                      <w:color w:val="auto"/>
                      <w:kern w:val="0"/>
                      <w:sz w:val="21"/>
                      <w:szCs w:val="21"/>
                      <w:highlight w:val="none"/>
                    </w:rPr>
                    <w:t>；</w:t>
                  </w:r>
                  <w:r>
                    <w:rPr>
                      <w:rFonts w:hint="default" w:ascii="Times New Roman" w:hAnsi="Times New Roman" w:cs="Times New Roman"/>
                      <w:snapToGrid w:val="0"/>
                      <w:color w:val="auto"/>
                      <w:kern w:val="0"/>
                      <w:sz w:val="21"/>
                      <w:szCs w:val="21"/>
                      <w:highlight w:val="none"/>
                      <w:lang w:eastAsia="zh-CN"/>
                    </w:rPr>
                    <w:t>装卸车棚地面、</w:t>
                  </w:r>
                  <w:r>
                    <w:rPr>
                      <w:rFonts w:hint="eastAsia" w:eastAsia="宋体"/>
                      <w:snapToGrid w:val="0"/>
                      <w:color w:val="auto"/>
                      <w:kern w:val="0"/>
                      <w:sz w:val="21"/>
                      <w:szCs w:val="21"/>
                      <w:highlight w:val="none"/>
                      <w:lang w:val="en-US" w:eastAsia="zh-CN"/>
                    </w:rPr>
                    <w:t>含油污水处理装置棚地面、</w:t>
                  </w:r>
                  <w:r>
                    <w:rPr>
                      <w:rFonts w:hint="default" w:ascii="Times New Roman" w:hAnsi="Times New Roman" w:cs="Times New Roman"/>
                      <w:snapToGrid w:val="0"/>
                      <w:color w:val="auto"/>
                      <w:kern w:val="0"/>
                      <w:sz w:val="21"/>
                      <w:szCs w:val="21"/>
                      <w:highlight w:val="none"/>
                      <w:lang w:eastAsia="zh-CN"/>
                    </w:rPr>
                    <w:t>物料运输道路、雨水沟渠进行一般防渗，</w:t>
                  </w: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default" w:ascii="Times New Roman" w:hAnsi="Times New Roman" w:cs="Times New Roman"/>
                      <w:color w:val="auto"/>
                      <w:sz w:val="21"/>
                      <w:szCs w:val="21"/>
                      <w:highlight w:val="none"/>
                      <w:lang w:eastAsia="zh-CN"/>
                    </w:rPr>
                    <w:t>办公室、控制室进行简单防渗，一般硬化地面</w:t>
                  </w:r>
                  <w:r>
                    <w:rPr>
                      <w:rFonts w:hint="eastAsia" w:ascii="Times New Roman" w:cs="Times New Roman"/>
                      <w:color w:val="auto"/>
                      <w:sz w:val="21"/>
                      <w:szCs w:val="21"/>
                      <w:highlight w:val="none"/>
                      <w:lang w:eastAsia="zh-CN"/>
                    </w:rPr>
                    <w:t>。</w:t>
                  </w:r>
                </w:p>
              </w:tc>
              <w:tc>
                <w:tcPr>
                  <w:tcW w:w="1066"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restart"/>
                  <w:tcBorders>
                    <w:top w:val="single" w:color="auto" w:sz="4" w:space="0"/>
                  </w:tcBorders>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其它</w:t>
                  </w:r>
                </w:p>
              </w:tc>
              <w:tc>
                <w:tcPr>
                  <w:tcW w:w="5450" w:type="dxa"/>
                  <w:gridSpan w:val="2"/>
                  <w:tcBorders>
                    <w:top w:val="single" w:color="auto" w:sz="4" w:space="0"/>
                  </w:tcBorders>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生态环境保护：施工迹地绿化和植被；环境整治施工中做好表层土保护，并及时回填</w:t>
                  </w:r>
                </w:p>
              </w:tc>
              <w:tc>
                <w:tcPr>
                  <w:tcW w:w="1067" w:type="dxa"/>
                  <w:tcBorders>
                    <w:top w:val="single" w:color="auto" w:sz="4" w:space="0"/>
                  </w:tcBorders>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continue"/>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5450" w:type="dxa"/>
                  <w:gridSpan w:val="2"/>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文明施工管理：设置告示牌和投诉热线等</w:t>
                  </w:r>
                </w:p>
              </w:tc>
              <w:tc>
                <w:tcPr>
                  <w:tcW w:w="1067"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continue"/>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5450" w:type="dxa"/>
                  <w:gridSpan w:val="2"/>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采取措施加强区域文物保护工作</w:t>
                  </w:r>
                </w:p>
              </w:tc>
              <w:tc>
                <w:tcPr>
                  <w:tcW w:w="1067"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continue"/>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5450" w:type="dxa"/>
                  <w:gridSpan w:val="2"/>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道路运输风险管理：加强交通管理，设置道路警示标志，杜绝违规和违章运输</w:t>
                  </w:r>
                </w:p>
              </w:tc>
              <w:tc>
                <w:tcPr>
                  <w:tcW w:w="1067"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6835" w:type="dxa"/>
                  <w:gridSpan w:val="3"/>
                  <w:noWrap w:val="0"/>
                  <w:vAlign w:val="center"/>
                </w:tcPr>
                <w:p>
                  <w:pPr>
                    <w:pStyle w:val="69"/>
                    <w:keepNext w:val="0"/>
                    <w:keepLines w:val="0"/>
                    <w:pageBreakBefore w:val="0"/>
                    <w:widowControl/>
                    <w:tabs>
                      <w:tab w:val="left" w:pos="957"/>
                    </w:tabs>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合计</w:t>
                  </w:r>
                </w:p>
              </w:tc>
              <w:tc>
                <w:tcPr>
                  <w:tcW w:w="1067" w:type="dxa"/>
                  <w:noWrap w:val="0"/>
                  <w:vAlign w:val="center"/>
                </w:tcPr>
                <w:p>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428</w:t>
                  </w:r>
                </w:p>
              </w:tc>
            </w:tr>
          </w:tbl>
          <w:p>
            <w:pPr>
              <w:pStyle w:val="48"/>
              <w:adjustRightInd w:val="0"/>
              <w:snapToGrid w:val="0"/>
              <w:spacing w:line="440" w:lineRule="exact"/>
              <w:ind w:firstLine="482"/>
              <w:rPr>
                <w:rFonts w:hint="eastAsia" w:ascii="Times New Roman" w:hAnsi="Times New Roman"/>
                <w:b/>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380" w:firstLineChars="200"/>
              <w:jc w:val="both"/>
              <w:textAlignment w:val="auto"/>
              <w:rPr>
                <w:rFonts w:hint="default" w:ascii="宋体" w:hAnsi="宋体" w:eastAsia="宋体" w:cs="宋体"/>
                <w:bCs/>
                <w:color w:val="auto"/>
                <w:spacing w:val="-10"/>
                <w:szCs w:val="21"/>
                <w:lang w:val="en-US" w:eastAsia="zh-CN"/>
              </w:rPr>
            </w:pPr>
          </w:p>
        </w:tc>
      </w:tr>
    </w:tbl>
    <w:p>
      <w:pPr>
        <w:pStyle w:val="17"/>
        <w:jc w:val="center"/>
        <w:outlineLvl w:val="0"/>
        <w:rPr>
          <w:rFonts w:hint="eastAsia"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3" w:name="_Hlk54167917"/>
      <w:r>
        <w:rPr>
          <w:rFonts w:hint="eastAsia" w:ascii="黑体" w:hAnsi="黑体" w:eastAsia="黑体"/>
          <w:snapToGrid w:val="0"/>
          <w:color w:val="auto"/>
          <w:sz w:val="30"/>
          <w:szCs w:val="30"/>
        </w:rPr>
        <w:t>环境保护措施监督检查清单</w:t>
      </w:r>
      <w:bookmarkEnd w:id="3"/>
    </w:p>
    <w:tbl>
      <w:tblPr>
        <w:tblStyle w:val="1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777"/>
        <w:gridCol w:w="254"/>
        <w:gridCol w:w="525"/>
        <w:gridCol w:w="388"/>
        <w:gridCol w:w="1032"/>
        <w:gridCol w:w="1080"/>
        <w:gridCol w:w="1109"/>
        <w:gridCol w:w="831"/>
        <w:gridCol w:w="18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内容</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要素</w:t>
            </w:r>
          </w:p>
        </w:tc>
        <w:tc>
          <w:tcPr>
            <w:tcW w:w="85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排放口(编号、名称)/污染源</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污染物项目</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环境保护措施</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大气环境</w:t>
            </w:r>
          </w:p>
        </w:tc>
        <w:tc>
          <w:tcPr>
            <w:tcW w:w="85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z w:val="21"/>
                <w:szCs w:val="21"/>
                <w:u w:val="none"/>
                <w:lang w:val="en-US" w:eastAsia="zh-CN"/>
              </w:rPr>
              <w:t>汽油装车废气（含应急汽油卸车废气）、汽油扫仓废气</w:t>
            </w:r>
            <w:r>
              <w:rPr>
                <w:rFonts w:hint="eastAsia" w:cs="Times New Roman"/>
                <w:color w:val="auto"/>
                <w:spacing w:val="0"/>
                <w:szCs w:val="21"/>
                <w:lang w:val="en-US" w:eastAsia="zh-CN"/>
              </w:rPr>
              <w:t>（P1）</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非甲烷总烃</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z w:val="21"/>
                <w:szCs w:val="21"/>
                <w:u w:val="none"/>
                <w:lang w:val="en-US" w:eastAsia="zh-CN"/>
              </w:rPr>
              <w:t>密闭鹤管/密闭软管+油气回收装置（三级冷凝+活性炭吸附）+20m高排气筒</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eastAsia="宋体" w:cs="Times New Roman"/>
                <w:color w:val="auto"/>
                <w:kern w:val="2"/>
                <w:sz w:val="21"/>
                <w:szCs w:val="21"/>
                <w:lang w:val="en-US" w:eastAsia="zh-CN" w:bidi="ar-SA"/>
              </w:rPr>
              <w:t>《储油库大气污染物排放标准》（GB20950-20</w:t>
            </w:r>
            <w:r>
              <w:rPr>
                <w:rFonts w:hint="eastAsia" w:ascii="Times New Roman" w:hAnsi="Times New Roman"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表1标准要求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85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食堂油烟（P2）</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油烟</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cs="Times New Roman"/>
                <w:color w:val="auto"/>
                <w:spacing w:val="-11"/>
                <w:sz w:val="21"/>
                <w:szCs w:val="21"/>
                <w:highlight w:val="none"/>
              </w:rPr>
              <w:t>油烟集气罩+油烟净化装置+</w:t>
            </w:r>
            <w:r>
              <w:rPr>
                <w:rFonts w:hint="eastAsia" w:ascii="Times New Roman" w:hAnsi="Times New Roman" w:cs="Times New Roman"/>
                <w:color w:val="auto"/>
                <w:sz w:val="21"/>
                <w:szCs w:val="21"/>
                <w:u w:val="none"/>
                <w:lang w:val="en-US" w:eastAsia="zh-CN"/>
              </w:rPr>
              <w:t>专用烟道</w:t>
            </w:r>
            <w:r>
              <w:rPr>
                <w:rFonts w:hint="eastAsia" w:cs="Times New Roman"/>
                <w:color w:val="auto"/>
                <w:sz w:val="21"/>
                <w:szCs w:val="21"/>
                <w:u w:val="none"/>
                <w:lang w:val="en-US" w:eastAsia="zh-CN"/>
              </w:rPr>
              <w:t>综合楼顶</w:t>
            </w:r>
            <w:r>
              <w:rPr>
                <w:rFonts w:hint="eastAsia" w:ascii="Times New Roman" w:hAnsi="Times New Roman" w:cs="Times New Roman"/>
                <w:color w:val="auto"/>
                <w:sz w:val="21"/>
                <w:szCs w:val="21"/>
                <w:u w:val="none"/>
                <w:lang w:val="en-US" w:eastAsia="zh-CN"/>
              </w:rPr>
              <w:t>排放（</w:t>
            </w:r>
            <w:r>
              <w:rPr>
                <w:rFonts w:hint="eastAsia" w:cs="Times New Roman"/>
                <w:color w:val="auto"/>
                <w:sz w:val="21"/>
                <w:szCs w:val="21"/>
                <w:u w:val="none"/>
                <w:lang w:val="en-US" w:eastAsia="zh-CN"/>
              </w:rPr>
              <w:t>10m</w:t>
            </w:r>
            <w:r>
              <w:rPr>
                <w:rFonts w:hint="eastAsia" w:ascii="Times New Roman" w:hAnsi="Times New Roman" w:cs="Times New Roman"/>
                <w:color w:val="auto"/>
                <w:sz w:val="21"/>
                <w:szCs w:val="21"/>
                <w:u w:val="none"/>
                <w:lang w:val="en-US" w:eastAsia="zh-CN"/>
              </w:rPr>
              <w:t>）</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eastAsia"/>
                <w:color w:val="auto"/>
                <w:spacing w:val="0"/>
                <w:highlight w:val="none"/>
              </w:rPr>
              <w:t>《饮食业油烟排放标准》（试行）（GB18486-2001）表2</w:t>
            </w:r>
            <w:r>
              <w:rPr>
                <w:rFonts w:hint="eastAsia"/>
                <w:color w:val="auto"/>
                <w:spacing w:val="0"/>
                <w:highlight w:val="none"/>
                <w:lang w:eastAsia="zh-CN"/>
              </w:rPr>
              <w:t>小</w:t>
            </w:r>
            <w:r>
              <w:rPr>
                <w:rFonts w:hint="eastAsia"/>
                <w:color w:val="auto"/>
                <w:spacing w:val="0"/>
                <w:highlight w:val="none"/>
              </w:rPr>
              <w:t>型标准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85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eastAsia" w:cs="Times New Roman"/>
                <w:color w:val="auto"/>
                <w:spacing w:val="0"/>
                <w:sz w:val="21"/>
                <w:szCs w:val="21"/>
                <w:highlight w:val="none"/>
                <w:lang w:val="en-US" w:eastAsia="zh-CN"/>
              </w:rPr>
              <w:t>储罐大小呼吸</w:t>
            </w:r>
            <w:r>
              <w:rPr>
                <w:rFonts w:hint="eastAsia" w:cs="Times New Roman"/>
                <w:color w:val="auto"/>
                <w:spacing w:val="0"/>
                <w:sz w:val="21"/>
                <w:szCs w:val="21"/>
                <w:highlight w:val="none"/>
              </w:rPr>
              <w:t>废气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lang w:val="en-US"/>
              </w:rPr>
            </w:pP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浮顶罐+高效二次密封</w:t>
            </w: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w:t>
            </w:r>
            <w:r>
              <w:rPr>
                <w:rFonts w:hint="default" w:ascii="Times New Roman" w:hAnsi="Times New Roman" w:eastAsia="宋体" w:cs="Times New Roman"/>
                <w:color w:val="auto"/>
                <w:sz w:val="21"/>
                <w:szCs w:val="21"/>
                <w:u w:val="none"/>
                <w:lang w:eastAsia="zh-CN"/>
              </w:rPr>
              <w:t>夏季高温采用自动喷淋装置对油罐进行冷却降温</w:t>
            </w:r>
          </w:p>
        </w:tc>
        <w:tc>
          <w:tcPr>
            <w:tcW w:w="1474"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kern w:val="2"/>
                <w:sz w:val="21"/>
                <w:szCs w:val="21"/>
                <w:highlight w:val="none"/>
                <w:lang w:val="en-US" w:eastAsia="zh-CN" w:bidi="ar-SA"/>
              </w:rPr>
              <w:t>《四川省固定污染源大气挥发性有机物排放标准》（DB51/2377-2017）表5无组织排放监控浓度限值（常规控制污染项目）</w:t>
            </w:r>
            <w:r>
              <w:rPr>
                <w:rFonts w:hint="eastAsia" w:cs="Times New Roman"/>
                <w:color w:val="auto"/>
                <w:kern w:val="2"/>
                <w:sz w:val="21"/>
                <w:szCs w:val="21"/>
                <w:highlight w:val="none"/>
                <w:lang w:val="en-US" w:eastAsia="zh-CN" w:bidi="ar-SA"/>
              </w:rPr>
              <w:t>、</w:t>
            </w:r>
            <w:r>
              <w:rPr>
                <w:rFonts w:hint="eastAsia" w:cs="Times New Roman"/>
                <w:color w:val="auto"/>
                <w:kern w:val="0"/>
                <w:sz w:val="21"/>
                <w:szCs w:val="20"/>
                <w:highlight w:val="none"/>
                <w:lang w:val="en-US" w:eastAsia="zh-CN" w:bidi="ar-SA"/>
              </w:rPr>
              <w:t>《挥发性有机物无组织排放控制标准》（GB37822-2019）表A.1规定排放限值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859" w:type="pct"/>
            <w:gridSpan w:val="3"/>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40" w:lineRule="exact"/>
              <w:jc w:val="center"/>
              <w:textAlignment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sz w:val="21"/>
                <w:szCs w:val="21"/>
                <w:u w:val="none"/>
                <w:lang w:val="en-US" w:eastAsia="zh-CN"/>
              </w:rPr>
              <w:t>卸油废气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鹤管+软管</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密闭卸车，罐车顶部气相口关闭</w:t>
            </w:r>
          </w:p>
        </w:tc>
        <w:tc>
          <w:tcPr>
            <w:tcW w:w="147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85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柴油扫仓废气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密闭软管收集后排放</w:t>
            </w:r>
          </w:p>
        </w:tc>
        <w:tc>
          <w:tcPr>
            <w:tcW w:w="147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柴油装车废气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密闭发油鹤管收集后排放</w:t>
            </w:r>
          </w:p>
        </w:tc>
        <w:tc>
          <w:tcPr>
            <w:tcW w:w="147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化验室废气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通风柜收集后排放</w:t>
            </w:r>
          </w:p>
        </w:tc>
        <w:tc>
          <w:tcPr>
            <w:tcW w:w="147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污水处理站废气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Cs w:val="21"/>
                <w:lang w:val="en-US" w:eastAsia="zh-CN"/>
              </w:rPr>
              <w:t>非甲烷总烃、氨、硫化氢、臭气浓度</w:t>
            </w:r>
          </w:p>
        </w:tc>
        <w:tc>
          <w:tcPr>
            <w:tcW w:w="12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加盖密闭</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柴油发电机废气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11"/>
                <w:sz w:val="21"/>
                <w:szCs w:val="21"/>
                <w:highlight w:val="none"/>
                <w:lang w:val="en-US" w:eastAsia="zh-CN"/>
              </w:rPr>
              <w:t>CO、NOx、HC</w:t>
            </w:r>
          </w:p>
        </w:tc>
        <w:tc>
          <w:tcPr>
            <w:tcW w:w="12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设置排放系统，加强管理</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40" w:lineRule="exact"/>
              <w:jc w:val="center"/>
              <w:textAlignment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spacing w:val="-11"/>
                <w:sz w:val="21"/>
                <w:szCs w:val="21"/>
                <w:highlight w:val="none"/>
                <w:lang w:val="en-US" w:eastAsia="zh-CN"/>
              </w:rPr>
              <w:t>汽车尾气</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11"/>
                <w:sz w:val="21"/>
                <w:szCs w:val="21"/>
                <w:highlight w:val="none"/>
                <w:lang w:val="en-US" w:eastAsia="zh-CN"/>
              </w:rPr>
              <w:t>CO、NOx、HC</w:t>
            </w:r>
          </w:p>
        </w:tc>
        <w:tc>
          <w:tcPr>
            <w:tcW w:w="12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缩短车辆在库内的怠速时间，降低车辆运输车速，加强管理</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地表水环境</w:t>
            </w:r>
          </w:p>
        </w:tc>
        <w:tc>
          <w:tcPr>
            <w:tcW w:w="4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双龙镇污水处理厂扩建完成前</w:t>
            </w:r>
          </w:p>
        </w:tc>
        <w:tc>
          <w:tcPr>
            <w:tcW w:w="43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生活污水</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b/>
                <w:bCs/>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动植物油</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z w:val="21"/>
                <w:szCs w:val="21"/>
                <w:u w:val="none"/>
                <w:lang w:val="en-US" w:eastAsia="zh-CN" w:bidi="ar-SA"/>
              </w:rPr>
              <w:t>食堂废水经隔油池处理后与生活污水一并经“</w:t>
            </w:r>
            <w:r>
              <w:rPr>
                <w:rFonts w:hint="default" w:ascii="Times New Roman" w:hAnsi="Times New Roman" w:eastAsia="宋体" w:cs="Times New Roman"/>
                <w:color w:val="auto"/>
                <w:sz w:val="21"/>
                <w:szCs w:val="21"/>
                <w:u w:val="none"/>
                <w:lang w:val="en-US" w:eastAsia="zh-CN" w:bidi="ar-SA"/>
              </w:rPr>
              <w:t>化粪池</w:t>
            </w:r>
            <w:r>
              <w:rPr>
                <w:rFonts w:hint="eastAsia" w:ascii="Times New Roman" w:hAnsi="Times New Roman" w:eastAsia="宋体" w:cs="Times New Roman"/>
                <w:color w:val="auto"/>
                <w:sz w:val="21"/>
                <w:szCs w:val="21"/>
                <w:u w:val="none"/>
                <w:lang w:val="en-US" w:eastAsia="zh-CN" w:bidi="ar-SA"/>
              </w:rPr>
              <w:t>”处理后定期清掏外运</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4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Cs w:val="21"/>
                <w:lang w:val="en-US" w:eastAsia="zh-CN"/>
              </w:rPr>
            </w:pPr>
          </w:p>
        </w:tc>
        <w:tc>
          <w:tcPr>
            <w:tcW w:w="43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含油废水</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lang w:eastAsia="zh-CN"/>
              </w:rPr>
              <w:t>、石油类</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“调节池+油水分离器+气浮+A/O+MBR膜池+检测池”处理后用于库区绿化、泼洒抑尘</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rPr>
            </w:pPr>
            <w:r>
              <w:rPr>
                <w:rFonts w:hint="eastAsia" w:ascii="Times New Roman" w:hAnsi="Times New Roman" w:eastAsia="宋体" w:cs="Times New Roman"/>
                <w:color w:val="auto"/>
                <w:kern w:val="2"/>
                <w:sz w:val="21"/>
                <w:szCs w:val="21"/>
                <w:u w:val="none"/>
                <w:lang w:val="en-US" w:eastAsia="zh-CN" w:bidi="ar-SA"/>
              </w:rPr>
              <w:t>《城市污水再生利用  城市杂用水水质》（GB/T18920-2020）表1“城市绿化、道路清扫、消防、建筑施工”用水标准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4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双龙镇污水处理厂扩建完成后</w:t>
            </w:r>
          </w:p>
        </w:tc>
        <w:tc>
          <w:tcPr>
            <w:tcW w:w="43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生活污水</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动植物油</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kern w:val="2"/>
                <w:sz w:val="21"/>
                <w:szCs w:val="21"/>
                <w:u w:val="none"/>
                <w:lang w:val="en-US" w:eastAsia="zh-CN" w:bidi="ar-SA"/>
              </w:rPr>
              <w:t>食堂废水经隔油池处理后与生活污水一并经“</w:t>
            </w:r>
            <w:r>
              <w:rPr>
                <w:rFonts w:hint="default" w:ascii="Times New Roman" w:hAnsi="Times New Roman" w:eastAsia="宋体" w:cs="Times New Roman"/>
                <w:color w:val="auto"/>
                <w:kern w:val="2"/>
                <w:sz w:val="21"/>
                <w:szCs w:val="21"/>
                <w:u w:val="none"/>
                <w:lang w:val="en-US" w:eastAsia="zh-CN" w:bidi="ar-SA"/>
              </w:rPr>
              <w:t>化粪池</w:t>
            </w:r>
            <w:r>
              <w:rPr>
                <w:rFonts w:hint="eastAsia" w:ascii="Times New Roman" w:hAnsi="Times New Roman" w:eastAsia="宋体" w:cs="Times New Roman"/>
                <w:color w:val="auto"/>
                <w:kern w:val="2"/>
                <w:sz w:val="21"/>
                <w:szCs w:val="21"/>
                <w:u w:val="none"/>
                <w:lang w:val="en-US" w:eastAsia="zh-CN" w:bidi="ar-SA"/>
              </w:rPr>
              <w:t>+地埋式生活污水处理装置（格栅+调节+A/O+混凝沉淀）”处理后排入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474"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rPr>
            </w:pPr>
            <w:r>
              <w:rPr>
                <w:rFonts w:hint="default" w:ascii="Times New Roman" w:hAnsi="Times New Roman" w:eastAsia="宋体" w:cs="Times New Roman"/>
                <w:color w:val="auto"/>
                <w:lang w:val="en-US" w:eastAsia="zh-CN"/>
              </w:rPr>
              <w:t>《污水综合排放标准》（GB8978-1996）</w:t>
            </w:r>
            <w:r>
              <w:rPr>
                <w:rFonts w:hint="eastAsia" w:ascii="Times New Roman" w:hAnsi="Times New Roman" w:eastAsia="宋体" w:cs="Times New Roman"/>
                <w:color w:val="auto"/>
                <w:lang w:val="en-US" w:eastAsia="zh-CN"/>
              </w:rPr>
              <w:t>表4</w:t>
            </w:r>
            <w:r>
              <w:rPr>
                <w:rFonts w:hint="default" w:ascii="Times New Roman" w:hAnsi="Times New Roman" w:eastAsia="宋体" w:cs="Times New Roman"/>
                <w:color w:val="auto"/>
                <w:lang w:val="en-US" w:eastAsia="zh-CN"/>
              </w:rPr>
              <w:t>三级标准</w:t>
            </w:r>
            <w:r>
              <w:rPr>
                <w:rFonts w:hint="eastAsia" w:ascii="Times New Roman" w:hAnsi="Times New Roman" w:eastAsia="宋体" w:cs="Times New Roman"/>
                <w:color w:val="auto"/>
                <w:lang w:val="en-US" w:eastAsia="zh-CN"/>
              </w:rPr>
              <w:t>及双龙镇污水处理厂进水水质要求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42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Cs w:val="21"/>
                <w:lang w:val="en-US" w:eastAsia="zh-CN"/>
              </w:rPr>
            </w:pPr>
          </w:p>
        </w:tc>
        <w:tc>
          <w:tcPr>
            <w:tcW w:w="43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含油废水</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lang w:eastAsia="zh-CN"/>
              </w:rPr>
              <w:t>、石油类</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kern w:val="2"/>
                <w:sz w:val="21"/>
                <w:szCs w:val="21"/>
                <w:u w:val="none"/>
                <w:lang w:val="en-US" w:eastAsia="zh-CN" w:bidi="ar-SA"/>
              </w:rPr>
              <w:t>“调节池+油水分离器+过滤器+检测池”处理后排入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47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声环境</w:t>
            </w:r>
          </w:p>
        </w:tc>
        <w:tc>
          <w:tcPr>
            <w:tcW w:w="85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卸油泵、装车泵、进出车辆等</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噪声</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eastAsia="宋体" w:cs="Times New Roman"/>
                <w:color w:val="auto"/>
                <w:sz w:val="21"/>
                <w:szCs w:val="21"/>
                <w:u w:val="none"/>
                <w:lang w:eastAsia="zh-CN"/>
              </w:rPr>
              <w:t>选用低噪声设备</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泵采用泵棚密闭安装隔声，做好基础减震措施，泵进出口加柔性软连接</w:t>
            </w:r>
            <w:r>
              <w:rPr>
                <w:rFonts w:hint="default" w:ascii="Times New Roman" w:hAnsi="Times New Roman" w:cs="Times New Roman"/>
                <w:color w:val="auto"/>
                <w:sz w:val="21"/>
                <w:szCs w:val="21"/>
                <w:u w:val="none"/>
                <w:lang w:eastAsia="zh-CN"/>
              </w:rPr>
              <w:t>；车辆减速、禁止鸣笛。</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eastAsia" w:ascii="Times New Roman" w:hAnsi="Times New Roman" w:eastAsia="宋体" w:cs="Times New Roman"/>
                <w:color w:val="auto"/>
                <w:spacing w:val="0"/>
                <w:sz w:val="21"/>
                <w:szCs w:val="21"/>
                <w:highlight w:val="none"/>
              </w:rPr>
              <w:t>《工业企业厂界环境噪声排放标准》（GB12348-2008）</w:t>
            </w:r>
            <w:r>
              <w:rPr>
                <w:rFonts w:hint="eastAsia" w:ascii="Times New Roman" w:hAnsi="Times New Roman" w:eastAsia="宋体" w:cs="Times New Roman"/>
                <w:color w:val="auto"/>
                <w:spacing w:val="0"/>
                <w:sz w:val="21"/>
                <w:szCs w:val="21"/>
                <w:highlight w:val="none"/>
                <w:lang w:val="en-US" w:eastAsia="zh-CN"/>
              </w:rPr>
              <w:t>3</w:t>
            </w:r>
            <w:r>
              <w:rPr>
                <w:rFonts w:hint="eastAsia" w:ascii="Times New Roman" w:hAnsi="Times New Roman" w:eastAsia="宋体" w:cs="Times New Roman"/>
                <w:color w:val="auto"/>
                <w:spacing w:val="0"/>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电磁辐射</w:t>
            </w:r>
          </w:p>
        </w:tc>
        <w:tc>
          <w:tcPr>
            <w:tcW w:w="859"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c>
          <w:tcPr>
            <w:tcW w:w="78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c>
          <w:tcPr>
            <w:tcW w:w="12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c>
          <w:tcPr>
            <w:tcW w:w="147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固体废物</w:t>
            </w:r>
          </w:p>
        </w:tc>
        <w:tc>
          <w:tcPr>
            <w:tcW w:w="4326" w:type="pct"/>
            <w:gridSpan w:val="9"/>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eastAsia="宋体" w:cs="Times New Roman"/>
                <w:color w:val="auto"/>
                <w:spacing w:val="0"/>
                <w:sz w:val="21"/>
                <w:szCs w:val="21"/>
                <w:lang w:val="zh-CN" w:eastAsia="zh-CN"/>
              </w:rPr>
            </w:pPr>
            <w:r>
              <w:rPr>
                <w:rFonts w:hint="eastAsia" w:ascii="Times New Roman" w:hAnsi="Times New Roman" w:eastAsia="宋体" w:cs="Times New Roman"/>
                <w:color w:val="auto"/>
                <w:spacing w:val="0"/>
                <w:sz w:val="21"/>
                <w:szCs w:val="21"/>
                <w:lang w:val="zh-CN" w:eastAsia="zh-CN"/>
              </w:rPr>
              <w:t>拟建项目</w:t>
            </w:r>
            <w:r>
              <w:rPr>
                <w:rFonts w:hint="default" w:ascii="Times New Roman" w:hAnsi="Times New Roman" w:eastAsia="宋体" w:cs="Times New Roman"/>
                <w:color w:val="auto"/>
                <w:spacing w:val="0"/>
                <w:sz w:val="21"/>
                <w:szCs w:val="21"/>
                <w:lang w:val="zh-CN" w:eastAsia="zh-CN"/>
              </w:rPr>
              <w:t>固废主要包括</w:t>
            </w:r>
            <w:r>
              <w:rPr>
                <w:rFonts w:hint="default" w:ascii="Times New Roman" w:hAnsi="Times New Roman" w:eastAsia="宋体" w:cs="Times New Roman"/>
                <w:color w:val="auto"/>
                <w:spacing w:val="0"/>
                <w:sz w:val="21"/>
                <w:szCs w:val="21"/>
                <w:lang w:val="en-US" w:eastAsia="zh-CN"/>
              </w:rPr>
              <w:t>储罐油泥</w:t>
            </w:r>
            <w:r>
              <w:rPr>
                <w:rFonts w:hint="eastAsia" w:ascii="Times New Roman" w:hAnsi="Times New Roman" w:eastAsia="宋体"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污水处理污泥</w:t>
            </w:r>
            <w:r>
              <w:rPr>
                <w:rFonts w:hint="eastAsia" w:ascii="Times New Roman" w:hAnsi="Times New Roman" w:eastAsia="宋体"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废水处理设施废油</w:t>
            </w:r>
            <w:r>
              <w:rPr>
                <w:rFonts w:hint="eastAsia" w:ascii="Times New Roman" w:hAnsi="Times New Roman" w:eastAsia="宋体"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降质油</w:t>
            </w:r>
            <w:r>
              <w:rPr>
                <w:rFonts w:hint="eastAsia" w:ascii="Times New Roman" w:hAnsi="Times New Roman" w:eastAsia="宋体" w:cs="Times New Roman"/>
                <w:color w:val="auto"/>
                <w:spacing w:val="0"/>
                <w:sz w:val="21"/>
                <w:szCs w:val="21"/>
                <w:lang w:val="en-US" w:eastAsia="zh-CN"/>
              </w:rPr>
              <w:t>，废活性炭，化验室废弃酸、碱、化学试剂和废渣，废含油抹布及劳保用品，</w:t>
            </w:r>
            <w:r>
              <w:rPr>
                <w:rFonts w:hint="default" w:ascii="Times New Roman" w:hAnsi="Times New Roman" w:eastAsia="宋体" w:cs="Times New Roman"/>
                <w:color w:val="auto"/>
                <w:spacing w:val="0"/>
                <w:sz w:val="21"/>
                <w:szCs w:val="21"/>
                <w:lang w:val="en-US" w:eastAsia="zh-CN"/>
              </w:rPr>
              <w:t>化粪池污泥</w:t>
            </w:r>
            <w:r>
              <w:rPr>
                <w:rFonts w:hint="eastAsia" w:cs="Times New Roman"/>
                <w:color w:val="auto"/>
                <w:spacing w:val="0"/>
                <w:sz w:val="21"/>
                <w:szCs w:val="21"/>
                <w:lang w:val="en-US" w:eastAsia="zh-CN"/>
              </w:rPr>
              <w:t>，生活污水处理站污泥、食堂废水隔油池废油</w:t>
            </w:r>
            <w:r>
              <w:rPr>
                <w:rFonts w:hint="default" w:ascii="Times New Roman" w:hAnsi="Times New Roman" w:eastAsia="宋体" w:cs="Times New Roman"/>
                <w:color w:val="auto"/>
                <w:spacing w:val="0"/>
                <w:sz w:val="21"/>
                <w:szCs w:val="21"/>
                <w:lang w:val="en-US" w:eastAsia="zh-CN"/>
              </w:rPr>
              <w:t>和生活垃圾</w:t>
            </w:r>
            <w:r>
              <w:rPr>
                <w:rFonts w:hint="default" w:ascii="Times New Roman" w:hAnsi="Times New Roman" w:eastAsia="宋体" w:cs="Times New Roman"/>
                <w:color w:val="auto"/>
                <w:spacing w:val="0"/>
                <w:sz w:val="21"/>
                <w:szCs w:val="21"/>
                <w:lang w:val="zh-CN"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cs="Times New Roman"/>
                <w:color w:val="auto"/>
                <w:sz w:val="21"/>
                <w:szCs w:val="21"/>
                <w:highlight w:val="none"/>
              </w:rPr>
              <w:t>生活垃圾</w:t>
            </w:r>
            <w:r>
              <w:rPr>
                <w:rFonts w:hint="eastAsia" w:cs="Times New Roman"/>
                <w:color w:val="auto"/>
                <w:sz w:val="21"/>
                <w:szCs w:val="21"/>
                <w:highlight w:val="none"/>
                <w:lang w:eastAsia="zh-CN"/>
              </w:rPr>
              <w:t>：由厂内垃圾桶收集后，由环卫部门清运处理；化粪池污泥：定期清掏，由环卫部门填埋处理；</w:t>
            </w:r>
            <w:r>
              <w:rPr>
                <w:rFonts w:hint="eastAsia" w:cs="Times New Roman"/>
                <w:color w:val="auto"/>
                <w:sz w:val="21"/>
                <w:szCs w:val="21"/>
                <w:highlight w:val="none"/>
                <w:lang w:val="en-US" w:eastAsia="zh-CN"/>
              </w:rPr>
              <w:t>生活污水处理站污泥：及时清理污泥，由环卫部门填埋处理；食堂废水隔油池废油：定期清掏，交由废油脂回收单位处理。</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储罐油泥：每三年清理一次，由第三方专业单位清洗后直接带走；废水处理站污泥：清理后直接交由有资质单位处理；</w:t>
            </w:r>
            <w:r>
              <w:rPr>
                <w:rFonts w:hint="eastAsia" w:cs="Times New Roman"/>
                <w:color w:val="auto"/>
                <w:sz w:val="21"/>
                <w:szCs w:val="21"/>
                <w:highlight w:val="none"/>
                <w:lang w:val="zh-CN" w:eastAsia="zh-CN"/>
              </w:rPr>
              <w:t>降质油、</w:t>
            </w:r>
            <w:r>
              <w:rPr>
                <w:rFonts w:hint="eastAsia" w:ascii="Times New Roman" w:hAnsi="Times New Roman" w:eastAsia="宋体" w:cs="Times New Roman"/>
                <w:color w:val="auto"/>
                <w:sz w:val="21"/>
                <w:szCs w:val="21"/>
                <w:highlight w:val="none"/>
                <w:lang w:val="zh-CN" w:eastAsia="zh-CN"/>
              </w:rPr>
              <w:t>污水处理设施废油、废活性炭、废含油抹布及劳保用品</w:t>
            </w:r>
            <w:r>
              <w:rPr>
                <w:rFonts w:hint="eastAsia" w:cs="Times New Roman"/>
                <w:color w:val="auto"/>
                <w:sz w:val="21"/>
                <w:szCs w:val="21"/>
                <w:highlight w:val="none"/>
                <w:lang w:val="zh-CN" w:eastAsia="zh-CN"/>
              </w:rPr>
              <w:t>、</w:t>
            </w:r>
            <w:r>
              <w:rPr>
                <w:rFonts w:hint="eastAsia" w:cs="Times New Roman"/>
                <w:color w:val="auto"/>
                <w:sz w:val="21"/>
                <w:szCs w:val="21"/>
                <w:highlight w:val="none"/>
                <w:lang w:val="en-US" w:eastAsia="zh-CN"/>
              </w:rPr>
              <w:t>罐底切水、储罐清洗废水</w:t>
            </w:r>
            <w:r>
              <w:rPr>
                <w:rFonts w:hint="eastAsia" w:ascii="Times New Roman" w:hAnsi="Times New Roman" w:eastAsia="宋体" w:cs="Times New Roman"/>
                <w:color w:val="auto"/>
                <w:sz w:val="21"/>
                <w:szCs w:val="21"/>
                <w:highlight w:val="none"/>
                <w:lang w:val="zh-CN" w:eastAsia="zh-CN"/>
              </w:rPr>
              <w:t>：</w:t>
            </w:r>
            <w:r>
              <w:rPr>
                <w:rFonts w:hint="eastAsia" w:ascii="Times New Roman" w:hAnsi="Times New Roman" w:eastAsia="宋体" w:cs="Times New Roman"/>
                <w:color w:val="auto"/>
                <w:sz w:val="21"/>
                <w:szCs w:val="21"/>
                <w:highlight w:val="none"/>
                <w:lang w:eastAsia="zh-CN"/>
              </w:rPr>
              <w:t>暂存于</w:t>
            </w:r>
            <w:r>
              <w:rPr>
                <w:rFonts w:hint="eastAsia" w:ascii="Times New Roman" w:hAnsi="Times New Roman" w:eastAsia="宋体" w:cs="Times New Roman"/>
                <w:color w:val="auto"/>
                <w:sz w:val="21"/>
                <w:szCs w:val="21"/>
                <w:highlight w:val="none"/>
                <w:lang w:val="en-US" w:eastAsia="zh-CN"/>
              </w:rPr>
              <w:t>危废暂存间</w:t>
            </w:r>
            <w:r>
              <w:rPr>
                <w:rFonts w:hint="eastAsia" w:ascii="Times New Roman" w:hAnsi="Times New Roman" w:eastAsia="宋体" w:cs="Times New Roman"/>
                <w:color w:val="auto"/>
                <w:sz w:val="21"/>
                <w:szCs w:val="21"/>
                <w:highlight w:val="none"/>
                <w:lang w:eastAsia="zh-CN"/>
              </w:rPr>
              <w:t>，交由有资质单位处理</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zh-CN" w:eastAsia="zh-CN"/>
              </w:rPr>
              <w:t>化验室废弃酸、碱、化学试剂及废渣</w:t>
            </w:r>
            <w:r>
              <w:rPr>
                <w:rFonts w:hint="eastAsia" w:cs="Times New Roman"/>
                <w:color w:val="auto"/>
                <w:sz w:val="21"/>
                <w:szCs w:val="21"/>
                <w:highlight w:val="none"/>
                <w:lang w:val="zh-CN" w:eastAsia="zh-CN"/>
              </w:rPr>
              <w:t>：</w:t>
            </w:r>
            <w:r>
              <w:rPr>
                <w:rFonts w:hint="eastAsia"/>
                <w:color w:val="auto"/>
                <w:spacing w:val="-10"/>
                <w:sz w:val="21"/>
                <w:szCs w:val="21"/>
                <w:highlight w:val="none"/>
                <w:lang w:val="en-US" w:eastAsia="zh-CN"/>
              </w:rPr>
              <w:t>暂存于化验废液集存池，交由有资质单位处理</w:t>
            </w:r>
            <w:r>
              <w:rPr>
                <w:rFonts w:hint="eastAsia"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cs="Times New Roman"/>
                <w:color w:val="auto"/>
                <w:spacing w:val="0"/>
                <w:szCs w:val="21"/>
              </w:rPr>
            </w:pPr>
            <w:r>
              <w:rPr>
                <w:rFonts w:hint="eastAsia" w:ascii="Times New Roman" w:hAnsi="Times New Roman" w:eastAsia="宋体" w:cs="Times New Roman"/>
                <w:color w:val="auto"/>
                <w:sz w:val="21"/>
                <w:szCs w:val="21"/>
                <w:highlight w:val="none"/>
                <w:lang w:val="zh-CN" w:eastAsia="zh-CN"/>
              </w:rPr>
              <w:t>一般固废贮存执行《一般工业固体废物贮存和填埋污染控制标准》（GB18599-2020）中相关规定；</w:t>
            </w:r>
            <w:r>
              <w:rPr>
                <w:rFonts w:hint="eastAsia" w:ascii="Times New Roman" w:hAnsi="Times New Roman" w:eastAsia="宋体" w:cs="Times New Roman"/>
                <w:color w:val="auto"/>
                <w:sz w:val="21"/>
                <w:szCs w:val="21"/>
                <w:highlight w:val="none"/>
                <w:lang w:eastAsia="zh-CN"/>
              </w:rPr>
              <w:t>危险废物执行《危险废物贮存污染控制标准》（GB18597-2001）及其修改单相关规定。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土壤及地下水污染防治措施</w:t>
            </w:r>
          </w:p>
        </w:tc>
        <w:tc>
          <w:tcPr>
            <w:tcW w:w="4326" w:type="pct"/>
            <w:gridSpan w:val="9"/>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baseline"/>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源头控制：</w:t>
            </w:r>
            <w:r>
              <w:rPr>
                <w:rFonts w:hint="eastAsia" w:ascii="Times New Roman" w:hAnsi="Times New Roman" w:eastAsia="宋体" w:cs="Times New Roman"/>
                <w:color w:val="auto"/>
                <w:spacing w:val="0"/>
                <w:szCs w:val="21"/>
                <w:lang w:val="en-US" w:eastAsia="zh-CN"/>
              </w:rPr>
              <w:t>储罐</w:t>
            </w:r>
            <w:r>
              <w:rPr>
                <w:rFonts w:hint="default" w:ascii="Times New Roman" w:hAnsi="Times New Roman" w:eastAsia="宋体" w:cs="Times New Roman"/>
                <w:color w:val="auto"/>
                <w:spacing w:val="0"/>
                <w:szCs w:val="21"/>
                <w:lang w:val="en-US" w:eastAsia="zh-CN"/>
              </w:rPr>
              <w:t>区严格按照《石油库设计规范》（GB50074-2014）等相关要求进行建设，可减少污染物的排放量，可将污染物跑、冒、滴、漏降到最低限度。项目对于进出罐区的物料管道，除起讫点设置阀门外，全线均采用钢管焊接密闭输送，以确保正常情况下无油气泄露；</w:t>
            </w:r>
            <w:r>
              <w:rPr>
                <w:rFonts w:hint="eastAsia" w:ascii="Times New Roman" w:hAnsi="Times New Roman" w:eastAsia="宋体" w:cs="Times New Roman"/>
                <w:color w:val="auto"/>
                <w:spacing w:val="0"/>
                <w:szCs w:val="21"/>
                <w:lang w:eastAsia="zh-CN"/>
              </w:rPr>
              <w:t>对</w:t>
            </w:r>
            <w:r>
              <w:rPr>
                <w:rFonts w:hint="eastAsia" w:ascii="Times New Roman" w:hAnsi="Times New Roman" w:eastAsia="宋体" w:cs="Times New Roman"/>
                <w:color w:val="auto"/>
                <w:spacing w:val="0"/>
                <w:szCs w:val="21"/>
                <w:lang w:val="en-US" w:eastAsia="zh-CN"/>
              </w:rPr>
              <w:t>储罐区、</w:t>
            </w:r>
            <w:r>
              <w:rPr>
                <w:rFonts w:hint="eastAsia" w:cs="Times New Roman"/>
                <w:color w:val="auto"/>
                <w:spacing w:val="0"/>
                <w:szCs w:val="21"/>
                <w:lang w:val="en-US" w:eastAsia="zh-CN"/>
              </w:rPr>
              <w:t>扫仓罐区、</w:t>
            </w:r>
            <w:r>
              <w:rPr>
                <w:rFonts w:hint="eastAsia" w:ascii="Times New Roman" w:hAnsi="Times New Roman" w:eastAsia="宋体" w:cs="Times New Roman"/>
                <w:color w:val="auto"/>
                <w:spacing w:val="0"/>
                <w:szCs w:val="21"/>
                <w:lang w:val="en-US" w:eastAsia="zh-CN"/>
              </w:rPr>
              <w:t>管线、废水处理站、危废暂存间、污油罐、化粪池、隔油池、</w:t>
            </w:r>
            <w:r>
              <w:rPr>
                <w:rFonts w:hint="eastAsia" w:cs="Times New Roman"/>
                <w:color w:val="auto"/>
                <w:spacing w:val="0"/>
                <w:szCs w:val="21"/>
                <w:lang w:val="en-US" w:eastAsia="zh-CN"/>
              </w:rPr>
              <w:t>油气回收装置区、</w:t>
            </w:r>
            <w:r>
              <w:rPr>
                <w:rFonts w:hint="eastAsia" w:ascii="Times New Roman" w:hAnsi="Times New Roman" w:eastAsia="宋体" w:cs="Times New Roman"/>
                <w:bCs/>
                <w:color w:val="auto"/>
                <w:spacing w:val="-2"/>
                <w:kern w:val="0"/>
                <w:sz w:val="21"/>
                <w:szCs w:val="21"/>
                <w:lang w:val="en-US" w:eastAsia="zh-CN"/>
              </w:rPr>
              <w:t>化验废液集存池、生活污</w:t>
            </w:r>
            <w:r>
              <w:rPr>
                <w:rFonts w:hint="eastAsia" w:ascii="Times New Roman" w:hAnsi="Times New Roman" w:eastAsia="宋体" w:cs="Times New Roman"/>
                <w:color w:val="auto"/>
                <w:kern w:val="2"/>
                <w:sz w:val="21"/>
                <w:szCs w:val="21"/>
                <w:u w:val="none"/>
                <w:lang w:val="en-US" w:eastAsia="zh-CN" w:bidi="ar-SA"/>
              </w:rPr>
              <w:t>水处理站</w:t>
            </w:r>
            <w:r>
              <w:rPr>
                <w:rFonts w:hint="eastAsia" w:cs="Times New Roman"/>
                <w:color w:val="auto"/>
                <w:kern w:val="2"/>
                <w:sz w:val="21"/>
                <w:szCs w:val="21"/>
                <w:u w:val="none"/>
                <w:lang w:val="en-US" w:eastAsia="zh-CN" w:bidi="ar-SA"/>
              </w:rPr>
              <w:t>、</w:t>
            </w:r>
            <w:r>
              <w:rPr>
                <w:rFonts w:hint="eastAsia" w:ascii="Times New Roman" w:hAnsi="Times New Roman" w:eastAsia="宋体" w:cs="Times New Roman"/>
                <w:color w:val="auto"/>
                <w:spacing w:val="0"/>
                <w:szCs w:val="21"/>
                <w:lang w:val="en-US" w:eastAsia="zh-CN"/>
              </w:rPr>
              <w:t>漏油及事故污水收集池</w:t>
            </w:r>
            <w:r>
              <w:rPr>
                <w:rFonts w:hint="eastAsia" w:ascii="Times New Roman" w:hAnsi="Times New Roman" w:eastAsia="宋体" w:cs="Times New Roman"/>
                <w:color w:val="auto"/>
                <w:spacing w:val="0"/>
                <w:szCs w:val="21"/>
                <w:lang w:eastAsia="zh-CN"/>
              </w:rPr>
              <w:t>采取严格管理，定期进行全面检查，每日进行例行检查，并记录设备运行情况，发现问题后及时处理，并上报相关部门负责人。</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过</w:t>
            </w:r>
            <w:r>
              <w:rPr>
                <w:rFonts w:hint="eastAsia" w:ascii="Times New Roman" w:hAnsi="Times New Roman" w:eastAsia="宋体" w:cs="Times New Roman"/>
                <w:color w:val="auto"/>
                <w:spacing w:val="0"/>
                <w:szCs w:val="21"/>
                <w:lang w:val="en-US" w:eastAsia="zh-CN"/>
              </w:rPr>
              <w:t>程控制：储罐</w:t>
            </w:r>
            <w:r>
              <w:rPr>
                <w:rFonts w:hint="default" w:ascii="Times New Roman" w:hAnsi="Times New Roman" w:eastAsia="宋体" w:cs="Times New Roman"/>
                <w:color w:val="auto"/>
                <w:spacing w:val="0"/>
                <w:szCs w:val="21"/>
                <w:lang w:val="en-US" w:eastAsia="zh-CN"/>
              </w:rPr>
              <w:t>区为相对独立的区域，</w:t>
            </w:r>
            <w:r>
              <w:rPr>
                <w:rFonts w:hint="eastAsia" w:ascii="Times New Roman" w:hAnsi="Times New Roman" w:eastAsia="宋体" w:cs="Times New Roman"/>
                <w:color w:val="auto"/>
                <w:spacing w:val="0"/>
                <w:szCs w:val="21"/>
                <w:lang w:val="en-US" w:eastAsia="zh-CN"/>
              </w:rPr>
              <w:t>储罐</w:t>
            </w:r>
            <w:r>
              <w:rPr>
                <w:rFonts w:hint="default" w:ascii="Times New Roman" w:hAnsi="Times New Roman" w:eastAsia="宋体" w:cs="Times New Roman"/>
                <w:color w:val="auto"/>
                <w:spacing w:val="0"/>
                <w:szCs w:val="21"/>
                <w:lang w:val="en-US" w:eastAsia="zh-CN"/>
              </w:rPr>
              <w:t>区将设置2m高的围堰</w:t>
            </w:r>
            <w:r>
              <w:rPr>
                <w:rFonts w:hint="eastAsia" w:ascii="Times New Roman" w:hAnsi="Times New Roman" w:eastAsia="宋体" w:cs="Times New Roman"/>
                <w:color w:val="auto"/>
                <w:spacing w:val="0"/>
                <w:szCs w:val="21"/>
                <w:lang w:val="en-US" w:eastAsia="zh-CN"/>
              </w:rPr>
              <w:t>（防火堤）；新建漏油及事故废水收集池；实行“雨污分流”，在厂区雨水排放口设置可控闸板</w:t>
            </w:r>
            <w:r>
              <w:rPr>
                <w:rFonts w:hint="default" w:ascii="Times New Roman" w:hAnsi="Times New Roman" w:eastAsia="宋体" w:cs="Times New Roman"/>
                <w:color w:val="auto"/>
                <w:spacing w:val="0"/>
                <w:szCs w:val="21"/>
                <w:lang w:val="en-US" w:eastAsia="zh-CN"/>
              </w:rPr>
              <w:t>；</w:t>
            </w:r>
            <w:r>
              <w:rPr>
                <w:rFonts w:hint="eastAsia" w:ascii="Times New Roman" w:hAnsi="Times New Roman" w:eastAsia="宋体" w:cs="Times New Roman"/>
                <w:color w:val="auto"/>
                <w:spacing w:val="0"/>
                <w:szCs w:val="21"/>
                <w:lang w:val="en-US" w:eastAsia="zh-CN"/>
              </w:rPr>
              <w:t>控制废水排入外环境。</w:t>
            </w:r>
            <w:r>
              <w:rPr>
                <w:rFonts w:hint="default" w:ascii="Times New Roman" w:hAnsi="Times New Roman" w:eastAsia="宋体" w:cs="Times New Roman"/>
                <w:color w:val="auto"/>
                <w:spacing w:val="0"/>
                <w:szCs w:val="21"/>
                <w:lang w:val="en-US" w:eastAsia="zh-CN"/>
              </w:rPr>
              <w:t>项目在有可能散发易燃易爆气体的场所，如罐区等，均设有监控系统，并有控制室进行监控；另外在项目入口设立明显标志，禁止使用手机等通讯设施。同时环评建议项目在易散发易燃易爆气体的场所，如罐区等安装可燃气体检测报警仪，同时，引入控制室进行监控</w:t>
            </w:r>
            <w:r>
              <w:rPr>
                <w:rFonts w:hint="eastAsia" w:ascii="Times New Roman" w:hAnsi="Times New Roman" w:eastAsia="宋体" w:cs="Times New Roman"/>
                <w:color w:val="auto"/>
                <w:spacing w:val="0"/>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分区防控：重点防渗污染区各单元防渗达到等效黏土防渗层Mb≥6.0m，K≤1.0×10</w:t>
            </w:r>
            <w:r>
              <w:rPr>
                <w:rFonts w:hint="eastAsia" w:ascii="Times New Roman" w:hAnsi="Times New Roman" w:eastAsia="宋体" w:cs="Times New Roman"/>
                <w:color w:val="auto"/>
                <w:spacing w:val="0"/>
                <w:szCs w:val="21"/>
                <w:vertAlign w:val="superscript"/>
                <w:lang w:eastAsia="zh-CN"/>
              </w:rPr>
              <w:t>-7</w:t>
            </w:r>
            <w:r>
              <w:rPr>
                <w:rFonts w:hint="eastAsia" w:ascii="Times New Roman" w:hAnsi="Times New Roman" w:eastAsia="宋体" w:cs="Times New Roman"/>
                <w:color w:val="auto"/>
                <w:spacing w:val="0"/>
                <w:szCs w:val="21"/>
                <w:lang w:eastAsia="zh-CN"/>
              </w:rPr>
              <w:t>cm/s；或参照GB18598执行；一般防渗污染区等效黏土防渗层Mb≥1.5m，K≤1.0×10</w:t>
            </w:r>
            <w:r>
              <w:rPr>
                <w:rFonts w:hint="eastAsia" w:ascii="Times New Roman" w:hAnsi="Times New Roman" w:eastAsia="宋体" w:cs="Times New Roman"/>
                <w:color w:val="auto"/>
                <w:spacing w:val="0"/>
                <w:szCs w:val="21"/>
                <w:vertAlign w:val="superscript"/>
                <w:lang w:eastAsia="zh-CN"/>
              </w:rPr>
              <w:t>-7</w:t>
            </w:r>
            <w:r>
              <w:rPr>
                <w:rFonts w:hint="eastAsia" w:ascii="Times New Roman" w:hAnsi="Times New Roman" w:eastAsia="宋体" w:cs="Times New Roman"/>
                <w:color w:val="auto"/>
                <w:spacing w:val="0"/>
                <w:szCs w:val="21"/>
                <w:lang w:eastAsia="zh-CN"/>
              </w:rPr>
              <w:t>cm/s；或参照GB16899执行；简单防渗污染区地面硬化处理。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生态保护措施</w:t>
            </w:r>
          </w:p>
        </w:tc>
        <w:tc>
          <w:tcPr>
            <w:tcW w:w="4326" w:type="pct"/>
            <w:gridSpan w:val="9"/>
            <w:noWrap w:val="0"/>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施工期：</w:t>
            </w:r>
            <w:r>
              <w:rPr>
                <w:rFonts w:hint="default" w:ascii="Times New Roman" w:hAnsi="Times New Roman" w:eastAsia="宋体" w:cs="Times New Roman"/>
                <w:color w:val="auto"/>
                <w:spacing w:val="0"/>
                <w:szCs w:val="21"/>
                <w:lang w:eastAsia="zh-CN"/>
              </w:rPr>
              <w:t>尽可能避开雨天开挖施工；在施工作业过程中，不得随意开挖，尽量减少对植被的破坏，高大树木带土移栽，不得乱砍滥伐，保护水土资源；强化生态环境保护意识，严格控制施工作业区，不得随意扩大范围，必须减少对附近植被和道路的破坏；施工单位必须办《建筑垃圾处置许可证》，严禁无证开挖；对于排弃的开挖方，减少临时堆放和不必要的转运过程，直接用于就近回填，尽可能与市政建设和景观要求结合，就近造景，采取植物措施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环境风险</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防范措施</w:t>
            </w:r>
          </w:p>
        </w:tc>
        <w:tc>
          <w:tcPr>
            <w:tcW w:w="4326" w:type="pct"/>
            <w:gridSpan w:val="9"/>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详见</w:t>
            </w:r>
            <w:r>
              <w:rPr>
                <w:rFonts w:hint="eastAsia" w:ascii="Times New Roman" w:hAnsi="Times New Roman" w:eastAsia="宋体" w:cs="Times New Roman"/>
                <w:color w:val="auto"/>
                <w:spacing w:val="0"/>
                <w:szCs w:val="21"/>
                <w:lang w:val="en-US" w:eastAsia="zh-CN"/>
              </w:rPr>
              <w:t>《</w:t>
            </w:r>
            <w:r>
              <w:rPr>
                <w:rFonts w:hint="default" w:ascii="Times New Roman" w:hAnsi="Times New Roman" w:eastAsia="宋体" w:cs="Times New Roman"/>
                <w:color w:val="auto"/>
                <w:spacing w:val="0"/>
                <w:szCs w:val="21"/>
                <w:lang w:val="en-US" w:eastAsia="zh-CN"/>
              </w:rPr>
              <w:t>达州市中石油7101油库迁建项目</w:t>
            </w:r>
            <w:r>
              <w:rPr>
                <w:rFonts w:hint="eastAsia" w:ascii="Times New Roman" w:hAnsi="Times New Roman" w:eastAsia="宋体" w:cs="Times New Roman"/>
                <w:color w:val="auto"/>
                <w:spacing w:val="0"/>
                <w:szCs w:val="21"/>
                <w:lang w:eastAsia="zh-CN"/>
              </w:rPr>
              <w:t>环境风险专项评价</w:t>
            </w:r>
            <w:r>
              <w:rPr>
                <w:rFonts w:hint="eastAsia" w:ascii="Times New Roman" w:hAnsi="Times New Roman" w:eastAsia="宋体" w:cs="Times New Roman"/>
                <w:color w:val="auto"/>
                <w:spacing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其他环境</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管理要求</w:t>
            </w:r>
          </w:p>
        </w:tc>
        <w:tc>
          <w:tcPr>
            <w:tcW w:w="5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防渗</w:t>
            </w:r>
          </w:p>
        </w:tc>
        <w:tc>
          <w:tcPr>
            <w:tcW w:w="3757"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default" w:ascii="Times New Roman" w:hAnsi="Times New Roman" w:eastAsia="宋体" w:cs="Times New Roman"/>
                <w:color w:val="auto"/>
                <w:kern w:val="2"/>
                <w:sz w:val="21"/>
                <w:szCs w:val="21"/>
                <w:u w:val="none"/>
                <w:lang w:val="en-US" w:eastAsia="zh-CN" w:bidi="ar-SA"/>
              </w:rPr>
              <w:t>储罐区、</w:t>
            </w:r>
            <w:r>
              <w:rPr>
                <w:rFonts w:hint="default" w:ascii="Times New Roman" w:hAnsi="Times New Roman" w:eastAsia="宋体" w:cs="Times New Roman"/>
                <w:bCs/>
                <w:color w:val="auto"/>
                <w:spacing w:val="-2"/>
                <w:kern w:val="0"/>
                <w:sz w:val="21"/>
                <w:szCs w:val="21"/>
              </w:rPr>
              <w:t>储罐组及扫仓罐区内地面、油气回收装置</w:t>
            </w:r>
            <w:r>
              <w:rPr>
                <w:rFonts w:hint="eastAsia" w:ascii="Times New Roman" w:hAnsi="Times New Roman" w:eastAsia="宋体" w:cs="Times New Roman"/>
                <w:bCs/>
                <w:color w:val="auto"/>
                <w:spacing w:val="-2"/>
                <w:kern w:val="0"/>
                <w:sz w:val="21"/>
                <w:szCs w:val="21"/>
                <w:lang w:eastAsia="zh-CN"/>
              </w:rPr>
              <w:t>区</w:t>
            </w:r>
            <w:r>
              <w:rPr>
                <w:rFonts w:hint="default" w:ascii="Times New Roman" w:hAnsi="Times New Roman" w:eastAsia="宋体" w:cs="Times New Roman"/>
                <w:color w:val="auto"/>
                <w:kern w:val="2"/>
                <w:sz w:val="21"/>
                <w:szCs w:val="21"/>
                <w:u w:val="none"/>
                <w:lang w:val="en-US" w:eastAsia="zh-CN" w:bidi="ar-SA"/>
              </w:rPr>
              <w:t>、危废暂存间、隔油池、化粪池、</w:t>
            </w:r>
            <w:r>
              <w:rPr>
                <w:rFonts w:hint="eastAsia" w:cs="Times New Roman"/>
                <w:color w:val="auto"/>
                <w:kern w:val="2"/>
                <w:sz w:val="21"/>
                <w:szCs w:val="21"/>
                <w:u w:val="none"/>
                <w:lang w:val="en-US" w:eastAsia="zh-CN" w:bidi="ar-SA"/>
              </w:rPr>
              <w:t>漏油及事故污水收集池、</w:t>
            </w:r>
            <w:r>
              <w:rPr>
                <w:rFonts w:hint="eastAsia" w:ascii="Times New Roman" w:hAnsi="Times New Roman" w:eastAsia="宋体" w:cs="Times New Roman"/>
                <w:bCs/>
                <w:color w:val="auto"/>
                <w:spacing w:val="-2"/>
                <w:kern w:val="0"/>
                <w:sz w:val="21"/>
                <w:szCs w:val="21"/>
                <w:lang w:val="en-US" w:eastAsia="zh-CN"/>
              </w:rPr>
              <w:t>化验废液集存池、生活污</w:t>
            </w:r>
            <w:r>
              <w:rPr>
                <w:rFonts w:hint="eastAsia" w:ascii="Times New Roman" w:hAnsi="Times New Roman" w:eastAsia="宋体" w:cs="Times New Roman"/>
                <w:color w:val="auto"/>
                <w:kern w:val="2"/>
                <w:sz w:val="21"/>
                <w:szCs w:val="21"/>
                <w:u w:val="none"/>
                <w:lang w:val="en-US" w:eastAsia="zh-CN" w:bidi="ar-SA"/>
              </w:rPr>
              <w:t>水处理站</w:t>
            </w:r>
            <w:r>
              <w:rPr>
                <w:rFonts w:hint="default" w:ascii="Times New Roman" w:hAnsi="Times New Roman" w:eastAsia="宋体" w:cs="Times New Roman"/>
                <w:color w:val="auto"/>
                <w:kern w:val="2"/>
                <w:sz w:val="21"/>
                <w:szCs w:val="21"/>
                <w:u w:val="none"/>
                <w:lang w:val="en-US" w:eastAsia="zh-CN" w:bidi="ar-SA"/>
              </w:rPr>
              <w:t>、废水处理站、物料输送管线进行重点防渗，</w:t>
            </w:r>
            <w:r>
              <w:rPr>
                <w:rFonts w:hint="default" w:ascii="Times New Roman" w:hAnsi="Times New Roman" w:cs="Times New Roman"/>
                <w:snapToGrid w:val="0"/>
                <w:color w:val="auto"/>
                <w:kern w:val="0"/>
                <w:sz w:val="21"/>
                <w:szCs w:val="21"/>
                <w:highlight w:val="none"/>
              </w:rPr>
              <w:t>等效黏土防渗层Mb≥6.0m，K≤1×10</w:t>
            </w:r>
            <w:r>
              <w:rPr>
                <w:rFonts w:hint="default" w:ascii="Times New Roman" w:hAnsi="Times New Roman" w:cs="Times New Roman"/>
                <w:snapToGrid w:val="0"/>
                <w:color w:val="auto"/>
                <w:kern w:val="0"/>
                <w:sz w:val="21"/>
                <w:szCs w:val="21"/>
                <w:highlight w:val="none"/>
                <w:vertAlign w:val="superscript"/>
              </w:rPr>
              <w:t>-7</w:t>
            </w:r>
            <w:r>
              <w:rPr>
                <w:rFonts w:hint="default" w:ascii="Times New Roman" w:hAnsi="Times New Roman" w:cs="Times New Roman"/>
                <w:snapToGrid w:val="0"/>
                <w:color w:val="auto"/>
                <w:kern w:val="0"/>
                <w:sz w:val="21"/>
                <w:szCs w:val="21"/>
                <w:highlight w:val="none"/>
              </w:rPr>
              <w:t>cm/s</w:t>
            </w:r>
            <w:r>
              <w:rPr>
                <w:rFonts w:hint="default" w:ascii="Times New Roman" w:hAnsi="Times New Roman" w:cs="Times New Roman"/>
                <w:snapToGrid w:val="0"/>
                <w:color w:val="auto"/>
                <w:kern w:val="0"/>
                <w:sz w:val="21"/>
                <w:szCs w:val="21"/>
                <w:highlight w:val="none"/>
                <w:lang w:eastAsia="zh-CN"/>
              </w:rPr>
              <w:t>，危废暂存间</w:t>
            </w:r>
            <w:r>
              <w:rPr>
                <w:rFonts w:hint="default" w:ascii="Times New Roman" w:hAnsi="Times New Roman" w:cs="Times New Roman"/>
                <w:color w:val="auto"/>
                <w:sz w:val="21"/>
                <w:szCs w:val="21"/>
              </w:rPr>
              <w:t>渗透系数低于10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default" w:ascii="Times New Roman" w:hAnsi="Times New Roman" w:cs="Times New Roman"/>
                <w:snapToGrid w:val="0"/>
                <w:color w:val="auto"/>
                <w:kern w:val="0"/>
                <w:sz w:val="21"/>
                <w:szCs w:val="21"/>
                <w:highlight w:val="none"/>
              </w:rPr>
              <w:t>；</w:t>
            </w:r>
            <w:r>
              <w:rPr>
                <w:rFonts w:hint="default" w:ascii="Times New Roman" w:hAnsi="Times New Roman" w:cs="Times New Roman"/>
                <w:snapToGrid w:val="0"/>
                <w:color w:val="auto"/>
                <w:kern w:val="0"/>
                <w:sz w:val="21"/>
                <w:szCs w:val="21"/>
                <w:highlight w:val="none"/>
                <w:lang w:eastAsia="zh-CN"/>
              </w:rPr>
              <w:t>装卸车棚地面、</w:t>
            </w:r>
            <w:r>
              <w:rPr>
                <w:rFonts w:hint="eastAsia" w:eastAsia="宋体"/>
                <w:snapToGrid w:val="0"/>
                <w:color w:val="auto"/>
                <w:kern w:val="0"/>
                <w:sz w:val="21"/>
                <w:szCs w:val="21"/>
                <w:highlight w:val="none"/>
                <w:lang w:val="en-US" w:eastAsia="zh-CN"/>
              </w:rPr>
              <w:t>含油污水处理装置棚地面、</w:t>
            </w:r>
            <w:r>
              <w:rPr>
                <w:rFonts w:hint="default" w:ascii="Times New Roman" w:hAnsi="Times New Roman" w:cs="Times New Roman"/>
                <w:snapToGrid w:val="0"/>
                <w:color w:val="auto"/>
                <w:kern w:val="0"/>
                <w:sz w:val="21"/>
                <w:szCs w:val="21"/>
                <w:highlight w:val="none"/>
                <w:lang w:eastAsia="zh-CN"/>
              </w:rPr>
              <w:t>物料运输道路、雨水沟渠进行一般防渗，</w:t>
            </w: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default" w:ascii="Times New Roman" w:hAnsi="Times New Roman" w:cs="Times New Roman"/>
                <w:color w:val="auto"/>
                <w:sz w:val="21"/>
                <w:szCs w:val="21"/>
                <w:highlight w:val="none"/>
                <w:lang w:eastAsia="zh-CN"/>
              </w:rPr>
              <w:t>办公室、控制室进行简单防渗，一般硬化地面</w:t>
            </w:r>
            <w:r>
              <w:rPr>
                <w:rFonts w:hint="eastAsia" w:ascii="Times New Roman"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color w:val="auto"/>
              </w:rPr>
            </w:pPr>
          </w:p>
        </w:tc>
        <w:tc>
          <w:tcPr>
            <w:tcW w:w="569"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监测计划</w:t>
            </w:r>
          </w:p>
        </w:tc>
        <w:tc>
          <w:tcPr>
            <w:tcW w:w="5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监测项目</w:t>
            </w:r>
          </w:p>
        </w:tc>
        <w:tc>
          <w:tcPr>
            <w:tcW w:w="11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Cs w:val="21"/>
                <w:lang w:eastAsia="zh-CN"/>
              </w:rPr>
            </w:pPr>
            <w:r>
              <w:rPr>
                <w:rFonts w:hint="eastAsia" w:cs="Times New Roman"/>
                <w:color w:val="auto"/>
                <w:spacing w:val="0"/>
                <w:szCs w:val="21"/>
                <w:lang w:eastAsia="zh-CN"/>
              </w:rPr>
              <w:t>监测位置</w:t>
            </w:r>
          </w:p>
        </w:tc>
        <w:tc>
          <w:tcPr>
            <w:tcW w:w="107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监测因子</w:t>
            </w:r>
          </w:p>
        </w:tc>
        <w:tc>
          <w:tcPr>
            <w:tcW w:w="10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监测频次废气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lang w:eastAsia="zh-CN"/>
              </w:rPr>
            </w:pPr>
          </w:p>
        </w:tc>
        <w:tc>
          <w:tcPr>
            <w:tcW w:w="504"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废气</w:t>
            </w:r>
          </w:p>
        </w:tc>
        <w:tc>
          <w:tcPr>
            <w:tcW w:w="1166"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cs="Times New Roman"/>
                <w:color w:val="auto"/>
                <w:spacing w:val="0"/>
                <w:szCs w:val="21"/>
                <w:lang w:val="en-US" w:eastAsia="zh-CN"/>
              </w:rPr>
            </w:pPr>
            <w:r>
              <w:rPr>
                <w:rFonts w:hint="eastAsia" w:cs="Times New Roman"/>
                <w:color w:val="auto"/>
                <w:sz w:val="21"/>
                <w:szCs w:val="21"/>
                <w:u w:val="none"/>
                <w:lang w:val="en-US" w:eastAsia="zh-CN"/>
              </w:rPr>
              <w:t>汽油装车废气（含应急汽油卸车废气）、汽油扫仓废气</w:t>
            </w:r>
            <w:r>
              <w:rPr>
                <w:rFonts w:hint="eastAsia"/>
                <w:color w:val="auto"/>
                <w:sz w:val="21"/>
                <w:szCs w:val="21"/>
                <w:highlight w:val="none"/>
                <w:lang w:val="en-US" w:eastAsia="zh-CN"/>
              </w:rPr>
              <w:t>排气筒P1</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s="Times New Roman"/>
                <w:color w:val="auto"/>
                <w:spacing w:val="0"/>
                <w:szCs w:val="21"/>
                <w:lang w:eastAsia="zh-CN"/>
              </w:rPr>
            </w:pPr>
            <w:r>
              <w:rPr>
                <w:rFonts w:hint="eastAsia"/>
                <w:color w:val="auto"/>
                <w:sz w:val="21"/>
                <w:szCs w:val="21"/>
                <w:highlight w:val="none"/>
                <w:lang w:eastAsia="zh-CN"/>
              </w:rPr>
              <w:t>非甲烷总烃</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s="Times New Roman"/>
                <w:color w:val="auto"/>
                <w:spacing w:val="0"/>
                <w:szCs w:val="21"/>
                <w:lang w:eastAsia="zh-CN"/>
              </w:rPr>
            </w:pPr>
            <w:r>
              <w:rPr>
                <w:rFonts w:hint="eastAsia" w:eastAsia="宋体"/>
                <w:color w:val="auto"/>
                <w:sz w:val="21"/>
                <w:szCs w:val="21"/>
                <w:highlight w:val="none"/>
                <w:lang w:val="en-US" w:eastAsia="zh-CN"/>
              </w:rPr>
              <w:t>1次/月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default" w:eastAsia="宋体"/>
                <w:color w:val="auto"/>
                <w:lang w:val="en-US" w:eastAsia="zh-CN"/>
              </w:rPr>
            </w:pPr>
            <w:r>
              <w:rPr>
                <w:rFonts w:hint="eastAsia"/>
                <w:color w:val="auto"/>
                <w:sz w:val="21"/>
                <w:szCs w:val="21"/>
                <w:highlight w:val="none"/>
                <w:lang w:eastAsia="zh-CN"/>
              </w:rPr>
              <w:t>食堂油烟排气筒</w:t>
            </w:r>
            <w:r>
              <w:rPr>
                <w:rFonts w:hint="eastAsia"/>
                <w:color w:val="auto"/>
                <w:sz w:val="21"/>
                <w:szCs w:val="21"/>
                <w:highlight w:val="none"/>
                <w:lang w:val="en-US" w:eastAsia="zh-CN"/>
              </w:rPr>
              <w:t>P2</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油烟</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lang w:eastAsia="zh-CN"/>
              </w:rPr>
            </w:pPr>
            <w:r>
              <w:rPr>
                <w:rFonts w:hint="eastAsia"/>
                <w:color w:val="auto"/>
                <w:sz w:val="21"/>
                <w:szCs w:val="21"/>
                <w:highlight w:val="none"/>
                <w:lang w:eastAsia="zh-CN"/>
              </w:rPr>
              <w:t>汽油油气收集系统泄漏点</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油气体积分数浓度</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default"/>
                <w:color w:val="auto"/>
                <w:lang w:val="en-US" w:eastAsia="zh-CN"/>
              </w:rPr>
            </w:pPr>
            <w:r>
              <w:rPr>
                <w:rFonts w:hint="eastAsia"/>
                <w:color w:val="auto"/>
                <w:sz w:val="21"/>
                <w:szCs w:val="21"/>
                <w:highlight w:val="none"/>
                <w:lang w:eastAsia="zh-CN"/>
              </w:rPr>
              <w:t>汽油油罐车底部发油结束断开快速接头泄漏点</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eastAsia="zh-CN"/>
              </w:rPr>
              <w:t>汽油泄漏量</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底部装油结束并断开快速接头时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泵、压缩机、搅拌器(机)、阀门、开口阀或开口管线、泄压设备、取样连接系统</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非甲烷总烃（挥发性有机物）</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1次/半年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法兰及其他连接件、其他密封设备</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非甲烷总烃（挥发性有机物）</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val="en-US" w:eastAsia="zh-CN"/>
              </w:rPr>
              <w:t>企业边界</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val="en-US" w:eastAsia="zh-CN"/>
              </w:rPr>
              <w:t>非甲烷总烃</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2112" w:type="dxa"/>
            <w:gridSpan w:val="2"/>
            <w:noWrap w:val="0"/>
            <w:vAlign w:val="center"/>
          </w:tcPr>
          <w:p>
            <w:pPr>
              <w:keepNext w:val="0"/>
              <w:keepLines w:val="0"/>
              <w:suppressLineNumbers w:val="0"/>
              <w:autoSpaceDE w:val="0"/>
              <w:autoSpaceDN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库区内</w:t>
            </w:r>
          </w:p>
        </w:tc>
        <w:tc>
          <w:tcPr>
            <w:tcW w:w="1940" w:type="dxa"/>
            <w:gridSpan w:val="2"/>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非甲烷总烃</w:t>
            </w:r>
          </w:p>
        </w:tc>
        <w:tc>
          <w:tcPr>
            <w:tcW w:w="1840"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废水</w:t>
            </w:r>
          </w:p>
        </w:tc>
        <w:tc>
          <w:tcPr>
            <w:tcW w:w="1166"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厂区总排口</w:t>
            </w: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化学需氧量、氨氮</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1次/季度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pH、悬浮物、石油类</w:t>
            </w:r>
            <w:r>
              <w:rPr>
                <w:rFonts w:hint="eastAsia"/>
                <w:color w:val="auto"/>
                <w:sz w:val="21"/>
                <w:szCs w:val="21"/>
                <w:highlight w:val="none"/>
                <w:lang w:val="en-US" w:eastAsia="zh-CN"/>
              </w:rPr>
              <w:t>、动植物油</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1次/半年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071" w:type="pct"/>
            <w:gridSpan w:val="2"/>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总有机碳</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噪声</w:t>
            </w:r>
          </w:p>
        </w:tc>
        <w:tc>
          <w:tcPr>
            <w:tcW w:w="116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厂界四周</w:t>
            </w:r>
          </w:p>
        </w:tc>
        <w:tc>
          <w:tcPr>
            <w:tcW w:w="1071" w:type="pct"/>
            <w:gridSpan w:val="2"/>
            <w:noWrap w:val="0"/>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等效A声级</w:t>
            </w:r>
          </w:p>
        </w:tc>
        <w:tc>
          <w:tcPr>
            <w:tcW w:w="1016" w:type="pc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1次/季度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cs="Times New Roman"/>
                <w:color w:val="auto"/>
                <w:spacing w:val="0"/>
                <w:szCs w:val="21"/>
              </w:rPr>
            </w:pPr>
          </w:p>
        </w:tc>
        <w:tc>
          <w:tcPr>
            <w:tcW w:w="5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排污口规范化</w:t>
            </w:r>
          </w:p>
        </w:tc>
        <w:tc>
          <w:tcPr>
            <w:tcW w:w="3757" w:type="pct"/>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eastAsia="zh-CN"/>
              </w:rPr>
              <w:t>建立规范化排污口，设置监测孔及监测平台，设置排污口标示牌，建立规范化排污档案。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cs="Times New Roman"/>
                <w:color w:val="auto"/>
                <w:spacing w:val="0"/>
                <w:szCs w:val="21"/>
              </w:rPr>
            </w:pPr>
          </w:p>
        </w:tc>
        <w:tc>
          <w:tcPr>
            <w:tcW w:w="5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其他</w:t>
            </w:r>
          </w:p>
        </w:tc>
        <w:tc>
          <w:tcPr>
            <w:tcW w:w="3757" w:type="pct"/>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达州市城乡规划委员会2020年第六次会议原则同意项目选址于达州市通川区双龙铁路物流园区中部（野梨树湾，地块编号01-C-01-02），并将项目用地纳入《达州市国土空间总体规划》和《达州市环城路二期及环凤产业大道沿线区域控制性详细规划》中统筹考虑，用地性质为三类仓储用地。同时鉴于油库属于重大高危建设项目，会议要求项目须取得《地质灾害评估报告》、《安全评价报告》、《环境影响评价报告》批复文件后再予以供地建设。</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both"/>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项目所在区域占用了石门河，为减少地质灾害的发生，规划在项目用地西侧现状河沟处设置泄洪沟，本次评价建议针对该项目做行洪论证报告，后续事宜以论证报告为准。</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both"/>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根据《烟花爆竹工程设计安全规范GB50161-2009》烟花爆竹生产企业的燃放试验场与危险品仓库及易燃易爆液体库的最小允许距离取最大值为</w:t>
            </w:r>
            <w:r>
              <w:rPr>
                <w:rFonts w:hint="default" w:ascii="Times New Roman" w:hAnsi="Times New Roman" w:eastAsia="宋体" w:cs="Times New Roman"/>
                <w:color w:val="auto"/>
                <w:spacing w:val="0"/>
                <w:kern w:val="2"/>
                <w:sz w:val="21"/>
                <w:szCs w:val="21"/>
                <w:lang w:val="en-US" w:eastAsia="zh-CN" w:bidi="ar-SA"/>
              </w:rPr>
              <w:t>800</w:t>
            </w:r>
            <w:r>
              <w:rPr>
                <w:rFonts w:hint="eastAsia" w:ascii="Times New Roman" w:hAnsi="Times New Roman" w:eastAsia="宋体" w:cs="Times New Roman"/>
                <w:color w:val="auto"/>
                <w:spacing w:val="0"/>
                <w:kern w:val="2"/>
                <w:sz w:val="21"/>
                <w:szCs w:val="21"/>
                <w:lang w:val="en-US" w:eastAsia="zh-CN" w:bidi="ar-SA"/>
              </w:rPr>
              <w:t>米，达州市殡仪馆距离库区900米，且中间由一座高程为560m的山脊阻隔，两项目高程相差150m，因此，殡仪馆项目对本项目不会产生不利影响。</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both"/>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项目所在区域占用了原双新公路，拟将双新公路进行改线，改线后的双线公路道路宽15米。</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tc>
      </w:tr>
    </w:tbl>
    <w:p>
      <w:pPr>
        <w:pStyle w:val="17"/>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eastAsia="宋体" w:cs="宋体"/>
                <w:color w:val="auto"/>
                <w:sz w:val="24"/>
                <w:lang w:eastAsia="zh-CN"/>
              </w:rPr>
            </w:pPr>
            <w:r>
              <w:rPr>
                <w:rFonts w:hint="eastAsia" w:ascii="宋体" w:cs="宋体"/>
                <w:color w:val="auto"/>
                <w:sz w:val="24"/>
                <w:lang w:eastAsia="zh-CN"/>
              </w:rPr>
              <w:t>综上所述，</w:t>
            </w:r>
            <w:r>
              <w:rPr>
                <w:rFonts w:hint="eastAsia" w:cs="Times New Roman"/>
                <w:color w:val="auto"/>
                <w:sz w:val="24"/>
                <w:szCs w:val="24"/>
                <w:lang w:eastAsia="zh-CN"/>
              </w:rPr>
              <w:t>达州市石油</w:t>
            </w:r>
            <w:r>
              <w:rPr>
                <w:rFonts w:hint="eastAsia" w:cs="Times New Roman"/>
                <w:color w:val="auto"/>
                <w:sz w:val="24"/>
                <w:szCs w:val="24"/>
                <w:lang w:val="en-US" w:eastAsia="zh-CN"/>
              </w:rPr>
              <w:t>7101油库迁建项目</w:t>
            </w:r>
            <w:r>
              <w:rPr>
                <w:rFonts w:hint="eastAsia" w:ascii="Times New Roman" w:hAnsi="Times New Roman" w:cs="Times New Roman"/>
                <w:color w:val="auto"/>
                <w:sz w:val="24"/>
                <w:szCs w:val="24"/>
                <w:lang w:eastAsia="zh-CN"/>
              </w:rPr>
              <w:t>符合国家产业政策；选址符合达州市建设规划，项目选址合理；项目总平面布置合理，无明显环境制约因素。项目采取的各项污染防治措施技术可靠、经济可行。</w:t>
            </w:r>
            <w:r>
              <w:rPr>
                <w:rFonts w:hint="default" w:ascii="Times New Roman" w:hAnsi="Times New Roman" w:eastAsia="宋体" w:cs="Times New Roman"/>
                <w:color w:val="auto"/>
                <w:sz w:val="24"/>
                <w:szCs w:val="24"/>
                <w:lang w:val="en-US" w:eastAsia="zh-CN"/>
              </w:rPr>
              <w:t>只要认真落实本报告提出的各项污染防治对策措施，项目污染物可实现达标排放；项目运营不会对周边环境</w:t>
            </w:r>
            <w:r>
              <w:rPr>
                <w:rFonts w:hint="eastAsia" w:ascii="Times New Roman" w:hAnsi="Times New Roman" w:eastAsia="宋体" w:cs="Times New Roman"/>
                <w:color w:val="auto"/>
                <w:sz w:val="24"/>
                <w:szCs w:val="24"/>
                <w:lang w:val="en-US" w:eastAsia="zh-CN"/>
              </w:rPr>
              <w:t>功能</w:t>
            </w:r>
            <w:r>
              <w:rPr>
                <w:rFonts w:hint="default" w:ascii="Times New Roman" w:hAnsi="Times New Roman" w:eastAsia="宋体" w:cs="Times New Roman"/>
                <w:color w:val="auto"/>
                <w:sz w:val="24"/>
                <w:szCs w:val="24"/>
                <w:lang w:val="en-US" w:eastAsia="zh-CN"/>
              </w:rPr>
              <w:t>质量产生明显影响。</w:t>
            </w:r>
            <w:r>
              <w:rPr>
                <w:rFonts w:hint="eastAsia" w:ascii="Times New Roman" w:hAnsi="Times New Roman" w:cs="Times New Roman"/>
                <w:color w:val="auto"/>
                <w:sz w:val="24"/>
                <w:szCs w:val="24"/>
                <w:lang w:eastAsia="zh-CN"/>
              </w:rPr>
              <w:t>本项目符合各相关规划要求，</w:t>
            </w:r>
            <w:r>
              <w:rPr>
                <w:rFonts w:hint="default" w:ascii="Times New Roman" w:hAnsi="Times New Roman" w:eastAsia="宋体" w:cs="Times New Roman"/>
                <w:color w:val="auto"/>
                <w:sz w:val="24"/>
                <w:szCs w:val="24"/>
                <w:lang w:val="en-US" w:eastAsia="zh-CN"/>
              </w:rPr>
              <w:t>从环境的角度而言，项目建设可行。</w:t>
            </w: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627"/>
        <w:gridCol w:w="1646"/>
        <w:gridCol w:w="1276"/>
        <w:gridCol w:w="1701"/>
        <w:gridCol w:w="1559"/>
        <w:gridCol w:w="1761"/>
        <w:gridCol w:w="1822"/>
        <w:gridCol w:w="9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3" w:type="dxa"/>
            <w:tcBorders>
              <w:tl2br w:val="single" w:color="auto" w:sz="4" w:space="0"/>
            </w:tcBorders>
            <w:noWrap w:val="0"/>
            <w:tcMar>
              <w:left w:w="28" w:type="dxa"/>
              <w:right w:w="28" w:type="dxa"/>
            </w:tcMar>
            <w:vAlign w:val="center"/>
          </w:tcPr>
          <w:p>
            <w:pPr>
              <w:pStyle w:val="27"/>
              <w:spacing w:beforeLines="0" w:afterLines="0" w:line="240" w:lineRule="auto"/>
              <w:jc w:val="righ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pPr>
              <w:pStyle w:val="27"/>
              <w:spacing w:beforeLines="0" w:afterLines="0" w:line="240" w:lineRule="auto"/>
              <w:jc w:val="lef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1627"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646"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6"/>
                <w:kern w:val="21"/>
                <w:sz w:val="21"/>
                <w:szCs w:val="21"/>
                <w:lang w:eastAsia="zh-CN"/>
              </w:rPr>
            </w:pPr>
            <w:r>
              <w:rPr>
                <w:rFonts w:hint="default" w:ascii="Times New Roman" w:hAnsi="Times New Roman" w:cs="Times New Roman"/>
                <w:snapToGrid w:val="0"/>
                <w:color w:val="auto"/>
                <w:spacing w:val="-6"/>
                <w:kern w:val="21"/>
                <w:sz w:val="21"/>
                <w:szCs w:val="21"/>
                <w:lang w:eastAsia="zh-CN"/>
              </w:rPr>
              <w:t>现有工程</w:t>
            </w:r>
          </w:p>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76"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6"/>
                <w:kern w:val="21"/>
                <w:sz w:val="21"/>
                <w:szCs w:val="21"/>
                <w:lang w:eastAsia="zh-CN"/>
              </w:rPr>
            </w:pPr>
            <w:r>
              <w:rPr>
                <w:rFonts w:hint="default" w:ascii="Times New Roman" w:hAnsi="Times New Roman" w:cs="Times New Roman"/>
                <w:snapToGrid w:val="0"/>
                <w:color w:val="auto"/>
                <w:spacing w:val="-6"/>
                <w:kern w:val="21"/>
                <w:sz w:val="21"/>
                <w:szCs w:val="21"/>
                <w:lang w:eastAsia="zh-CN"/>
              </w:rPr>
              <w:t>现有工程</w:t>
            </w:r>
          </w:p>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pPr>
              <w:pStyle w:val="27"/>
              <w:spacing w:beforeLines="0" w:afterLines="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701"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59"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6"/>
                <w:kern w:val="21"/>
                <w:sz w:val="21"/>
                <w:szCs w:val="21"/>
                <w:lang w:eastAsia="zh-CN"/>
              </w:rPr>
            </w:pPr>
            <w:r>
              <w:rPr>
                <w:rFonts w:hint="default" w:ascii="Times New Roman" w:hAnsi="Times New Roman" w:cs="Times New Roman"/>
                <w:snapToGrid w:val="0"/>
                <w:color w:val="auto"/>
                <w:spacing w:val="-6"/>
                <w:kern w:val="21"/>
                <w:sz w:val="21"/>
                <w:szCs w:val="21"/>
                <w:lang w:eastAsia="zh-CN"/>
              </w:rPr>
              <w:t>拟建项目</w:t>
            </w:r>
          </w:p>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761"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822"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lang w:eastAsia="zh-CN"/>
              </w:rPr>
              <w:t>拟建项目</w:t>
            </w:r>
            <w:r>
              <w:rPr>
                <w:rFonts w:hint="default" w:ascii="Times New Roman" w:hAnsi="Times New Roman" w:eastAsia="宋体" w:cs="Times New Roman"/>
                <w:snapToGrid w:val="0"/>
                <w:color w:val="auto"/>
                <w:spacing w:val="-16"/>
                <w:kern w:val="21"/>
                <w:sz w:val="21"/>
                <w:szCs w:val="21"/>
              </w:rPr>
              <w:t>建成后</w:t>
            </w:r>
          </w:p>
          <w:p>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w:t>
            </w:r>
            <w:r>
              <w:rPr>
                <w:rFonts w:hint="eastAsia" w:ascii="Times New Roman" w:cs="Times New Roman"/>
                <w:snapToGrid w:val="0"/>
                <w:color w:val="auto"/>
                <w:spacing w:val="-16"/>
                <w:kern w:val="21"/>
                <w:sz w:val="21"/>
                <w:szCs w:val="21"/>
                <w:lang w:eastAsia="zh-CN"/>
              </w:rPr>
              <w:t>厂</w:t>
            </w:r>
            <w:r>
              <w:rPr>
                <w:rFonts w:hint="default" w:ascii="Times New Roman" w:hAnsi="Times New Roman" w:eastAsia="宋体" w:cs="Times New Roman"/>
                <w:snapToGrid w:val="0"/>
                <w:color w:val="auto"/>
                <w:spacing w:val="-16"/>
                <w:kern w:val="21"/>
                <w:sz w:val="21"/>
                <w:szCs w:val="21"/>
              </w:rPr>
              <w:t>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963" w:type="dxa"/>
            <w:noWrap w:val="0"/>
            <w:tcMar>
              <w:left w:w="28" w:type="dxa"/>
              <w:right w:w="28" w:type="dxa"/>
            </w:tcMar>
            <w:vAlign w:val="center"/>
          </w:tcPr>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废气</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非甲烷总烃</w:t>
            </w:r>
          </w:p>
        </w:tc>
        <w:tc>
          <w:tcPr>
            <w:tcW w:w="1646" w:type="dxa"/>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76" w:type="dxa"/>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701" w:type="dxa"/>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5.386</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822"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5.386</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cs="Times New Roman"/>
                <w:snapToGrid w:val="0"/>
                <w:color w:val="auto"/>
                <w:kern w:val="21"/>
                <w:sz w:val="21"/>
                <w:szCs w:val="21"/>
                <w:lang w:eastAsia="zh-CN"/>
              </w:rPr>
              <w:t>油烟</w:t>
            </w:r>
          </w:p>
        </w:tc>
        <w:tc>
          <w:tcPr>
            <w:tcW w:w="1646" w:type="dxa"/>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p>
        </w:tc>
        <w:tc>
          <w:tcPr>
            <w:tcW w:w="1276" w:type="dxa"/>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701" w:type="dxa"/>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0.0027</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p>
        </w:tc>
        <w:tc>
          <w:tcPr>
            <w:tcW w:w="1822" w:type="dxa"/>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0.0027</w:t>
            </w:r>
          </w:p>
        </w:tc>
        <w:tc>
          <w:tcPr>
            <w:tcW w:w="963" w:type="dxa"/>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COD</w:t>
            </w:r>
          </w:p>
        </w:tc>
        <w:tc>
          <w:tcPr>
            <w:tcW w:w="16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BOD</w:t>
            </w:r>
            <w:r>
              <w:rPr>
                <w:rFonts w:hint="default" w:ascii="Times New Roman" w:hAnsi="Times New Roman" w:cs="Times New Roman"/>
                <w:color w:val="auto"/>
                <w:kern w:val="0"/>
                <w:sz w:val="21"/>
                <w:szCs w:val="21"/>
                <w:highlight w:val="none"/>
                <w:vertAlign w:val="subscript"/>
                <w:lang w:bidi="ar"/>
              </w:rPr>
              <w:t>5</w:t>
            </w:r>
          </w:p>
        </w:tc>
        <w:tc>
          <w:tcPr>
            <w:tcW w:w="16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SS</w:t>
            </w:r>
          </w:p>
        </w:tc>
        <w:tc>
          <w:tcPr>
            <w:tcW w:w="16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NH</w:t>
            </w:r>
            <w:r>
              <w:rPr>
                <w:rFonts w:hint="default" w:ascii="Times New Roman" w:hAnsi="Times New Roman" w:cs="Times New Roman"/>
                <w:color w:val="auto"/>
                <w:kern w:val="0"/>
                <w:sz w:val="21"/>
                <w:szCs w:val="21"/>
                <w:highlight w:val="none"/>
                <w:vertAlign w:val="subscript"/>
                <w:lang w:bidi="ar"/>
              </w:rPr>
              <w:t>3</w:t>
            </w:r>
            <w:r>
              <w:rPr>
                <w:rFonts w:hint="default" w:ascii="Times New Roman" w:hAnsi="Times New Roman" w:cs="Times New Roman"/>
                <w:color w:val="auto"/>
                <w:kern w:val="0"/>
                <w:sz w:val="21"/>
                <w:szCs w:val="21"/>
                <w:highlight w:val="none"/>
                <w:lang w:bidi="ar"/>
              </w:rPr>
              <w:t>-N</w:t>
            </w:r>
          </w:p>
        </w:tc>
        <w:tc>
          <w:tcPr>
            <w:tcW w:w="16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6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石油类</w:t>
            </w:r>
          </w:p>
        </w:tc>
        <w:tc>
          <w:tcPr>
            <w:tcW w:w="16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1276"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一般工业固体废物</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生活垃圾</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4.9</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4.9</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eastAsia="zh-CN" w:bidi="ar"/>
              </w:rPr>
              <w:t>化粪池污泥</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eastAsia="宋体" w:cs="Times New Roman"/>
                <w:color w:val="auto"/>
                <w:kern w:val="0"/>
                <w:sz w:val="21"/>
                <w:szCs w:val="21"/>
                <w:highlight w:val="none"/>
                <w:lang w:eastAsia="zh-CN" w:bidi="ar"/>
              </w:rPr>
            </w:pPr>
            <w:r>
              <w:rPr>
                <w:rFonts w:hint="eastAsia" w:cs="Times New Roman"/>
                <w:color w:val="auto"/>
                <w:kern w:val="0"/>
                <w:sz w:val="21"/>
                <w:szCs w:val="21"/>
                <w:highlight w:val="none"/>
                <w:lang w:val="en-US" w:eastAsia="zh-CN" w:bidi="ar"/>
              </w:rPr>
              <w:t>生活污水处理污泥</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0.3</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0.3</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eastAsia="宋体" w:cs="Times New Roman"/>
                <w:color w:val="auto"/>
                <w:kern w:val="0"/>
                <w:sz w:val="21"/>
                <w:szCs w:val="21"/>
                <w:highlight w:val="none"/>
                <w:lang w:eastAsia="zh-CN" w:bidi="ar"/>
              </w:rPr>
            </w:pPr>
            <w:r>
              <w:rPr>
                <w:rFonts w:hint="eastAsia" w:cs="Times New Roman"/>
                <w:color w:val="auto"/>
                <w:kern w:val="0"/>
                <w:sz w:val="21"/>
                <w:szCs w:val="21"/>
                <w:highlight w:val="none"/>
                <w:lang w:val="en-US" w:eastAsia="zh-CN" w:bidi="ar"/>
              </w:rPr>
              <w:t>食堂废水隔油池废油</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0.06</w:t>
            </w:r>
          </w:p>
        </w:tc>
        <w:tc>
          <w:tcPr>
            <w:tcW w:w="1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0.06</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10"/>
                <w:sz w:val="21"/>
                <w:szCs w:val="21"/>
                <w:highlight w:val="none"/>
                <w:lang w:eastAsia="zh-CN"/>
              </w:rPr>
              <w:t>储罐油泥</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10"/>
                <w:sz w:val="21"/>
                <w:szCs w:val="21"/>
                <w:highlight w:val="none"/>
                <w:lang w:eastAsia="zh-CN"/>
              </w:rPr>
              <w:t>废水处理站污泥</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1.39</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1.39</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10"/>
                <w:sz w:val="21"/>
                <w:szCs w:val="21"/>
                <w:highlight w:val="none"/>
                <w:lang w:eastAsia="zh-CN"/>
              </w:rPr>
              <w:t>污水处理设施废油</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0.5</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0.5</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降质油</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9.05</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9.05</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废活性炭</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2t/2a</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2t/2a</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废含油抹布及劳保用品</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0.2</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0.2</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val="en-US" w:eastAsia="zh-CN"/>
              </w:rPr>
              <w:t>罐底切水</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39.36</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39.36</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储罐清洗废水</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864t/3a</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864t/3a</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ascii="宋体"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化验室废弃酸、碱、化学药剂、废渣</w:t>
            </w:r>
          </w:p>
        </w:tc>
        <w:tc>
          <w:tcPr>
            <w:tcW w:w="1646"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0.5</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0.5</w:t>
            </w:r>
          </w:p>
        </w:tc>
        <w:tc>
          <w:tcPr>
            <w:tcW w:w="9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bl>
    <w:p>
      <w:pPr>
        <w:pStyle w:val="27"/>
        <w:spacing w:before="192" w:beforeLines="80" w:after="24"/>
        <w:jc w:val="left"/>
        <w:rPr>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4625975</wp:posOffset>
              </wp:positionH>
              <wp:positionV relativeFrom="paragraph">
                <wp:posOffset>-241935</wp:posOffset>
              </wp:positionV>
              <wp:extent cx="998220" cy="1828800"/>
              <wp:effectExtent l="0" t="0" r="0" b="0"/>
              <wp:wrapNone/>
              <wp:docPr id="37" name="文本框 1045"/>
              <wp:cNvGraphicFramePr/>
              <a:graphic xmlns:a="http://schemas.openxmlformats.org/drawingml/2006/main">
                <a:graphicData uri="http://schemas.microsoft.com/office/word/2010/wordprocessingShape">
                  <wps:wsp>
                    <wps:cNvSpPr txBox="1"/>
                    <wps:spPr>
                      <a:xfrm>
                        <a:off x="0" y="0"/>
                        <a:ext cx="998220" cy="1828800"/>
                      </a:xfrm>
                      <a:prstGeom prst="rect">
                        <a:avLst/>
                      </a:prstGeom>
                      <a:noFill/>
                      <a:ln>
                        <a:noFill/>
                      </a:ln>
                    </wps:spPr>
                    <wps:txbx>
                      <w:txbxContent>
                        <w:p>
                          <w:pPr>
                            <w:pStyle w:val="13"/>
                            <w:jc w:val="center"/>
                            <w:rPr>
                              <w:rFonts w:hint="default" w:ascii="Times New Roman" w:hAnsi="Times New Roman" w:cs="Times New Roman"/>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rFonts w:hint="eastAsia"/>
                              <w:sz w:val="24"/>
                              <w:szCs w:val="24"/>
                              <w:lang w:val="en-US" w:eastAsia="zh-CN"/>
                            </w:rPr>
                            <w:t xml:space="preserve"> </w:t>
                          </w:r>
                          <w:r>
                            <w:rPr>
                              <w:rFonts w:hint="eastAsia" w:ascii="宋体" w:hAnsi="宋体" w:eastAsia="宋体" w:cs="宋体"/>
                              <w:sz w:val="24"/>
                              <w:szCs w:val="24"/>
                            </w:rPr>
                            <w:t>—</w:t>
                          </w:r>
                        </w:p>
                      </w:txbxContent>
                    </wps:txbx>
                    <wps:bodyPr vert="horz" wrap="square" lIns="0" tIns="0" rIns="0" bIns="0" anchor="t" anchorCtr="0" upright="0">
                      <a:spAutoFit/>
                    </wps:bodyPr>
                  </wps:wsp>
                </a:graphicData>
              </a:graphic>
            </wp:anchor>
          </w:drawing>
        </mc:Choice>
        <mc:Fallback>
          <w:pict>
            <v:shape id="文本框 1045" o:spid="_x0000_s1026" o:spt="202" type="#_x0000_t202" style="position:absolute;left:0pt;margin-left:364.25pt;margin-top:-19.05pt;height:144pt;width:78.6pt;mso-position-horizontal-relative:margin;z-index:251660288;mso-width-relative:page;mso-height-relative:page;" filled="f" stroked="f" coordsize="21600,21600" o:gfxdata="UEsDBAoAAAAAAIdO4kAAAAAAAAAAAAAAAAAEAAAAZHJzL1BLAwQUAAAACACHTuJAyo2W69kAAAAL&#10;AQAADwAAAGRycy9kb3ducmV2LnhtbE2PMU/DMBCFdyT+g3VILKh1HGjrhDgdECxsFBY2Nz6SCPsc&#10;xW4S+usxEx1P79N731X7xVk24Rh6TwrEOgOG1HjTU6vg4/1lJYGFqMlo6wkV/GCAfX19VenS+Jne&#10;cDrElqUSCqVW0MU4lJyHpkOnw9oPSCn78qPTMZ1jy82o51TuLM+zbMud7iktdHrApw6b78PJKdgu&#10;z8Pda4H5fG7sRJ9nISIKpW5vRPYILOIS/2H400/qUCenoz+RCcwq2OVyk1AFq3spgCVCys0O2FFB&#10;/lAUwOuKX/5Q/wJQSwMEFAAAAAgAh07iQOb5YM3pAQAAwwMAAA4AAABkcnMvZTJvRG9jLnhtbK1T&#10;zY7TMBC+I/EOlu80afnLRk1XQLUICQHS7j6A6ziNJf8xdpqUB4A34MSFO8/V52DsJF1YLnvg4oxn&#10;xjPf981kfTloRQ4CvLSmostFTokw3NbS7Ct6e3P1pKDEB2ZqpqwRFT0KTy83jx+te1eKlW2tqgUQ&#10;LGJ82buKtiG4Mss8b4VmfmGdMBhsLGgW8Ar7rAbWY3WtslWev8h6C7UDy4X36N2OQTpVhIcUtE0j&#10;udha3mlhwlgVhGIBKflWOk83CW3TCB4+No0XgaiKItOQTmyC9i6e2WbNyj0w10o+QWAPgXCPk2bS&#10;YNNzqS0LjHQg/ymlJQfrbRMW3OpsJJIUQRbL/J421y1zInFBqb07i+7/X1n+4fAJiKwr+vQlJYZp&#10;nPjp+7fTj1+nn1/JMn/2PErUO19i5rXD3DC8tgMuzuz36IzMhwZ0/CIngnEU+HgWWAyBcHReXBSr&#10;FUY4hpbFqijyNIHs7rUDH94Kq0k0Kgo4wKQrO7z3AZFg6pwSmxl7JZVKQ1TmLwcmRk8WoY8QoxWG&#10;3TDx2dn6iHTwT8A+rYUvlPS4BxX1nzsGghL1zqDQcWlmA2ZjNxvMcHxa0UDJaL4J43J1DuS+TesW&#10;YXn3qguINVGIQMbuEz6cbWI27WFcnj/vKevu39v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qN&#10;luvZAAAACwEAAA8AAAAAAAAAAQAgAAAAIgAAAGRycy9kb3ducmV2LnhtbFBLAQIUABQAAAAIAIdO&#10;4kDm+WDN6QEAAMMDAAAOAAAAAAAAAAEAIAAAACgBAABkcnMvZTJvRG9jLnhtbFBLBQYAAAAABgAG&#10;AFkBAACDBQAAAAA=&#10;">
              <v:fill on="f" focussize="0,0"/>
              <v:stroke on="f"/>
              <v:imagedata o:title=""/>
              <o:lock v:ext="edit" aspectratio="f"/>
              <v:textbox inset="0mm,0mm,0mm,0mm" style="mso-fit-shape-to-text:t;">
                <w:txbxContent>
                  <w:p>
                    <w:pPr>
                      <w:pStyle w:val="13"/>
                      <w:jc w:val="center"/>
                      <w:rPr>
                        <w:rFonts w:hint="default" w:ascii="Times New Roman" w:hAnsi="Times New Roman" w:cs="Times New Roman"/>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rFonts w:hint="eastAsia"/>
                        <w:sz w:val="24"/>
                        <w:szCs w:val="24"/>
                        <w:lang w:val="en-US" w:eastAsia="zh-CN"/>
                      </w:rPr>
                      <w:t xml:space="preserve"> </w:t>
                    </w:r>
                    <w:r>
                      <w:rPr>
                        <w:rFonts w:hint="eastAsia" w:ascii="宋体" w:hAnsi="宋体" w:eastAsia="宋体" w:cs="宋体"/>
                        <w:sz w:val="24"/>
                        <w:szCs w:val="24"/>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Style w:val="22"/>
                              <w:rFonts w:ascii="宋体" w:hAnsi="宋体"/>
                              <w:sz w:val="28"/>
                              <w:szCs w:val="28"/>
                            </w:rPr>
                          </w:pPr>
                          <w:r>
                            <w:rPr>
                              <w:rStyle w:val="22"/>
                              <w:rFonts w:ascii="宋体" w:hAnsi="宋体"/>
                              <w:sz w:val="28"/>
                              <w:szCs w:val="28"/>
                            </w:rPr>
                            <w:fldChar w:fldCharType="begin"/>
                          </w:r>
                          <w:r>
                            <w:rPr>
                              <w:rStyle w:val="22"/>
                              <w:rFonts w:ascii="宋体" w:hAnsi="宋体"/>
                              <w:sz w:val="28"/>
                              <w:szCs w:val="28"/>
                            </w:rPr>
                            <w:instrText xml:space="preserve"> PAGE  \* MERGEFORMAT </w:instrText>
                          </w:r>
                          <w:r>
                            <w:rPr>
                              <w:rStyle w:val="22"/>
                              <w:rFonts w:ascii="宋体" w:hAnsi="宋体"/>
                              <w:sz w:val="28"/>
                              <w:szCs w:val="28"/>
                            </w:rPr>
                            <w:fldChar w:fldCharType="separate"/>
                          </w:r>
                          <w:r>
                            <w:rPr>
                              <w:rStyle w:val="22"/>
                              <w:rFonts w:ascii="宋体" w:hAnsi="宋体"/>
                              <w:sz w:val="28"/>
                              <w:szCs w:val="28"/>
                            </w:rPr>
                            <w:t>15</w:t>
                          </w:r>
                          <w:r>
                            <w:rPr>
                              <w:rStyle w:val="22"/>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044"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xoYOIBAADCAwAADgAAAGRycy9lMm9Eb2MueG1srVPBjtMwEL0j8Q+W&#10;7zRpWa2qqukKqBYhIUBa+ADXcRpLtscau03KB8AfcOLCne/qd+zYSbqwXPbAJRnPjN/MezNe3/TW&#10;sKPCoMFVfD4rOVNOQq3dvuJfPt++WHIWonC1MOBUxU8q8JvN82frzq/UAlowtUJGIC6sOl/xNka/&#10;KoogW2VFmIFXjoINoBWRjrgvahQdoVtTLMryuugAa48gVQjk3Q5BPiLiUwChabRUW5AHq1wcUFEZ&#10;EYlSaLUPfJO7bRol48emCSoyU3FiGvOXipC9S99isxarPQrfajm2IJ7SwiNOVmhHRS9QWxEFO6D+&#10;B8pqiRCgiTMJthiIZEWIxbx8pM1dK7zKXEjq4C+ih/8HKz8cPyHTdcVfXnPmhKWJn398P//8ff71&#10;jc3Lq6skUefDijLvPOXG/jX0tDiTP5AzMe8btOlPnBjFSeDTRWDVRybTpeViuSwpJCk2HQi/eLju&#10;McS3CixLRsWRJpiFFcf3IQ6pU0qq5uBWG5OnaNxfDsJMniL1PvSYrNjv+pHQDuoT8aGnQHVawK+c&#10;dbQIFXe095yZd450TjszGTgZu8kQTtLFikfOBvNNHHbr4FHv27xtqangXx0idZoJpDaG2mN3NNos&#10;wbiGaXf+POesh6e3u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cHxoYOIBAADCAwAADgAA&#10;AAAAAAABACAAAAAeAQAAZHJzL2Uyb0RvYy54bWxQSwUGAAAAAAYABgBZAQAAcgUAAAAA&#10;">
              <v:fill on="f" focussize="0,0"/>
              <v:stroke on="f"/>
              <v:imagedata o:title=""/>
              <o:lock v:ext="edit" aspectratio="f"/>
              <v:textbox inset="0mm,0mm,0mm,0mm" style="mso-fit-shape-to-text:t;">
                <w:txbxContent>
                  <w:p>
                    <w:pPr>
                      <w:pStyle w:val="13"/>
                      <w:rPr>
                        <w:rStyle w:val="22"/>
                        <w:rFonts w:ascii="宋体" w:hAnsi="宋体"/>
                        <w:sz w:val="28"/>
                        <w:szCs w:val="28"/>
                      </w:rPr>
                    </w:pPr>
                    <w:r>
                      <w:rPr>
                        <w:rStyle w:val="22"/>
                        <w:rFonts w:ascii="宋体" w:hAnsi="宋体"/>
                        <w:sz w:val="28"/>
                        <w:szCs w:val="28"/>
                      </w:rPr>
                      <w:fldChar w:fldCharType="begin"/>
                    </w:r>
                    <w:r>
                      <w:rPr>
                        <w:rStyle w:val="22"/>
                        <w:rFonts w:ascii="宋体" w:hAnsi="宋体"/>
                        <w:sz w:val="28"/>
                        <w:szCs w:val="28"/>
                      </w:rPr>
                      <w:instrText xml:space="preserve"> PAGE  \* MERGEFORMAT </w:instrText>
                    </w:r>
                    <w:r>
                      <w:rPr>
                        <w:rStyle w:val="22"/>
                        <w:rFonts w:ascii="宋体" w:hAnsi="宋体"/>
                        <w:sz w:val="28"/>
                        <w:szCs w:val="28"/>
                      </w:rPr>
                      <w:fldChar w:fldCharType="separate"/>
                    </w:r>
                    <w:r>
                      <w:rPr>
                        <w:rStyle w:val="22"/>
                        <w:rFonts w:ascii="宋体" w:hAnsi="宋体"/>
                        <w:sz w:val="28"/>
                        <w:szCs w:val="28"/>
                      </w:rPr>
                      <w:t>15</w:t>
                    </w:r>
                    <w:r>
                      <w:rPr>
                        <w:rStyle w:val="22"/>
                        <w:rFonts w:ascii="宋体" w:hAnsi="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CDB86"/>
    <w:multiLevelType w:val="multilevel"/>
    <w:tmpl w:val="8AECDB86"/>
    <w:lvl w:ilvl="0" w:tentative="0">
      <w:start w:val="1"/>
      <w:numFmt w:val="decimal"/>
      <w:lvlText w:val="%1"/>
      <w:lvlJc w:val="left"/>
      <w:pPr>
        <w:tabs>
          <w:tab w:val="left" w:pos="567"/>
        </w:tabs>
        <w:ind w:left="0" w:firstLine="0"/>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lvlText w:val="%1.%2.%3"/>
      <w:lvlJc w:val="left"/>
      <w:pPr>
        <w:tabs>
          <w:tab w:val="left" w:pos="851"/>
        </w:tabs>
        <w:ind w:left="720" w:hanging="720"/>
      </w:pPr>
      <w:rPr>
        <w:rFonts w:hint="eastAsia"/>
        <w:color w:val="auto"/>
      </w:rPr>
    </w:lvl>
    <w:lvl w:ilvl="3" w:tentative="0">
      <w:start w:val="1"/>
      <w:numFmt w:val="decimal"/>
      <w:pStyle w:val="3"/>
      <w:lvlText w:val="%1.%2.%3.%4"/>
      <w:lvlJc w:val="left"/>
      <w:pPr>
        <w:tabs>
          <w:tab w:val="left" w:pos="864"/>
        </w:tabs>
        <w:ind w:left="864" w:hanging="864"/>
      </w:pPr>
      <w:rPr>
        <w:rFonts w:hint="eastAsia"/>
        <w:color w:val="auto"/>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8FC3F996"/>
    <w:multiLevelType w:val="singleLevel"/>
    <w:tmpl w:val="8FC3F996"/>
    <w:lvl w:ilvl="0" w:tentative="0">
      <w:start w:val="1"/>
      <w:numFmt w:val="chineseCounting"/>
      <w:suff w:val="nothing"/>
      <w:lvlText w:val="%1、"/>
      <w:lvlJc w:val="left"/>
      <w:rPr>
        <w:rFonts w:hint="eastAsia"/>
      </w:rPr>
    </w:lvl>
  </w:abstractNum>
  <w:abstractNum w:abstractNumId="2">
    <w:nsid w:val="BF246CEC"/>
    <w:multiLevelType w:val="singleLevel"/>
    <w:tmpl w:val="BF246CEC"/>
    <w:lvl w:ilvl="0" w:tentative="0">
      <w:start w:val="1"/>
      <w:numFmt w:val="decimal"/>
      <w:suff w:val="nothing"/>
      <w:lvlText w:val="%1、"/>
      <w:lvlJc w:val="left"/>
    </w:lvl>
  </w:abstractNum>
  <w:abstractNum w:abstractNumId="3">
    <w:nsid w:val="CBE39857"/>
    <w:multiLevelType w:val="singleLevel"/>
    <w:tmpl w:val="CBE39857"/>
    <w:lvl w:ilvl="0" w:tentative="0">
      <w:start w:val="1"/>
      <w:numFmt w:val="decimalEnclosedCircleChinese"/>
      <w:suff w:val="nothing"/>
      <w:lvlText w:val="%1　"/>
      <w:lvlJc w:val="left"/>
      <w:pPr>
        <w:ind w:left="0" w:firstLine="400"/>
      </w:pPr>
      <w:rPr>
        <w:rFonts w:hint="eastAsia"/>
      </w:rPr>
    </w:lvl>
  </w:abstractNum>
  <w:abstractNum w:abstractNumId="4">
    <w:nsid w:val="E448D0C0"/>
    <w:multiLevelType w:val="singleLevel"/>
    <w:tmpl w:val="E448D0C0"/>
    <w:lvl w:ilvl="0" w:tentative="0">
      <w:start w:val="3"/>
      <w:numFmt w:val="decimal"/>
      <w:suff w:val="nothing"/>
      <w:lvlText w:val="%1、"/>
      <w:lvlJc w:val="left"/>
      <w:pPr>
        <w:ind w:left="148"/>
      </w:pPr>
    </w:lvl>
  </w:abstractNum>
  <w:abstractNum w:abstractNumId="5">
    <w:nsid w:val="F83FAF43"/>
    <w:multiLevelType w:val="singleLevel"/>
    <w:tmpl w:val="F83FAF43"/>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6">
    <w:nsid w:val="171647E8"/>
    <w:multiLevelType w:val="singleLevel"/>
    <w:tmpl w:val="171647E8"/>
    <w:lvl w:ilvl="0" w:tentative="0">
      <w:start w:val="1"/>
      <w:numFmt w:val="decimal"/>
      <w:suff w:val="nothing"/>
      <w:lvlText w:val="%1、"/>
      <w:lvlJc w:val="left"/>
    </w:lvl>
  </w:abstractNum>
  <w:abstractNum w:abstractNumId="7">
    <w:nsid w:val="17227BA1"/>
    <w:multiLevelType w:val="singleLevel"/>
    <w:tmpl w:val="17227BA1"/>
    <w:lvl w:ilvl="0" w:tentative="0">
      <w:start w:val="2"/>
      <w:numFmt w:val="decimal"/>
      <w:suff w:val="nothing"/>
      <w:lvlText w:val="%1、"/>
      <w:lvlJc w:val="left"/>
    </w:lvl>
  </w:abstractNum>
  <w:abstractNum w:abstractNumId="8">
    <w:nsid w:val="17E92A57"/>
    <w:multiLevelType w:val="multilevel"/>
    <w:tmpl w:val="17E92A57"/>
    <w:lvl w:ilvl="0" w:tentative="0">
      <w:start w:val="4"/>
      <w:numFmt w:val="decimal"/>
      <w:lvlText w:val="%1."/>
      <w:lvlJc w:val="left"/>
      <w:pPr>
        <w:ind w:left="425" w:hanging="425"/>
      </w:pPr>
      <w:rPr>
        <w:rFonts w:hint="default"/>
      </w:rPr>
    </w:lvl>
    <w:lvl w:ilvl="1" w:tentative="0">
      <w:start w:val="1"/>
      <w:numFmt w:val="decimal"/>
      <w:pStyle w:val="5"/>
      <w:lvlText w:val="%1.%2."/>
      <w:lvlJc w:val="left"/>
      <w:pPr>
        <w:ind w:left="567" w:hanging="567"/>
      </w:pPr>
      <w:rPr>
        <w:rFonts w:hint="default" w:ascii="Times New Roman" w:hAnsi="Times New Roman" w:eastAsia="宋体" w:cs="宋体"/>
      </w:rPr>
    </w:lvl>
    <w:lvl w:ilvl="2" w:tentative="0">
      <w:start w:val="1"/>
      <w:numFmt w:val="decimal"/>
      <w:pStyle w:val="6"/>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C799D66"/>
    <w:multiLevelType w:val="singleLevel"/>
    <w:tmpl w:val="1C799D66"/>
    <w:lvl w:ilvl="0" w:tentative="0">
      <w:start w:val="1"/>
      <w:numFmt w:val="decimal"/>
      <w:suff w:val="nothing"/>
      <w:lvlText w:val="%1、"/>
      <w:lvlJc w:val="left"/>
      <w:pPr>
        <w:ind w:left="-60"/>
      </w:pPr>
    </w:lvl>
  </w:abstractNum>
  <w:abstractNum w:abstractNumId="10">
    <w:nsid w:val="21E0F9E7"/>
    <w:multiLevelType w:val="singleLevel"/>
    <w:tmpl w:val="21E0F9E7"/>
    <w:lvl w:ilvl="0" w:tentative="0">
      <w:start w:val="1"/>
      <w:numFmt w:val="decimal"/>
      <w:suff w:val="nothing"/>
      <w:lvlText w:val="（%1）"/>
      <w:lvlJc w:val="left"/>
    </w:lvl>
  </w:abstractNum>
  <w:abstractNum w:abstractNumId="11">
    <w:nsid w:val="2D8F1243"/>
    <w:multiLevelType w:val="multilevel"/>
    <w:tmpl w:val="2D8F1243"/>
    <w:lvl w:ilvl="0" w:tentative="0">
      <w:start w:val="1"/>
      <w:numFmt w:val="decimal"/>
      <w:pStyle w:val="71"/>
      <w:lvlText w:val="表%1"/>
      <w:lvlJc w:val="left"/>
      <w:pPr>
        <w:ind w:left="420"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1901C0E"/>
    <w:multiLevelType w:val="multilevel"/>
    <w:tmpl w:val="31901C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90B4743"/>
    <w:multiLevelType w:val="singleLevel"/>
    <w:tmpl w:val="390B4743"/>
    <w:lvl w:ilvl="0" w:tentative="0">
      <w:start w:val="1"/>
      <w:numFmt w:val="decimal"/>
      <w:suff w:val="nothing"/>
      <w:lvlText w:val="（%1）"/>
      <w:lvlJc w:val="left"/>
    </w:lvl>
  </w:abstractNum>
  <w:abstractNum w:abstractNumId="14">
    <w:nsid w:val="3B852F64"/>
    <w:multiLevelType w:val="singleLevel"/>
    <w:tmpl w:val="3B852F64"/>
    <w:lvl w:ilvl="0" w:tentative="0">
      <w:start w:val="1"/>
      <w:numFmt w:val="decimal"/>
      <w:suff w:val="nothing"/>
      <w:lvlText w:val="（%1）"/>
      <w:lvlJc w:val="left"/>
    </w:lvl>
  </w:abstractNum>
  <w:abstractNum w:abstractNumId="15">
    <w:nsid w:val="45DF3642"/>
    <w:multiLevelType w:val="multilevel"/>
    <w:tmpl w:val="45DF3642"/>
    <w:lvl w:ilvl="0" w:tentative="0">
      <w:start w:val="1"/>
      <w:numFmt w:val="decimalEnclosedCircle"/>
      <w:lvlText w:val="%1"/>
      <w:lvlJc w:val="left"/>
      <w:pPr>
        <w:ind w:left="786"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53571354"/>
    <w:multiLevelType w:val="singleLevel"/>
    <w:tmpl w:val="53571354"/>
    <w:lvl w:ilvl="0" w:tentative="0">
      <w:start w:val="1"/>
      <w:numFmt w:val="decimalEnclosedCircleChinese"/>
      <w:suff w:val="nothing"/>
      <w:lvlText w:val="%1　"/>
      <w:lvlJc w:val="left"/>
      <w:pPr>
        <w:ind w:left="0" w:firstLine="400"/>
      </w:pPr>
      <w:rPr>
        <w:rFonts w:hint="eastAsia"/>
      </w:rPr>
    </w:lvl>
  </w:abstractNum>
  <w:abstractNum w:abstractNumId="17">
    <w:nsid w:val="6AAA3720"/>
    <w:multiLevelType w:val="multilevel"/>
    <w:tmpl w:val="6AAA3720"/>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F4E4D2E"/>
    <w:multiLevelType w:val="multilevel"/>
    <w:tmpl w:val="6F4E4D2E"/>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FCC07D6"/>
    <w:multiLevelType w:val="singleLevel"/>
    <w:tmpl w:val="6FCC07D6"/>
    <w:lvl w:ilvl="0" w:tentative="0">
      <w:start w:val="5"/>
      <w:numFmt w:val="decimal"/>
      <w:suff w:val="nothing"/>
      <w:lvlText w:val="（%1）"/>
      <w:lvlJc w:val="left"/>
    </w:lvl>
  </w:abstractNum>
  <w:abstractNum w:abstractNumId="20">
    <w:nsid w:val="7B42937F"/>
    <w:multiLevelType w:val="singleLevel"/>
    <w:tmpl w:val="7B42937F"/>
    <w:lvl w:ilvl="0" w:tentative="0">
      <w:start w:val="1"/>
      <w:numFmt w:val="decimal"/>
      <w:suff w:val="nothing"/>
      <w:lvlText w:val="（%1）"/>
      <w:lvlJc w:val="left"/>
    </w:lvl>
  </w:abstractNum>
  <w:abstractNum w:abstractNumId="21">
    <w:nsid w:val="7E9CE769"/>
    <w:multiLevelType w:val="singleLevel"/>
    <w:tmpl w:val="7E9CE769"/>
    <w:lvl w:ilvl="0" w:tentative="0">
      <w:start w:val="1"/>
      <w:numFmt w:val="decimalEnclosedCircleChinese"/>
      <w:suff w:val="nothing"/>
      <w:lvlText w:val="%1　"/>
      <w:lvlJc w:val="left"/>
      <w:pPr>
        <w:ind w:left="0" w:firstLine="400"/>
      </w:pPr>
      <w:rPr>
        <w:rFonts w:hint="eastAsia"/>
      </w:rPr>
    </w:lvl>
  </w:abstractNum>
  <w:num w:numId="1">
    <w:abstractNumId w:val="8"/>
  </w:num>
  <w:num w:numId="2">
    <w:abstractNumId w:val="0"/>
  </w:num>
  <w:num w:numId="3">
    <w:abstractNumId w:val="5"/>
  </w:num>
  <w:num w:numId="4">
    <w:abstractNumId w:val="11"/>
  </w:num>
  <w:num w:numId="5">
    <w:abstractNumId w:val="13"/>
  </w:num>
  <w:num w:numId="6">
    <w:abstractNumId w:val="14"/>
  </w:num>
  <w:num w:numId="7">
    <w:abstractNumId w:val="10"/>
  </w:num>
  <w:num w:numId="8">
    <w:abstractNumId w:val="19"/>
  </w:num>
  <w:num w:numId="9">
    <w:abstractNumId w:val="20"/>
  </w:num>
  <w:num w:numId="10">
    <w:abstractNumId w:val="4"/>
  </w:num>
  <w:num w:numId="11">
    <w:abstractNumId w:val="15"/>
  </w:num>
  <w:num w:numId="12">
    <w:abstractNumId w:val="18"/>
  </w:num>
  <w:num w:numId="13">
    <w:abstractNumId w:val="1"/>
  </w:num>
  <w:num w:numId="14">
    <w:abstractNumId w:val="2"/>
  </w:num>
  <w:num w:numId="15">
    <w:abstractNumId w:val="6"/>
  </w:num>
  <w:num w:numId="16">
    <w:abstractNumId w:val="9"/>
  </w:num>
  <w:num w:numId="17">
    <w:abstractNumId w:val="17"/>
  </w:num>
  <w:num w:numId="18">
    <w:abstractNumId w:val="3"/>
  </w:num>
  <w:num w:numId="19">
    <w:abstractNumId w:val="7"/>
  </w:num>
  <w:num w:numId="20">
    <w:abstractNumId w:val="12"/>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000000"/>
    <w:rsid w:val="032B1F0D"/>
    <w:rsid w:val="03DF6E95"/>
    <w:rsid w:val="040C49B9"/>
    <w:rsid w:val="04404206"/>
    <w:rsid w:val="05F11221"/>
    <w:rsid w:val="074E1914"/>
    <w:rsid w:val="08615C27"/>
    <w:rsid w:val="08A73C5D"/>
    <w:rsid w:val="08DC5317"/>
    <w:rsid w:val="09C90F8F"/>
    <w:rsid w:val="0C0F0F28"/>
    <w:rsid w:val="0CCA0B79"/>
    <w:rsid w:val="0CED335F"/>
    <w:rsid w:val="0D4B42FC"/>
    <w:rsid w:val="0DF802AE"/>
    <w:rsid w:val="0E6D3F58"/>
    <w:rsid w:val="0E7C0FBE"/>
    <w:rsid w:val="0FF52E84"/>
    <w:rsid w:val="10EF5768"/>
    <w:rsid w:val="1295044F"/>
    <w:rsid w:val="14227BAF"/>
    <w:rsid w:val="14B45B73"/>
    <w:rsid w:val="15E24339"/>
    <w:rsid w:val="168042EC"/>
    <w:rsid w:val="16FE55D7"/>
    <w:rsid w:val="17BF616F"/>
    <w:rsid w:val="1899708A"/>
    <w:rsid w:val="19A6716C"/>
    <w:rsid w:val="19A74A8D"/>
    <w:rsid w:val="19AF7F38"/>
    <w:rsid w:val="1A7709B6"/>
    <w:rsid w:val="1B232282"/>
    <w:rsid w:val="1B403B17"/>
    <w:rsid w:val="1D413B74"/>
    <w:rsid w:val="1FBE4C66"/>
    <w:rsid w:val="20222348"/>
    <w:rsid w:val="23323B89"/>
    <w:rsid w:val="23656C92"/>
    <w:rsid w:val="23A040F3"/>
    <w:rsid w:val="243674C1"/>
    <w:rsid w:val="244152F3"/>
    <w:rsid w:val="251F616E"/>
    <w:rsid w:val="270F5DA7"/>
    <w:rsid w:val="28AC0FB6"/>
    <w:rsid w:val="290F5647"/>
    <w:rsid w:val="297840D8"/>
    <w:rsid w:val="29D93116"/>
    <w:rsid w:val="2B423DAA"/>
    <w:rsid w:val="2C7C7A3B"/>
    <w:rsid w:val="2C90289F"/>
    <w:rsid w:val="2D5C4835"/>
    <w:rsid w:val="2DB56A35"/>
    <w:rsid w:val="2E99374E"/>
    <w:rsid w:val="2F1B5E35"/>
    <w:rsid w:val="2FB53DDF"/>
    <w:rsid w:val="31297DAF"/>
    <w:rsid w:val="313E1A9A"/>
    <w:rsid w:val="32363C1A"/>
    <w:rsid w:val="32D020C7"/>
    <w:rsid w:val="35C3790D"/>
    <w:rsid w:val="36C73E82"/>
    <w:rsid w:val="36E421FB"/>
    <w:rsid w:val="383D4051"/>
    <w:rsid w:val="3AFA676A"/>
    <w:rsid w:val="3B221DC3"/>
    <w:rsid w:val="3B6840D7"/>
    <w:rsid w:val="3C787E71"/>
    <w:rsid w:val="3EAE307B"/>
    <w:rsid w:val="3F836C3B"/>
    <w:rsid w:val="40087848"/>
    <w:rsid w:val="408410D6"/>
    <w:rsid w:val="42B33DA2"/>
    <w:rsid w:val="42E57973"/>
    <w:rsid w:val="43451A27"/>
    <w:rsid w:val="43A56D56"/>
    <w:rsid w:val="44AF70CD"/>
    <w:rsid w:val="455731D0"/>
    <w:rsid w:val="45D628E7"/>
    <w:rsid w:val="461242D8"/>
    <w:rsid w:val="474B17B4"/>
    <w:rsid w:val="474B629D"/>
    <w:rsid w:val="47646C4F"/>
    <w:rsid w:val="47C47222"/>
    <w:rsid w:val="48024F3C"/>
    <w:rsid w:val="4960086A"/>
    <w:rsid w:val="4BCC1BEF"/>
    <w:rsid w:val="4C010345"/>
    <w:rsid w:val="4E025C15"/>
    <w:rsid w:val="4EB5769C"/>
    <w:rsid w:val="4EDA6D04"/>
    <w:rsid w:val="4F4E4E0F"/>
    <w:rsid w:val="4FF77CD9"/>
    <w:rsid w:val="505A2BF0"/>
    <w:rsid w:val="515B2D3F"/>
    <w:rsid w:val="516F20A9"/>
    <w:rsid w:val="5329624E"/>
    <w:rsid w:val="54321909"/>
    <w:rsid w:val="544E765F"/>
    <w:rsid w:val="559B3156"/>
    <w:rsid w:val="55F32DFF"/>
    <w:rsid w:val="57B4762A"/>
    <w:rsid w:val="59AE0B53"/>
    <w:rsid w:val="59B455AD"/>
    <w:rsid w:val="5ACB0DC1"/>
    <w:rsid w:val="5B175738"/>
    <w:rsid w:val="5B45291F"/>
    <w:rsid w:val="5B5E5CDE"/>
    <w:rsid w:val="5B954D45"/>
    <w:rsid w:val="5C780DDB"/>
    <w:rsid w:val="5C87570C"/>
    <w:rsid w:val="5D3553D6"/>
    <w:rsid w:val="5E501EC1"/>
    <w:rsid w:val="5F06491D"/>
    <w:rsid w:val="5F965B0D"/>
    <w:rsid w:val="61246006"/>
    <w:rsid w:val="61F9401F"/>
    <w:rsid w:val="6224003D"/>
    <w:rsid w:val="62E30646"/>
    <w:rsid w:val="630E6F7F"/>
    <w:rsid w:val="639B1A12"/>
    <w:rsid w:val="65230991"/>
    <w:rsid w:val="65D704B0"/>
    <w:rsid w:val="65DE26DD"/>
    <w:rsid w:val="665909F5"/>
    <w:rsid w:val="669B34C3"/>
    <w:rsid w:val="67012445"/>
    <w:rsid w:val="682A5C75"/>
    <w:rsid w:val="6A4E5826"/>
    <w:rsid w:val="6B1E50B5"/>
    <w:rsid w:val="6C334DAB"/>
    <w:rsid w:val="6CF50B68"/>
    <w:rsid w:val="6DAF1C66"/>
    <w:rsid w:val="6EB46839"/>
    <w:rsid w:val="70BD06CE"/>
    <w:rsid w:val="70DB5D69"/>
    <w:rsid w:val="71F231C1"/>
    <w:rsid w:val="72480C77"/>
    <w:rsid w:val="738A16FE"/>
    <w:rsid w:val="75BC6573"/>
    <w:rsid w:val="75D87554"/>
    <w:rsid w:val="7691637E"/>
    <w:rsid w:val="769E64B2"/>
    <w:rsid w:val="76E95454"/>
    <w:rsid w:val="77D33559"/>
    <w:rsid w:val="780D70C0"/>
    <w:rsid w:val="78EB19F7"/>
    <w:rsid w:val="7945125A"/>
    <w:rsid w:val="79B9661A"/>
    <w:rsid w:val="7B3F62EE"/>
    <w:rsid w:val="7C1E49A0"/>
    <w:rsid w:val="7C2B5467"/>
    <w:rsid w:val="7D1C749E"/>
    <w:rsid w:val="7D850D96"/>
    <w:rsid w:val="7E17345D"/>
    <w:rsid w:val="7E48206A"/>
    <w:rsid w:val="7E8A5617"/>
    <w:rsid w:val="7F414E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rFonts w:ascii="Arial" w:hAnsi="Arial"/>
      <w:b/>
      <w:bCs/>
      <w:kern w:val="44"/>
      <w:sz w:val="44"/>
      <w:szCs w:val="44"/>
    </w:rPr>
  </w:style>
  <w:style w:type="paragraph" w:styleId="5">
    <w:name w:val="heading 2"/>
    <w:basedOn w:val="1"/>
    <w:next w:val="1"/>
    <w:unhideWhenUsed/>
    <w:qFormat/>
    <w:uiPriority w:val="0"/>
    <w:pPr>
      <w:keepNext/>
      <w:keepLines/>
      <w:numPr>
        <w:ilvl w:val="1"/>
        <w:numId w:val="1"/>
      </w:numPr>
      <w:spacing w:before="120" w:after="120"/>
      <w:ind w:firstLine="0" w:firstLineChars="0"/>
      <w:outlineLvl w:val="1"/>
    </w:pPr>
    <w:rPr>
      <w:b/>
      <w:sz w:val="28"/>
    </w:rPr>
  </w:style>
  <w:style w:type="paragraph" w:styleId="6">
    <w:name w:val="heading 3"/>
    <w:basedOn w:val="1"/>
    <w:next w:val="1"/>
    <w:unhideWhenUsed/>
    <w:qFormat/>
    <w:uiPriority w:val="0"/>
    <w:pPr>
      <w:keepNext/>
      <w:keepLines/>
      <w:numPr>
        <w:ilvl w:val="2"/>
        <w:numId w:val="1"/>
      </w:numPr>
      <w:tabs>
        <w:tab w:val="left" w:pos="420"/>
      </w:tabs>
      <w:spacing w:before="60" w:after="60"/>
      <w:ind w:firstLine="0" w:firstLineChars="0"/>
      <w:outlineLvl w:val="2"/>
    </w:pPr>
    <w:rPr>
      <w:b/>
    </w:rPr>
  </w:style>
  <w:style w:type="paragraph" w:styleId="3">
    <w:name w:val="heading 4"/>
    <w:basedOn w:val="1"/>
    <w:next w:val="1"/>
    <w:qFormat/>
    <w:uiPriority w:val="0"/>
    <w:pPr>
      <w:keepNext/>
      <w:keepLines/>
      <w:numPr>
        <w:ilvl w:val="3"/>
        <w:numId w:val="2"/>
      </w:numPr>
      <w:spacing w:line="360" w:lineRule="auto"/>
      <w:ind w:firstLineChars="0"/>
      <w:outlineLvl w:val="3"/>
    </w:pPr>
    <w:rPr>
      <w:rFonts w:ascii="宋体" w:hAnsi="宋体" w:eastAsia="宋体"/>
      <w:bCs/>
      <w:sz w:val="24"/>
      <w:szCs w:val="1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afterAutospacing="0"/>
    </w:pPr>
  </w:style>
  <w:style w:type="paragraph" w:styleId="9">
    <w:name w:val="List Bullet 5"/>
    <w:basedOn w:val="1"/>
    <w:qFormat/>
    <w:uiPriority w:val="0"/>
    <w:pPr>
      <w:numPr>
        <w:ilvl w:val="0"/>
        <w:numId w:val="3"/>
      </w:numPr>
    </w:pPr>
  </w:style>
  <w:style w:type="paragraph" w:styleId="10">
    <w:name w:val="Plain Text"/>
    <w:basedOn w:val="1"/>
    <w:next w:val="11"/>
    <w:qFormat/>
    <w:uiPriority w:val="0"/>
    <w:rPr>
      <w:rFonts w:hAnsi="Courier New"/>
      <w:spacing w:val="5"/>
    </w:rPr>
  </w:style>
  <w:style w:type="paragraph" w:styleId="11">
    <w:name w:val="toc 1"/>
    <w:basedOn w:val="1"/>
    <w:next w:val="1"/>
    <w:qFormat/>
    <w:uiPriority w:val="39"/>
    <w:pPr>
      <w:spacing w:before="120" w:after="120"/>
      <w:jc w:val="left"/>
    </w:pPr>
    <w:rPr>
      <w:b/>
      <w:bCs/>
      <w:caps/>
      <w:sz w:val="20"/>
      <w:szCs w:val="20"/>
    </w:rPr>
  </w:style>
  <w:style w:type="paragraph" w:styleId="12">
    <w:name w:val="Body Text Indent 2"/>
    <w:basedOn w:val="1"/>
    <w:next w:val="1"/>
    <w:qFormat/>
    <w:uiPriority w:val="0"/>
    <w:pPr>
      <w:ind w:firstLine="480"/>
    </w:p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Indent 3"/>
    <w:basedOn w:val="1"/>
    <w:unhideWhenUsed/>
    <w:qFormat/>
    <w:uiPriority w:val="0"/>
    <w:pPr>
      <w:tabs>
        <w:tab w:val="left" w:pos="0"/>
      </w:tabs>
      <w:spacing w:line="540" w:lineRule="exact"/>
      <w:ind w:firstLine="538" w:firstLineChars="192"/>
    </w:pPr>
    <w:rPr>
      <w:sz w:val="28"/>
    </w:rPr>
  </w:style>
  <w:style w:type="paragraph" w:styleId="16">
    <w:name w:val="Body Text 2"/>
    <w:basedOn w:val="1"/>
    <w:qFormat/>
    <w:uiPriority w:val="0"/>
    <w:rPr>
      <w:rFonts w:ascii="宋体"/>
      <w:kern w:val="0"/>
      <w:sz w:val="24"/>
      <w:szCs w:val="20"/>
    </w:r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Body Text First Indent"/>
    <w:basedOn w:val="8"/>
    <w:qFormat/>
    <w:uiPriority w:val="0"/>
    <w:pPr>
      <w:spacing w:after="120"/>
      <w:ind w:firstLine="420" w:firstLineChars="100"/>
    </w:pPr>
    <w:rPr>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样式 样式 样式 四号 左侧:  1.53 厘米 + 首行缩进:  2 字符 + 居中 左侧:  2 字符 首行缩进:  2..."/>
    <w:basedOn w:val="24"/>
    <w:qFormat/>
    <w:uiPriority w:val="0"/>
    <w:pPr>
      <w:jc w:val="center"/>
    </w:pPr>
  </w:style>
  <w:style w:type="paragraph" w:customStyle="1" w:styleId="24">
    <w:name w:val="样式 样式 四号 左侧:  1.53 厘米 + 首行缩进:  2 字符"/>
    <w:basedOn w:val="25"/>
    <w:qFormat/>
    <w:uiPriority w:val="0"/>
    <w:pPr>
      <w:ind w:left="200" w:leftChars="200"/>
    </w:pPr>
    <w:rPr>
      <w:szCs w:val="20"/>
    </w:rPr>
  </w:style>
  <w:style w:type="paragraph" w:customStyle="1" w:styleId="25">
    <w:name w:val="样式 四号 左侧:  1.53 厘米"/>
    <w:basedOn w:val="1"/>
    <w:qFormat/>
    <w:uiPriority w:val="0"/>
    <w:pPr>
      <w:adjustRightInd w:val="0"/>
    </w:pPr>
    <w:rPr>
      <w:w w:val="90"/>
      <w:sz w:val="28"/>
      <w:szCs w:val="28"/>
    </w:rPr>
  </w:style>
  <w:style w:type="paragraph" w:customStyle="1" w:styleId="26">
    <w:name w:val="（.a正文"/>
    <w:qFormat/>
    <w:uiPriority w:val="0"/>
    <w:pPr>
      <w:adjustRightInd w:val="0"/>
      <w:spacing w:line="480" w:lineRule="exact"/>
      <w:ind w:firstLine="200" w:firstLineChars="200"/>
      <w:jc w:val="both"/>
    </w:pPr>
    <w:rPr>
      <w:rFonts w:ascii="Calibri" w:hAnsi="Calibri" w:eastAsia="宋体" w:cs="Times New Roman"/>
      <w:bCs/>
      <w:kern w:val="2"/>
      <w:sz w:val="24"/>
      <w:szCs w:val="24"/>
      <w:lang w:val="en-US" w:eastAsia="zh-CN" w:bidi="ar-SA"/>
    </w:rPr>
  </w:style>
  <w:style w:type="paragraph" w:customStyle="1" w:styleId="27">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8">
    <w:name w:val="0正文"/>
    <w:basedOn w:val="1"/>
    <w:qFormat/>
    <w:uiPriority w:val="0"/>
    <w:pPr>
      <w:ind w:firstLine="200"/>
    </w:pPr>
    <w:rPr>
      <w:kern w:val="0"/>
    </w:rPr>
  </w:style>
  <w:style w:type="paragraph" w:customStyle="1" w:styleId="29">
    <w:name w:val="表"/>
    <w:basedOn w:val="30"/>
    <w:qFormat/>
    <w:uiPriority w:val="0"/>
    <w:pPr>
      <w:ind w:firstLine="200"/>
    </w:pPr>
  </w:style>
  <w:style w:type="paragraph" w:customStyle="1" w:styleId="30">
    <w:name w:val=" Char Char Char Char"/>
    <w:basedOn w:val="1"/>
    <w:qFormat/>
    <w:uiPriority w:val="0"/>
  </w:style>
  <w:style w:type="paragraph" w:customStyle="1" w:styleId="31">
    <w:name w:val="Char Char Char Char"/>
    <w:basedOn w:val="1"/>
    <w:qFormat/>
    <w:uiPriority w:val="0"/>
  </w:style>
  <w:style w:type="character" w:customStyle="1" w:styleId="32">
    <w:name w:val="font11"/>
    <w:basedOn w:val="21"/>
    <w:qFormat/>
    <w:uiPriority w:val="0"/>
    <w:rPr>
      <w:rFonts w:hint="eastAsia" w:ascii="宋体" w:hAnsi="宋体" w:eastAsia="宋体" w:cs="宋体"/>
      <w:color w:val="000000"/>
      <w:sz w:val="20"/>
      <w:szCs w:val="20"/>
      <w:u w:val="none"/>
    </w:rPr>
  </w:style>
  <w:style w:type="paragraph" w:customStyle="1" w:styleId="33">
    <w:name w:val="样式3"/>
    <w:basedOn w:val="34"/>
    <w:next w:val="1"/>
    <w:qFormat/>
    <w:uiPriority w:val="0"/>
    <w:pPr>
      <w:adjustRightInd w:val="0"/>
      <w:spacing w:before="120" w:line="480" w:lineRule="exact"/>
      <w:jc w:val="center"/>
      <w:textAlignment w:val="baseline"/>
    </w:pPr>
    <w:rPr>
      <w:rFonts w:eastAsia="黑体"/>
      <w:sz w:val="28"/>
    </w:rPr>
  </w:style>
  <w:style w:type="paragraph" w:customStyle="1" w:styleId="34">
    <w:name w:val="标题 2 + 左侧:  0.75 厘米 首行缩进:  0 厘米"/>
    <w:basedOn w:val="5"/>
    <w:next w:val="5"/>
    <w:qFormat/>
    <w:uiPriority w:val="0"/>
    <w:pPr>
      <w:spacing w:before="100" w:beforeAutospacing="1" w:after="100" w:afterAutospacing="1" w:line="240" w:lineRule="auto"/>
      <w:ind w:left="425"/>
      <w:jc w:val="left"/>
    </w:pPr>
    <w:rPr>
      <w:rFonts w:ascii="Arial" w:hAnsi="Arial" w:cs="宋体"/>
      <w:sz w:val="30"/>
      <w:szCs w:val="20"/>
    </w:rPr>
  </w:style>
  <w:style w:type="paragraph" w:customStyle="1" w:styleId="35">
    <w:name w:val="深泽正文"/>
    <w:basedOn w:val="10"/>
    <w:qFormat/>
    <w:uiPriority w:val="0"/>
    <w:pPr>
      <w:ind w:firstLine="488"/>
    </w:pPr>
    <w:rPr>
      <w:rFonts w:hAnsi="Times New Roman"/>
      <w:spacing w:val="4"/>
      <w:kern w:val="0"/>
      <w:sz w:val="21"/>
      <w:lang w:val="zh-CN"/>
    </w:rPr>
  </w:style>
  <w:style w:type="paragraph" w:customStyle="1" w:styleId="36">
    <w:name w:val="表中文字"/>
    <w:basedOn w:val="1"/>
    <w:qFormat/>
    <w:uiPriority w:val="0"/>
    <w:pPr>
      <w:widowControl/>
      <w:jc w:val="center"/>
    </w:pPr>
    <w:rPr>
      <w:rFonts w:cs="宋体"/>
      <w:kern w:val="0"/>
      <w:sz w:val="21"/>
    </w:rPr>
  </w:style>
  <w:style w:type="paragraph" w:customStyle="1" w:styleId="37">
    <w:name w:val="样式 四号 首行缩进:  2 字符"/>
    <w:basedOn w:val="1"/>
    <w:qFormat/>
    <w:uiPriority w:val="0"/>
    <w:pPr>
      <w:spacing w:line="480" w:lineRule="atLeast"/>
      <w:ind w:firstLine="200"/>
    </w:pPr>
  </w:style>
  <w:style w:type="paragraph" w:customStyle="1" w:styleId="38">
    <w:name w:val="2"/>
    <w:basedOn w:val="1"/>
    <w:next w:val="15"/>
    <w:qFormat/>
    <w:uiPriority w:val="0"/>
    <w:pPr>
      <w:ind w:firstLine="527"/>
    </w:pPr>
    <w:rPr>
      <w:rFonts w:ascii="宋体"/>
      <w:spacing w:val="5"/>
      <w:sz w:val="25"/>
      <w:szCs w:val="25"/>
    </w:rPr>
  </w:style>
  <w:style w:type="paragraph" w:customStyle="1" w:styleId="39">
    <w:name w:val="a表内第一行zzzzzzzzzz"/>
    <w:basedOn w:val="1"/>
    <w:qFormat/>
    <w:uiPriority w:val="0"/>
    <w:pPr>
      <w:spacing w:line="300" w:lineRule="exact"/>
      <w:jc w:val="center"/>
    </w:pPr>
    <w:rPr>
      <w:rFonts w:ascii="宋体" w:hAnsi="宋体" w:cs="宋体"/>
      <w:b/>
    </w:rPr>
  </w:style>
  <w:style w:type="paragraph" w:customStyle="1" w:styleId="40">
    <w:name w:val="NormalIndent"/>
    <w:basedOn w:val="1"/>
    <w:next w:val="41"/>
    <w:qFormat/>
    <w:uiPriority w:val="0"/>
    <w:pPr>
      <w:spacing w:line="240" w:lineRule="auto"/>
      <w:ind w:firstLine="200" w:firstLineChars="200"/>
      <w:jc w:val="both"/>
    </w:pPr>
    <w:rPr>
      <w:rFonts w:ascii="Calibri" w:hAnsi="Calibri" w:eastAsia="宋体"/>
      <w:kern w:val="2"/>
      <w:sz w:val="28"/>
      <w:szCs w:val="20"/>
      <w:lang w:val="en-US" w:eastAsia="zh-CN" w:bidi="ar-SA"/>
    </w:rPr>
  </w:style>
  <w:style w:type="paragraph" w:customStyle="1" w:styleId="41">
    <w:name w:val="UserStyle_0"/>
    <w:basedOn w:val="42"/>
    <w:semiHidden/>
    <w:qFormat/>
    <w:uiPriority w:val="0"/>
    <w:pPr>
      <w:spacing w:after="0" w:line="480" w:lineRule="exact"/>
      <w:ind w:firstLine="480" w:firstLineChars="200"/>
      <w:jc w:val="both"/>
      <w:textAlignment w:val="baseline"/>
    </w:pPr>
    <w:rPr>
      <w:rFonts w:ascii="Times New Roman" w:hAnsi="Times New Roman" w:eastAsia="宋体"/>
      <w:kern w:val="2"/>
      <w:sz w:val="24"/>
      <w:szCs w:val="20"/>
      <w:lang w:val="en-US" w:eastAsia="zh-CN"/>
    </w:rPr>
  </w:style>
  <w:style w:type="paragraph" w:customStyle="1" w:styleId="42">
    <w:name w:val="BodyText"/>
    <w:basedOn w:val="1"/>
    <w:qFormat/>
    <w:uiPriority w:val="0"/>
    <w:pPr>
      <w:spacing w:after="120"/>
      <w:jc w:val="both"/>
      <w:textAlignment w:val="baseline"/>
    </w:pPr>
    <w:rPr>
      <w:rFonts w:ascii="Times New Roman" w:hAnsi="Times New Roman" w:eastAsia="宋体"/>
      <w:kern w:val="2"/>
      <w:sz w:val="21"/>
      <w:szCs w:val="20"/>
      <w:lang w:val="en-US" w:eastAsia="zh-CN"/>
    </w:rPr>
  </w:style>
  <w:style w:type="paragraph" w:customStyle="1" w:styleId="43">
    <w:name w:val="正文格式-HHJ"/>
    <w:basedOn w:val="1"/>
    <w:qFormat/>
    <w:uiPriority w:val="0"/>
    <w:pPr>
      <w:spacing w:beforeLines="30" w:afterLines="30" w:line="360" w:lineRule="auto"/>
      <w:ind w:firstLine="200" w:firstLineChars="200"/>
    </w:pPr>
    <w:rPr>
      <w:rFonts w:ascii="Calibri" w:hAnsi="Calibri"/>
      <w:sz w:val="24"/>
    </w:rPr>
  </w:style>
  <w:style w:type="paragraph" w:customStyle="1" w:styleId="44">
    <w:name w:val="表内容@"/>
    <w:basedOn w:val="1"/>
    <w:qFormat/>
    <w:uiPriority w:val="0"/>
    <w:pPr>
      <w:spacing w:line="0" w:lineRule="atLeast"/>
      <w:jc w:val="center"/>
    </w:pPr>
    <w:rPr>
      <w:rFonts w:ascii="宋体" w:hAnsi="宋体" w:cs="宋体"/>
      <w:sz w:val="24"/>
    </w:rPr>
  </w:style>
  <w:style w:type="paragraph" w:customStyle="1" w:styleId="45">
    <w:name w:val="样式 样式 样式 样式 样式 正文@ + 首行缩进:  2 字符 字距调整小四 紧缩量  0.2 磅 + 首行缩进:  2 字符..."/>
    <w:basedOn w:val="46"/>
    <w:qFormat/>
    <w:uiPriority w:val="0"/>
    <w:pPr>
      <w:spacing w:line="360" w:lineRule="auto"/>
      <w:ind w:firstLine="200"/>
    </w:pPr>
  </w:style>
  <w:style w:type="paragraph" w:customStyle="1" w:styleId="46">
    <w:name w:val="样式 样式 样式 样式 正文@ + 首行缩进:  2 字符 字距调整小四 紧缩量  0.2 磅 + 首行缩进:  2 字符 + ...1"/>
    <w:basedOn w:val="47"/>
    <w:qFormat/>
    <w:uiPriority w:val="0"/>
    <w:pPr>
      <w:spacing w:line="312" w:lineRule="auto"/>
    </w:pPr>
    <w:rPr>
      <w:kern w:val="0"/>
    </w:rPr>
  </w:style>
  <w:style w:type="paragraph" w:customStyle="1" w:styleId="47">
    <w:name w:val="样式 样式 样式 正文@ + 首行缩进:  2 字符 字距调整小四 紧缩量  0.2 磅 + 首行缩进:  2 字符 + 首行缩..."/>
    <w:basedOn w:val="48"/>
    <w:qFormat/>
    <w:uiPriority w:val="0"/>
    <w:pPr>
      <w:ind w:firstLine="438"/>
    </w:pPr>
    <w:rPr>
      <w:szCs w:val="20"/>
    </w:rPr>
  </w:style>
  <w:style w:type="paragraph" w:customStyle="1" w:styleId="48">
    <w:name w:val="样式 样式 正文@ + 首行缩进:  2 字符 字距调整小四 紧缩量  0.2 磅 + 首行缩进:  2 字符"/>
    <w:basedOn w:val="1"/>
    <w:qFormat/>
    <w:uiPriority w:val="0"/>
    <w:pPr>
      <w:spacing w:line="360" w:lineRule="auto"/>
      <w:ind w:firstLine="480" w:firstLineChars="200"/>
    </w:pPr>
    <w:rPr>
      <w:rFonts w:ascii="宋体" w:hAnsi="宋体" w:cs="宋体"/>
      <w:kern w:val="24"/>
      <w:sz w:val="24"/>
      <w:szCs w:val="24"/>
    </w:rPr>
  </w:style>
  <w:style w:type="paragraph" w:customStyle="1" w:styleId="49">
    <w:name w:val="XQ报告表正文"/>
    <w:basedOn w:val="1"/>
    <w:qFormat/>
    <w:uiPriority w:val="0"/>
    <w:pPr>
      <w:adjustRightInd w:val="0"/>
      <w:snapToGrid w:val="0"/>
      <w:spacing w:line="360" w:lineRule="auto"/>
      <w:ind w:firstLine="200" w:firstLineChars="200"/>
    </w:pPr>
    <w:rPr>
      <w:rFonts w:hAnsi="宋体" w:cs="宋体"/>
      <w:bCs/>
      <w:snapToGrid w:val="0"/>
      <w:kern w:val="0"/>
      <w:sz w:val="24"/>
      <w:lang w:val="zh-CN"/>
    </w:rPr>
  </w:style>
  <w:style w:type="paragraph" w:customStyle="1" w:styleId="50">
    <w:name w:val="0表头"/>
    <w:qFormat/>
    <w:uiPriority w:val="0"/>
    <w:pPr>
      <w:widowControl w:val="0"/>
      <w:autoSpaceDE w:val="0"/>
      <w:autoSpaceDN w:val="0"/>
      <w:adjustRightInd w:val="0"/>
      <w:spacing w:line="440" w:lineRule="exact"/>
      <w:ind w:firstLine="200" w:firstLineChars="200"/>
    </w:pPr>
    <w:rPr>
      <w:rFonts w:ascii="Times New Roman" w:hAnsi="Times New Roman" w:eastAsia="宋体" w:cs="宋体"/>
      <w:b/>
      <w:color w:val="000000"/>
      <w:sz w:val="24"/>
      <w:szCs w:val="24"/>
      <w:lang w:val="en-US" w:eastAsia="zh-CN" w:bidi="ar-SA"/>
    </w:rPr>
  </w:style>
  <w:style w:type="paragraph" w:customStyle="1" w:styleId="51">
    <w:name w:val="1.1.1"/>
    <w:basedOn w:val="1"/>
    <w:qFormat/>
    <w:uiPriority w:val="0"/>
    <w:rPr>
      <w:rFonts w:hint="eastAsia" w:ascii="黑体"/>
    </w:rPr>
  </w:style>
  <w:style w:type="paragraph" w:customStyle="1" w:styleId="52">
    <w:name w:val="表格内容1"/>
    <w:basedOn w:val="1"/>
    <w:qFormat/>
    <w:uiPriority w:val="0"/>
    <w:pPr>
      <w:adjustRightInd w:val="0"/>
      <w:snapToGrid w:val="0"/>
      <w:spacing w:beforeLines="15" w:afterLines="15" w:line="240" w:lineRule="exact"/>
    </w:pPr>
    <w:rPr>
      <w:rFonts w:ascii="宋体"/>
      <w:kern w:val="0"/>
    </w:rPr>
  </w:style>
  <w:style w:type="paragraph" w:customStyle="1" w:styleId="53">
    <w:name w:val="表内容"/>
    <w:basedOn w:val="1"/>
    <w:next w:val="1"/>
    <w:qFormat/>
    <w:uiPriority w:val="0"/>
    <w:pPr>
      <w:spacing w:line="320" w:lineRule="exact"/>
      <w:ind w:firstLine="200"/>
      <w:jc w:val="center"/>
    </w:pPr>
  </w:style>
  <w:style w:type="paragraph" w:customStyle="1" w:styleId="54">
    <w:name w:val="Default"/>
    <w:unhideWhenUsed/>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55">
    <w:name w:val="font21"/>
    <w:basedOn w:val="21"/>
    <w:qFormat/>
    <w:uiPriority w:val="0"/>
    <w:rPr>
      <w:rFonts w:hint="eastAsia" w:ascii="宋体" w:hAnsi="宋体" w:eastAsia="宋体" w:cs="宋体"/>
      <w:color w:val="000000"/>
      <w:sz w:val="21"/>
      <w:szCs w:val="21"/>
      <w:u w:val="none"/>
    </w:rPr>
  </w:style>
  <w:style w:type="character" w:customStyle="1" w:styleId="56">
    <w:name w:val="font31"/>
    <w:basedOn w:val="21"/>
    <w:qFormat/>
    <w:uiPriority w:val="0"/>
    <w:rPr>
      <w:rFonts w:hint="eastAsia" w:ascii="宋体" w:hAnsi="宋体" w:eastAsia="宋体" w:cs="宋体"/>
      <w:color w:val="000000"/>
      <w:sz w:val="21"/>
      <w:szCs w:val="21"/>
      <w:u w:val="none"/>
    </w:rPr>
  </w:style>
  <w:style w:type="paragraph" w:customStyle="1" w:styleId="57">
    <w:name w:val="HP 正文"/>
    <w:basedOn w:val="1"/>
    <w:qFormat/>
    <w:uiPriority w:val="0"/>
    <w:pPr>
      <w:autoSpaceDE w:val="0"/>
      <w:autoSpaceDN w:val="0"/>
      <w:adjustRightInd w:val="0"/>
      <w:spacing w:line="440" w:lineRule="exact"/>
      <w:ind w:firstLine="200" w:firstLineChars="200"/>
    </w:pPr>
    <w:rPr>
      <w:rFonts w:ascii="Times New Roman" w:hAnsi="Times New Roman" w:eastAsia="宋体" w:cs="Times New Roman"/>
      <w:sz w:val="24"/>
      <w:szCs w:val="24"/>
    </w:rPr>
  </w:style>
  <w:style w:type="character" w:customStyle="1" w:styleId="58">
    <w:name w:val="font01"/>
    <w:basedOn w:val="21"/>
    <w:qFormat/>
    <w:uiPriority w:val="0"/>
    <w:rPr>
      <w:rFonts w:hint="default" w:ascii="Times New Roman" w:hAnsi="Times New Roman" w:cs="Times New Roman"/>
      <w:color w:val="000000"/>
      <w:sz w:val="21"/>
      <w:szCs w:val="21"/>
      <w:u w:val="none"/>
    </w:rPr>
  </w:style>
  <w:style w:type="paragraph" w:customStyle="1" w:styleId="5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60">
    <w:name w:val="List Paragraph1"/>
    <w:basedOn w:val="1"/>
    <w:qFormat/>
    <w:uiPriority w:val="99"/>
    <w:pPr>
      <w:widowControl w:val="0"/>
      <w:spacing w:line="240" w:lineRule="auto"/>
      <w:ind w:firstLine="420" w:firstLineChars="200"/>
      <w:textAlignment w:val="auto"/>
    </w:pPr>
    <w:rPr>
      <w:rFonts w:ascii="Calibri" w:hAnsi="Calibri"/>
      <w:color w:val="auto"/>
      <w:kern w:val="2"/>
      <w:szCs w:val="22"/>
    </w:rPr>
  </w:style>
  <w:style w:type="paragraph" w:styleId="61">
    <w:name w:val="List Paragraph"/>
    <w:basedOn w:val="1"/>
    <w:qFormat/>
    <w:uiPriority w:val="34"/>
    <w:pPr>
      <w:widowControl w:val="0"/>
      <w:spacing w:line="240" w:lineRule="auto"/>
      <w:ind w:firstLine="420" w:firstLineChars="200"/>
      <w:textAlignment w:val="auto"/>
    </w:pPr>
    <w:rPr>
      <w:color w:val="auto"/>
      <w:kern w:val="2"/>
    </w:rPr>
  </w:style>
  <w:style w:type="character" w:customStyle="1" w:styleId="62">
    <w:name w:val="fontstyle01"/>
    <w:qFormat/>
    <w:uiPriority w:val="0"/>
    <w:rPr>
      <w:rFonts w:hint="eastAsia" w:ascii="宋体" w:hAnsi="宋体" w:eastAsia="宋体"/>
      <w:color w:val="000000"/>
      <w:sz w:val="24"/>
      <w:szCs w:val="24"/>
    </w:rPr>
  </w:style>
  <w:style w:type="paragraph" w:customStyle="1" w:styleId="63">
    <w:name w:val="简单回函地址"/>
    <w:next w:val="6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正文2"/>
    <w:basedOn w:val="1"/>
    <w:qFormat/>
    <w:uiPriority w:val="0"/>
    <w:pPr>
      <w:spacing w:line="360" w:lineRule="auto"/>
      <w:ind w:firstLine="480" w:firstLineChars="200"/>
    </w:pPr>
    <w:rPr>
      <w:rFonts w:ascii="宋体" w:hAnsi="宋体"/>
      <w:sz w:val="24"/>
    </w:rPr>
  </w:style>
  <w:style w:type="paragraph" w:customStyle="1" w:styleId="65">
    <w:name w:val="图标题"/>
    <w:basedOn w:val="66"/>
    <w:qFormat/>
    <w:uiPriority w:val="0"/>
    <w:pPr>
      <w:jc w:val="center"/>
    </w:pPr>
  </w:style>
  <w:style w:type="paragraph" w:customStyle="1" w:styleId="66">
    <w:name w:val="表格标题"/>
    <w:basedOn w:val="67"/>
    <w:qFormat/>
    <w:uiPriority w:val="99"/>
    <w:pPr>
      <w:widowControl w:val="0"/>
      <w:spacing w:line="288" w:lineRule="auto"/>
      <w:jc w:val="center"/>
      <w:textAlignment w:val="auto"/>
    </w:pPr>
    <w:rPr>
      <w:rFonts w:cs="Calibri"/>
      <w:b/>
      <w:color w:val="auto"/>
      <w:kern w:val="1"/>
      <w:szCs w:val="22"/>
      <w:lang w:eastAsia="ar-SA"/>
    </w:rPr>
  </w:style>
  <w:style w:type="paragraph" w:customStyle="1" w:styleId="67">
    <w:name w:val="表格内容"/>
    <w:next w:val="1"/>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68">
    <w:name w:val="_Style 105"/>
    <w:basedOn w:val="8"/>
    <w:next w:val="18"/>
    <w:qFormat/>
    <w:uiPriority w:val="99"/>
    <w:pPr>
      <w:widowControl w:val="0"/>
      <w:spacing w:line="240" w:lineRule="auto"/>
      <w:ind w:firstLine="420" w:firstLineChars="100"/>
      <w:textAlignment w:val="auto"/>
    </w:pPr>
    <w:rPr>
      <w:color w:val="auto"/>
      <w:kern w:val="2"/>
      <w:szCs w:val="24"/>
    </w:rPr>
  </w:style>
  <w:style w:type="paragraph" w:customStyle="1" w:styleId="69">
    <w:name w:val="Table Paragraph"/>
    <w:basedOn w:val="1"/>
    <w:unhideWhenUsed/>
    <w:qFormat/>
    <w:uiPriority w:val="1"/>
    <w:pPr>
      <w:spacing w:beforeLines="0" w:afterLines="0"/>
    </w:pPr>
    <w:rPr>
      <w:rFonts w:hint="default"/>
      <w:sz w:val="24"/>
    </w:rPr>
  </w:style>
  <w:style w:type="paragraph" w:customStyle="1" w:styleId="70">
    <w:name w:val="表格居中"/>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71">
    <w:name w:val="表头"/>
    <w:basedOn w:val="1"/>
    <w:qFormat/>
    <w:uiPriority w:val="0"/>
    <w:pPr>
      <w:numPr>
        <w:ilvl w:val="0"/>
        <w:numId w:val="4"/>
      </w:numPr>
      <w:spacing w:line="440" w:lineRule="exact"/>
    </w:pPr>
    <w:rPr>
      <w:rFonts w:ascii="Times New Roman" w:hAnsi="Times New Roman"/>
      <w:b/>
      <w:color w:val="000000"/>
      <w:kern w:val="0"/>
      <w:sz w:val="24"/>
      <w:szCs w:val="24"/>
    </w:rPr>
  </w:style>
  <w:style w:type="paragraph" w:customStyle="1" w:styleId="72">
    <w:name w:val="报告正文"/>
    <w:basedOn w:val="1"/>
    <w:qFormat/>
    <w:uiPriority w:val="0"/>
    <w:pPr>
      <w:spacing w:line="480" w:lineRule="exact"/>
      <w:ind w:firstLine="480"/>
    </w:pPr>
  </w:style>
  <w:style w:type="paragraph" w:customStyle="1" w:styleId="73">
    <w:name w:val="ae正文zzzzzzzz"/>
    <w:basedOn w:val="1"/>
    <w:qFormat/>
    <w:uiPriority w:val="0"/>
    <w:pPr>
      <w:spacing w:line="520" w:lineRule="exact"/>
      <w:ind w:firstLine="200" w:firstLineChars="200"/>
    </w:pPr>
    <w:rPr>
      <w:kern w:val="0"/>
      <w:sz w:val="24"/>
      <w:szCs w:val="20"/>
      <w:lang w:val="zh-CN"/>
    </w:rPr>
  </w:style>
  <w:style w:type="table" w:customStyle="1" w:styleId="74">
    <w:name w:val="表1"/>
    <w:basedOn w:val="19"/>
    <w:qFormat/>
    <w:uiPriority w:val="99"/>
    <w:pPr>
      <w:widowControl w:val="0"/>
      <w:jc w:val="center"/>
    </w:pPr>
    <w:rPr>
      <w:rFonts w:cs="Times New Roman"/>
      <w:kern w:val="0"/>
      <w:szCs w:val="20"/>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7.jpeg"/><Relationship Id="rId52" Type="http://schemas.openxmlformats.org/officeDocument/2006/relationships/image" Target="media/image36.png"/><Relationship Id="rId51" Type="http://schemas.openxmlformats.org/officeDocument/2006/relationships/hyperlink" Target="http://www.biaozhi.net/eNews/news/200602/0029_0000000909.shtml" TargetMode="External"/><Relationship Id="rId50" Type="http://schemas.openxmlformats.org/officeDocument/2006/relationships/image" Target="media/image35.png"/><Relationship Id="rId5" Type="http://schemas.openxmlformats.org/officeDocument/2006/relationships/footer" Target="footer3.xml"/><Relationship Id="rId49" Type="http://schemas.openxmlformats.org/officeDocument/2006/relationships/image" Target="media/image34.png"/><Relationship Id="rId48" Type="http://schemas.openxmlformats.org/officeDocument/2006/relationships/hyperlink" Target="http://www.biaozhi.net/eNews/news/200602/0029_0000000907.shtml" TargetMode="External"/><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wmf"/><Relationship Id="rId43" Type="http://schemas.openxmlformats.org/officeDocument/2006/relationships/image" Target="media/image29.emf"/><Relationship Id="rId42" Type="http://schemas.openxmlformats.org/officeDocument/2006/relationships/oleObject" Target="embeddings/oleObject7.bin"/><Relationship Id="rId41" Type="http://schemas.openxmlformats.org/officeDocument/2006/relationships/image" Target="media/image28.emf"/><Relationship Id="rId40" Type="http://schemas.openxmlformats.org/officeDocument/2006/relationships/oleObject" Target="embeddings/oleObject6.bin"/><Relationship Id="rId4" Type="http://schemas.openxmlformats.org/officeDocument/2006/relationships/footer" Target="footer2.xml"/><Relationship Id="rId39" Type="http://schemas.openxmlformats.org/officeDocument/2006/relationships/image" Target="media/image27.emf"/><Relationship Id="rId38" Type="http://schemas.openxmlformats.org/officeDocument/2006/relationships/oleObject" Target="embeddings/oleObject5.bin"/><Relationship Id="rId37" Type="http://schemas.openxmlformats.org/officeDocument/2006/relationships/image" Target="media/image26.emf"/><Relationship Id="rId36" Type="http://schemas.openxmlformats.org/officeDocument/2006/relationships/oleObject" Target="embeddings/oleObject4.bin"/><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oleObject" Target="embeddings/oleObject3.bin"/><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oleObject" Target="embeddings/oleObject2.bin"/><Relationship Id="rId22" Type="http://schemas.openxmlformats.org/officeDocument/2006/relationships/image" Target="media/image14.emf"/><Relationship Id="rId21" Type="http://schemas.openxmlformats.org/officeDocument/2006/relationships/oleObject" Target="embeddings/oleObject1.bin"/><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158</Pages>
  <Words>87587</Words>
  <Characters>104193</Characters>
  <Lines>0</Lines>
  <Paragraphs>0</Paragraphs>
  <TotalTime>4</TotalTime>
  <ScaleCrop>false</ScaleCrop>
  <LinksUpToDate>false</LinksUpToDate>
  <CharactersWithSpaces>104908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2021-07-23T02:44:00Z</dcterms:created>
  <dc:creator>Administrator</dc:creator>
  <cp:lastModifiedBy>idiot</cp:lastModifiedBy>
  <dcterms:modified xsi:type="dcterms:W3CDTF">2023-01-10T01:05:46Z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5EDB32DD2DE74440AC9F124742001C1E</vt:lpwstr>
  </property>
</Properties>
</file>