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85D0F">
      <w:pPr>
        <w:rPr>
          <w:rFonts w:hint="eastAsia" w:ascii="仿宋_GB2312" w:hAnsi="仿宋_GB2312" w:eastAsia="仿宋_GB2312" w:cs="仿宋_GB2312"/>
          <w:sz w:val="36"/>
          <w:szCs w:val="36"/>
        </w:rPr>
      </w:pPr>
    </w:p>
    <w:p w14:paraId="3FF6CA29">
      <w:pPr>
        <w:rPr>
          <w:rFonts w:hint="eastAsia" w:ascii="仿宋_GB2312" w:hAnsi="仿宋_GB2312" w:eastAsia="仿宋_GB2312" w:cs="仿宋_GB2312"/>
          <w:sz w:val="36"/>
          <w:szCs w:val="36"/>
        </w:rPr>
      </w:pPr>
    </w:p>
    <w:p w14:paraId="79B66C32">
      <w:pPr>
        <w:rPr>
          <w:rFonts w:hint="eastAsia" w:ascii="仿宋_GB2312" w:hAnsi="仿宋_GB2312" w:eastAsia="仿宋_GB2312" w:cs="仿宋_GB2312"/>
          <w:sz w:val="36"/>
          <w:szCs w:val="36"/>
        </w:rPr>
      </w:pPr>
    </w:p>
    <w:p w14:paraId="6661AA2E">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4BCA95D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35E2CE2B">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公示</w:t>
      </w:r>
      <w:r>
        <w:rPr>
          <w:rFonts w:hint="eastAsia" w:ascii="楷体_GB2312" w:eastAsia="楷体_GB2312"/>
          <w:bCs/>
          <w:sz w:val="48"/>
          <w:szCs w:val="48"/>
        </w:rPr>
        <w:t>本）</w:t>
      </w:r>
    </w:p>
    <w:p w14:paraId="590C0D87"/>
    <w:p w14:paraId="3E6FDFF1">
      <w:pPr>
        <w:pStyle w:val="22"/>
        <w:ind w:firstLine="560"/>
        <w:rPr>
          <w:rFonts w:hint="default"/>
        </w:rPr>
      </w:pPr>
    </w:p>
    <w:p w14:paraId="64EEE99B">
      <w:pPr>
        <w:rPr>
          <w:rFonts w:eastAsia="仿宋"/>
          <w:sz w:val="44"/>
          <w:szCs w:val="44"/>
        </w:rPr>
      </w:pPr>
    </w:p>
    <w:p w14:paraId="3C84BCF8">
      <w:pPr>
        <w:ind w:firstLine="1040"/>
        <w:rPr>
          <w:rFonts w:eastAsia="仿宋"/>
          <w:sz w:val="44"/>
          <w:szCs w:val="44"/>
        </w:rPr>
      </w:pPr>
    </w:p>
    <w:p w14:paraId="4B5251E1">
      <w:pPr>
        <w:ind w:firstLine="1040"/>
        <w:rPr>
          <w:rFonts w:eastAsia="仿宋"/>
          <w:sz w:val="44"/>
          <w:szCs w:val="44"/>
        </w:rPr>
      </w:pPr>
    </w:p>
    <w:p w14:paraId="301C1223">
      <w:pPr>
        <w:ind w:firstLine="1040"/>
        <w:rPr>
          <w:rFonts w:eastAsia="仿宋"/>
          <w:sz w:val="44"/>
          <w:szCs w:val="44"/>
        </w:rPr>
      </w:pPr>
    </w:p>
    <w:p w14:paraId="3FF083AF">
      <w:pPr>
        <w:adjustRightInd w:val="0"/>
        <w:snapToGrid w:val="0"/>
        <w:spacing w:line="360" w:lineRule="auto"/>
        <w:ind w:firstLine="280" w:firstLineChars="100"/>
        <w:rPr>
          <w:rFonts w:hint="eastAsia" w:ascii="仿宋" w:hAnsi="仿宋" w:eastAsia="仿宋" w:cs="仿宋"/>
          <w:sz w:val="28"/>
          <w:szCs w:val="28"/>
          <w:u w:val="single"/>
        </w:rPr>
      </w:pPr>
      <w:r>
        <w:rPr>
          <w:rFonts w:hint="eastAsia" w:ascii="仿宋_GB2312" w:eastAsia="仿宋_GB2312"/>
          <w:sz w:val="28"/>
          <w:szCs w:val="28"/>
        </w:rPr>
        <w:t>项目名称：</w:t>
      </w:r>
      <w:r>
        <w:rPr>
          <w:rFonts w:hint="eastAsia" w:ascii="仿宋_GB2312" w:eastAsia="仿宋_GB2312"/>
          <w:sz w:val="28"/>
          <w:szCs w:val="28"/>
          <w:u w:val="single"/>
        </w:rPr>
        <w:t xml:space="preserve">             </w:t>
      </w:r>
      <w:r>
        <w:rPr>
          <w:rFonts w:hint="eastAsia" w:ascii="仿宋_GB2312" w:eastAsia="仿宋_GB2312"/>
          <w:sz w:val="28"/>
          <w:szCs w:val="28"/>
          <w:u w:val="single"/>
          <w:lang w:val="en-GB"/>
        </w:rPr>
        <w:t>职教园区中型垃圾转运站建设项目</w:t>
      </w:r>
      <w:r>
        <w:rPr>
          <w:rFonts w:hint="eastAsia" w:ascii="仿宋_GB2312" w:eastAsia="仿宋_GB2312"/>
          <w:sz w:val="28"/>
          <w:szCs w:val="28"/>
          <w:u w:val="single"/>
        </w:rPr>
        <w:t xml:space="preserve">       </w:t>
      </w:r>
      <w:r>
        <w:rPr>
          <w:rFonts w:hint="eastAsia" w:ascii="仿宋" w:hAnsi="仿宋" w:eastAsia="仿宋" w:cs="仿宋"/>
          <w:sz w:val="28"/>
          <w:szCs w:val="28"/>
          <w:u w:val="single"/>
        </w:rPr>
        <w:t xml:space="preserve"> </w:t>
      </w:r>
    </w:p>
    <w:p w14:paraId="08F8A88B">
      <w:pPr>
        <w:adjustRightInd w:val="0"/>
        <w:snapToGrid w:val="0"/>
        <w:spacing w:line="360" w:lineRule="auto"/>
        <w:ind w:firstLine="280" w:firstLineChars="100"/>
        <w:rPr>
          <w:rFonts w:ascii="仿宋_GB2312" w:eastAsia="仿宋_GB2312"/>
          <w:sz w:val="28"/>
          <w:szCs w:val="28"/>
        </w:rPr>
      </w:pPr>
      <w:r>
        <w:rPr>
          <w:rFonts w:hint="eastAsia" w:ascii="仿宋_GB2312" w:eastAsia="仿宋_GB2312"/>
          <w:sz w:val="28"/>
          <w:szCs w:val="28"/>
        </w:rPr>
        <w:t>建设单位（盖章）：</w:t>
      </w:r>
      <w:r>
        <w:rPr>
          <w:rFonts w:hint="eastAsia" w:ascii="仿宋_GB2312" w:eastAsia="仿宋_GB2312"/>
          <w:sz w:val="28"/>
          <w:szCs w:val="28"/>
          <w:u w:val="single"/>
        </w:rPr>
        <w:t xml:space="preserve">            达州市环境卫生管理处             </w:t>
      </w:r>
      <w:bookmarkStart w:id="0" w:name="_Hlk57884087"/>
    </w:p>
    <w:p w14:paraId="4666996A">
      <w:pPr>
        <w:adjustRightInd w:val="0"/>
        <w:snapToGrid w:val="0"/>
        <w:spacing w:line="360" w:lineRule="auto"/>
        <w:ind w:firstLine="280" w:firstLineChars="100"/>
        <w:rPr>
          <w:rFonts w:ascii="仿宋_GB2312" w:eastAsia="仿宋_GB2312"/>
          <w:sz w:val="36"/>
          <w:szCs w:val="36"/>
          <w:u w:val="single"/>
        </w:rPr>
      </w:pPr>
      <w:r>
        <w:rPr>
          <w:rFonts w:hint="eastAsia" w:ascii="仿宋_GB2312" w:eastAsia="仿宋_GB2312"/>
          <w:sz w:val="28"/>
          <w:szCs w:val="28"/>
        </w:rPr>
        <w:t>编制日期：</w:t>
      </w:r>
      <w:r>
        <w:rPr>
          <w:rFonts w:hint="eastAsia" w:ascii="仿宋_GB2312" w:eastAsia="仿宋_GB2312"/>
          <w:sz w:val="28"/>
          <w:szCs w:val="28"/>
          <w:u w:val="single"/>
        </w:rPr>
        <w:t xml:space="preserve">                       2025年6月                  </w:t>
      </w:r>
      <w:r>
        <w:rPr>
          <w:rFonts w:hint="eastAsia" w:ascii="仿宋_GB2312" w:eastAsia="仿宋_GB2312"/>
          <w:sz w:val="36"/>
          <w:szCs w:val="36"/>
        </w:rPr>
        <w:t xml:space="preserve">   </w:t>
      </w:r>
    </w:p>
    <w:p w14:paraId="691844D5">
      <w:pPr>
        <w:adjustRightInd w:val="0"/>
        <w:snapToGrid w:val="0"/>
        <w:spacing w:line="288" w:lineRule="auto"/>
        <w:ind w:firstLine="1040"/>
        <w:rPr>
          <w:rFonts w:ascii="仿宋_GB2312" w:eastAsia="仿宋_GB2312"/>
          <w:sz w:val="36"/>
          <w:szCs w:val="36"/>
        </w:rPr>
      </w:pPr>
    </w:p>
    <w:p w14:paraId="63158A99">
      <w:pPr>
        <w:adjustRightInd w:val="0"/>
        <w:snapToGrid w:val="0"/>
        <w:spacing w:line="288" w:lineRule="auto"/>
        <w:ind w:firstLine="1040"/>
        <w:rPr>
          <w:rFonts w:ascii="仿宋_GB2312" w:eastAsia="仿宋_GB2312"/>
          <w:sz w:val="36"/>
          <w:szCs w:val="36"/>
        </w:rPr>
      </w:pPr>
    </w:p>
    <w:p w14:paraId="4C730D03">
      <w:pPr>
        <w:adjustRightInd w:val="0"/>
        <w:snapToGrid w:val="0"/>
        <w:spacing w:line="288" w:lineRule="auto"/>
        <w:ind w:firstLine="1040"/>
        <w:rPr>
          <w:rFonts w:ascii="仿宋_GB2312" w:eastAsia="仿宋_GB2312"/>
          <w:sz w:val="36"/>
          <w:szCs w:val="36"/>
        </w:rPr>
      </w:pPr>
    </w:p>
    <w:p w14:paraId="74C70879">
      <w:pPr>
        <w:adjustRightInd w:val="0"/>
        <w:snapToGrid w:val="0"/>
        <w:spacing w:line="288" w:lineRule="auto"/>
        <w:ind w:firstLine="1040"/>
        <w:rPr>
          <w:rFonts w:ascii="仿宋_GB2312" w:eastAsia="仿宋_GB2312"/>
          <w:sz w:val="36"/>
          <w:szCs w:val="36"/>
        </w:rPr>
      </w:pPr>
    </w:p>
    <w:p w14:paraId="129D08BD">
      <w:pPr>
        <w:adjustRightInd w:val="0"/>
        <w:snapToGrid w:val="0"/>
        <w:spacing w:line="288" w:lineRule="auto"/>
        <w:ind w:firstLine="1040"/>
        <w:rPr>
          <w:rFonts w:ascii="仿宋_GB2312" w:eastAsia="仿宋_GB2312"/>
          <w:sz w:val="36"/>
          <w:szCs w:val="36"/>
        </w:rPr>
      </w:pPr>
    </w:p>
    <w:p w14:paraId="2D64FB06">
      <w:pPr>
        <w:adjustRightInd w:val="0"/>
        <w:snapToGrid w:val="0"/>
        <w:spacing w:line="288" w:lineRule="auto"/>
        <w:ind w:firstLine="1040"/>
        <w:rPr>
          <w:rFonts w:ascii="仿宋_GB2312" w:eastAsia="仿宋_GB2312"/>
          <w:sz w:val="36"/>
          <w:szCs w:val="36"/>
        </w:rPr>
      </w:pPr>
    </w:p>
    <w:bookmarkEnd w:id="0"/>
    <w:p w14:paraId="15FEF025">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704F828C">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35501D29">
      <w:pPr>
        <w:pStyle w:val="24"/>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7"/>
        <w:tblW w:w="95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44"/>
        <w:gridCol w:w="646"/>
        <w:gridCol w:w="2603"/>
        <w:gridCol w:w="2358"/>
        <w:gridCol w:w="3249"/>
      </w:tblGrid>
      <w:tr w14:paraId="6A4AD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5D7B81BD">
            <w:pPr>
              <w:adjustRightInd w:val="0"/>
              <w:snapToGrid w:val="0"/>
              <w:jc w:val="center"/>
              <w:rPr>
                <w:sz w:val="24"/>
              </w:rPr>
            </w:pPr>
            <w:r>
              <w:rPr>
                <w:sz w:val="24"/>
              </w:rPr>
              <w:t>建设项目名称</w:t>
            </w:r>
          </w:p>
        </w:tc>
        <w:tc>
          <w:tcPr>
            <w:tcW w:w="8210" w:type="dxa"/>
            <w:gridSpan w:val="3"/>
            <w:vAlign w:val="center"/>
          </w:tcPr>
          <w:p w14:paraId="662D1350">
            <w:pPr>
              <w:adjustRightInd w:val="0"/>
              <w:snapToGrid w:val="0"/>
              <w:jc w:val="center"/>
              <w:rPr>
                <w:sz w:val="24"/>
              </w:rPr>
            </w:pPr>
            <w:r>
              <w:rPr>
                <w:rFonts w:hint="eastAsia"/>
                <w:sz w:val="24"/>
                <w:lang w:val="en-GB"/>
              </w:rPr>
              <w:t>职教园区中型垃圾转运站建设项目</w:t>
            </w:r>
          </w:p>
        </w:tc>
      </w:tr>
      <w:tr w14:paraId="7E39C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53BCB20D">
            <w:pPr>
              <w:adjustRightInd w:val="0"/>
              <w:snapToGrid w:val="0"/>
              <w:jc w:val="center"/>
              <w:rPr>
                <w:sz w:val="24"/>
              </w:rPr>
            </w:pPr>
            <w:r>
              <w:rPr>
                <w:sz w:val="24"/>
              </w:rPr>
              <w:t>项目代码</w:t>
            </w:r>
          </w:p>
        </w:tc>
        <w:tc>
          <w:tcPr>
            <w:tcW w:w="8210" w:type="dxa"/>
            <w:gridSpan w:val="3"/>
            <w:vAlign w:val="center"/>
          </w:tcPr>
          <w:p w14:paraId="090775AB">
            <w:pPr>
              <w:adjustRightInd w:val="0"/>
              <w:snapToGrid w:val="0"/>
              <w:jc w:val="center"/>
              <w:rPr>
                <w:sz w:val="24"/>
              </w:rPr>
            </w:pPr>
            <w:r>
              <w:rPr>
                <w:rFonts w:hint="eastAsia"/>
                <w:sz w:val="24"/>
              </w:rPr>
              <w:t>2411-511700-04-01-966410</w:t>
            </w:r>
          </w:p>
        </w:tc>
      </w:tr>
      <w:tr w14:paraId="3505E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095BFD41">
            <w:pPr>
              <w:adjustRightInd w:val="0"/>
              <w:snapToGrid w:val="0"/>
              <w:jc w:val="center"/>
              <w:rPr>
                <w:sz w:val="24"/>
              </w:rPr>
            </w:pPr>
            <w:r>
              <w:rPr>
                <w:sz w:val="24"/>
              </w:rPr>
              <w:t>建设单位联系人</w:t>
            </w:r>
          </w:p>
        </w:tc>
        <w:tc>
          <w:tcPr>
            <w:tcW w:w="2603" w:type="dxa"/>
            <w:vAlign w:val="center"/>
          </w:tcPr>
          <w:p w14:paraId="290F4A0E">
            <w:pPr>
              <w:adjustRightInd w:val="0"/>
              <w:snapToGrid w:val="0"/>
              <w:jc w:val="center"/>
              <w:rPr>
                <w:sz w:val="24"/>
              </w:rPr>
            </w:pPr>
            <w:r>
              <w:rPr>
                <w:rFonts w:hint="eastAsia"/>
                <w:sz w:val="24"/>
              </w:rPr>
              <w:t>吴</w:t>
            </w:r>
            <w:r>
              <w:rPr>
                <w:rFonts w:hint="eastAsia"/>
                <w:sz w:val="24"/>
                <w:lang w:val="en-US" w:eastAsia="zh-CN"/>
              </w:rPr>
              <w:t>*</w:t>
            </w:r>
            <w:r>
              <w:rPr>
                <w:rFonts w:hint="eastAsia"/>
                <w:sz w:val="24"/>
              </w:rPr>
              <w:t>明</w:t>
            </w:r>
          </w:p>
        </w:tc>
        <w:tc>
          <w:tcPr>
            <w:tcW w:w="2358" w:type="dxa"/>
            <w:vAlign w:val="center"/>
          </w:tcPr>
          <w:p w14:paraId="4A98D1B4">
            <w:pPr>
              <w:adjustRightInd w:val="0"/>
              <w:snapToGrid w:val="0"/>
              <w:jc w:val="center"/>
              <w:rPr>
                <w:sz w:val="24"/>
              </w:rPr>
            </w:pPr>
            <w:r>
              <w:rPr>
                <w:sz w:val="24"/>
              </w:rPr>
              <w:t>联系方式</w:t>
            </w:r>
          </w:p>
        </w:tc>
        <w:tc>
          <w:tcPr>
            <w:tcW w:w="3249" w:type="dxa"/>
            <w:vAlign w:val="center"/>
          </w:tcPr>
          <w:p w14:paraId="63B1BF54">
            <w:pPr>
              <w:adjustRightInd w:val="0"/>
              <w:snapToGrid w:val="0"/>
              <w:jc w:val="center"/>
              <w:rPr>
                <w:sz w:val="24"/>
                <w:highlight w:val="yellow"/>
              </w:rPr>
            </w:pPr>
            <w:r>
              <w:rPr>
                <w:sz w:val="24"/>
              </w:rPr>
              <w:t>135</w:t>
            </w:r>
            <w:r>
              <w:rPr>
                <w:rFonts w:hint="eastAsia"/>
                <w:sz w:val="24"/>
                <w:lang w:val="en-US" w:eastAsia="zh-CN"/>
              </w:rPr>
              <w:t>****</w:t>
            </w:r>
            <w:r>
              <w:rPr>
                <w:sz w:val="24"/>
              </w:rPr>
              <w:t>0660</w:t>
            </w:r>
          </w:p>
        </w:tc>
      </w:tr>
      <w:tr w14:paraId="661FE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3F081383">
            <w:pPr>
              <w:adjustRightInd w:val="0"/>
              <w:snapToGrid w:val="0"/>
              <w:jc w:val="center"/>
              <w:rPr>
                <w:sz w:val="24"/>
              </w:rPr>
            </w:pPr>
            <w:r>
              <w:rPr>
                <w:sz w:val="24"/>
              </w:rPr>
              <w:t>建设地点</w:t>
            </w:r>
          </w:p>
        </w:tc>
        <w:tc>
          <w:tcPr>
            <w:tcW w:w="8210" w:type="dxa"/>
            <w:gridSpan w:val="3"/>
            <w:vAlign w:val="center"/>
          </w:tcPr>
          <w:p w14:paraId="33E15252">
            <w:pPr>
              <w:adjustRightInd w:val="0"/>
              <w:snapToGrid w:val="0"/>
              <w:jc w:val="center"/>
              <w:rPr>
                <w:sz w:val="24"/>
              </w:rPr>
            </w:pPr>
            <w:r>
              <w:rPr>
                <w:rFonts w:hint="eastAsia"/>
                <w:sz w:val="26"/>
                <w:szCs w:val="28"/>
              </w:rPr>
              <w:t>达州市通川区西南职教园区崇德路</w:t>
            </w:r>
          </w:p>
        </w:tc>
      </w:tr>
      <w:tr w14:paraId="6D9B0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70651CBF">
            <w:pPr>
              <w:adjustRightInd w:val="0"/>
              <w:snapToGrid w:val="0"/>
              <w:jc w:val="center"/>
              <w:rPr>
                <w:sz w:val="24"/>
              </w:rPr>
            </w:pPr>
            <w:r>
              <w:rPr>
                <w:sz w:val="24"/>
              </w:rPr>
              <w:t>地理坐标</w:t>
            </w:r>
          </w:p>
        </w:tc>
        <w:tc>
          <w:tcPr>
            <w:tcW w:w="8210" w:type="dxa"/>
            <w:gridSpan w:val="3"/>
            <w:vAlign w:val="center"/>
          </w:tcPr>
          <w:p w14:paraId="720CBC27">
            <w:pPr>
              <w:jc w:val="center"/>
              <w:rPr>
                <w:color w:val="00B050"/>
                <w:sz w:val="24"/>
              </w:rPr>
            </w:pPr>
            <w:r>
              <w:rPr>
                <w:sz w:val="24"/>
              </w:rPr>
              <w:t>（</w:t>
            </w:r>
            <w:r>
              <w:rPr>
                <w:sz w:val="24"/>
                <w:u w:val="single"/>
              </w:rPr>
              <w:t xml:space="preserve"> </w:t>
            </w:r>
            <w:r>
              <w:rPr>
                <w:rFonts w:hint="eastAsia"/>
                <w:sz w:val="24"/>
                <w:u w:val="single"/>
              </w:rPr>
              <w:t>107</w:t>
            </w:r>
            <w:r>
              <w:rPr>
                <w:sz w:val="24"/>
                <w:u w:val="single"/>
              </w:rPr>
              <w:t xml:space="preserve"> </w:t>
            </w:r>
            <w:r>
              <w:rPr>
                <w:sz w:val="24"/>
              </w:rPr>
              <w:t>度</w:t>
            </w:r>
            <w:r>
              <w:rPr>
                <w:sz w:val="24"/>
                <w:u w:val="single"/>
              </w:rPr>
              <w:t xml:space="preserve">  </w:t>
            </w:r>
            <w:r>
              <w:rPr>
                <w:rFonts w:hint="eastAsia"/>
                <w:sz w:val="24"/>
                <w:u w:val="single"/>
              </w:rPr>
              <w:t>32</w:t>
            </w:r>
            <w:r>
              <w:rPr>
                <w:sz w:val="24"/>
                <w:u w:val="single"/>
              </w:rPr>
              <w:t xml:space="preserve">  </w:t>
            </w:r>
            <w:r>
              <w:rPr>
                <w:sz w:val="24"/>
              </w:rPr>
              <w:t>分</w:t>
            </w:r>
            <w:r>
              <w:rPr>
                <w:sz w:val="24"/>
                <w:u w:val="single"/>
              </w:rPr>
              <w:t xml:space="preserve"> </w:t>
            </w:r>
            <w:r>
              <w:rPr>
                <w:rFonts w:hint="eastAsia"/>
                <w:sz w:val="24"/>
                <w:u w:val="single"/>
              </w:rPr>
              <w:t>0.144</w:t>
            </w:r>
            <w:r>
              <w:rPr>
                <w:sz w:val="24"/>
                <w:u w:val="single"/>
              </w:rPr>
              <w:t xml:space="preserve"> </w:t>
            </w:r>
            <w:r>
              <w:rPr>
                <w:sz w:val="24"/>
              </w:rPr>
              <w:t>秒，</w:t>
            </w:r>
            <w:r>
              <w:rPr>
                <w:sz w:val="24"/>
                <w:u w:val="single"/>
              </w:rPr>
              <w:t xml:space="preserve">  </w:t>
            </w:r>
            <w:r>
              <w:rPr>
                <w:rFonts w:hint="eastAsia"/>
                <w:sz w:val="24"/>
                <w:u w:val="single"/>
              </w:rPr>
              <w:t>31</w:t>
            </w:r>
            <w:r>
              <w:rPr>
                <w:sz w:val="24"/>
                <w:u w:val="single"/>
              </w:rPr>
              <w:t xml:space="preserve">  </w:t>
            </w:r>
            <w:r>
              <w:rPr>
                <w:sz w:val="24"/>
              </w:rPr>
              <w:t>度</w:t>
            </w:r>
            <w:r>
              <w:rPr>
                <w:sz w:val="24"/>
                <w:u w:val="single"/>
              </w:rPr>
              <w:t xml:space="preserve"> </w:t>
            </w:r>
            <w:r>
              <w:rPr>
                <w:rFonts w:hint="eastAsia"/>
                <w:sz w:val="24"/>
                <w:u w:val="single"/>
              </w:rPr>
              <w:t xml:space="preserve"> 15</w:t>
            </w:r>
            <w:r>
              <w:rPr>
                <w:sz w:val="24"/>
                <w:u w:val="single"/>
              </w:rPr>
              <w:t xml:space="preserve"> </w:t>
            </w:r>
            <w:r>
              <w:rPr>
                <w:sz w:val="24"/>
              </w:rPr>
              <w:t>分</w:t>
            </w:r>
            <w:r>
              <w:rPr>
                <w:sz w:val="24"/>
                <w:u w:val="single"/>
              </w:rPr>
              <w:t xml:space="preserve"> </w:t>
            </w:r>
            <w:r>
              <w:rPr>
                <w:rFonts w:hint="eastAsia"/>
                <w:sz w:val="24"/>
                <w:u w:val="single"/>
              </w:rPr>
              <w:t>41.238</w:t>
            </w:r>
            <w:r>
              <w:rPr>
                <w:sz w:val="24"/>
              </w:rPr>
              <w:t>秒</w:t>
            </w:r>
            <w:r>
              <w:rPr>
                <w:rFonts w:hint="eastAsia"/>
                <w:sz w:val="24"/>
              </w:rPr>
              <w:t>）</w:t>
            </w:r>
          </w:p>
        </w:tc>
      </w:tr>
      <w:tr w14:paraId="7EC7D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290" w:type="dxa"/>
            <w:gridSpan w:val="2"/>
            <w:tcMar>
              <w:top w:w="16" w:type="dxa"/>
              <w:left w:w="16" w:type="dxa"/>
              <w:right w:w="16" w:type="dxa"/>
            </w:tcMar>
            <w:vAlign w:val="center"/>
          </w:tcPr>
          <w:p w14:paraId="70318BE6">
            <w:pPr>
              <w:adjustRightInd w:val="0"/>
              <w:snapToGrid w:val="0"/>
              <w:jc w:val="center"/>
              <w:rPr>
                <w:sz w:val="24"/>
              </w:rPr>
            </w:pPr>
            <w:r>
              <w:rPr>
                <w:sz w:val="24"/>
              </w:rPr>
              <w:t>国民经济</w:t>
            </w:r>
          </w:p>
          <w:p w14:paraId="37D0ED9E">
            <w:pPr>
              <w:adjustRightInd w:val="0"/>
              <w:snapToGrid w:val="0"/>
              <w:jc w:val="center"/>
              <w:rPr>
                <w:sz w:val="24"/>
              </w:rPr>
            </w:pPr>
            <w:r>
              <w:rPr>
                <w:sz w:val="24"/>
              </w:rPr>
              <w:t>行业类别</w:t>
            </w:r>
          </w:p>
        </w:tc>
        <w:tc>
          <w:tcPr>
            <w:tcW w:w="2603" w:type="dxa"/>
            <w:vAlign w:val="center"/>
          </w:tcPr>
          <w:p w14:paraId="65389200">
            <w:pPr>
              <w:pStyle w:val="26"/>
              <w:spacing w:after="0"/>
              <w:ind w:left="0" w:leftChars="0" w:firstLine="0"/>
            </w:pPr>
            <w:r>
              <w:rPr>
                <w:rFonts w:hint="eastAsia"/>
                <w:sz w:val="24"/>
                <w:szCs w:val="24"/>
              </w:rPr>
              <w:t>N7820环境卫生管理</w:t>
            </w:r>
          </w:p>
        </w:tc>
        <w:tc>
          <w:tcPr>
            <w:tcW w:w="2358" w:type="dxa"/>
            <w:vAlign w:val="center"/>
          </w:tcPr>
          <w:p w14:paraId="4645EE67">
            <w:pPr>
              <w:adjustRightInd w:val="0"/>
              <w:snapToGrid w:val="0"/>
              <w:jc w:val="center"/>
              <w:rPr>
                <w:sz w:val="24"/>
              </w:rPr>
            </w:pPr>
            <w:bookmarkStart w:id="1" w:name="_Hlk49843745"/>
            <w:r>
              <w:rPr>
                <w:sz w:val="24"/>
              </w:rPr>
              <w:t>建设项目</w:t>
            </w:r>
          </w:p>
          <w:p w14:paraId="03D7CE8C">
            <w:pPr>
              <w:adjustRightInd w:val="0"/>
              <w:snapToGrid w:val="0"/>
              <w:jc w:val="center"/>
              <w:rPr>
                <w:sz w:val="24"/>
              </w:rPr>
            </w:pPr>
            <w:r>
              <w:rPr>
                <w:sz w:val="24"/>
              </w:rPr>
              <w:t>行业类别</w:t>
            </w:r>
            <w:bookmarkEnd w:id="1"/>
          </w:p>
        </w:tc>
        <w:tc>
          <w:tcPr>
            <w:tcW w:w="3249" w:type="dxa"/>
            <w:vAlign w:val="center"/>
          </w:tcPr>
          <w:p w14:paraId="091B7E45">
            <w:pPr>
              <w:widowControl/>
              <w:jc w:val="left"/>
              <w:rPr>
                <w:sz w:val="24"/>
              </w:rPr>
            </w:pPr>
            <w:r>
              <w:rPr>
                <w:rFonts w:hint="eastAsia"/>
                <w:color w:val="000000"/>
                <w:kern w:val="0"/>
                <w:sz w:val="24"/>
                <w:lang w:bidi="ar"/>
              </w:rPr>
              <w:t>四十八、公共设施管理业，105、生活垃圾（含餐厨废弃物）转运站</w:t>
            </w:r>
          </w:p>
        </w:tc>
      </w:tr>
      <w:tr w14:paraId="0C062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290" w:type="dxa"/>
            <w:gridSpan w:val="2"/>
            <w:tcMar>
              <w:top w:w="16" w:type="dxa"/>
              <w:left w:w="16" w:type="dxa"/>
              <w:right w:w="16" w:type="dxa"/>
            </w:tcMar>
            <w:vAlign w:val="center"/>
          </w:tcPr>
          <w:p w14:paraId="53057141">
            <w:pPr>
              <w:adjustRightInd w:val="0"/>
              <w:snapToGrid w:val="0"/>
              <w:jc w:val="center"/>
              <w:rPr>
                <w:sz w:val="24"/>
              </w:rPr>
            </w:pPr>
            <w:r>
              <w:rPr>
                <w:sz w:val="24"/>
              </w:rPr>
              <w:t>建设性质</w:t>
            </w:r>
          </w:p>
        </w:tc>
        <w:tc>
          <w:tcPr>
            <w:tcW w:w="2603" w:type="dxa"/>
            <w:vAlign w:val="center"/>
          </w:tcPr>
          <w:p w14:paraId="12D6A0DC">
            <w:pPr>
              <w:jc w:val="left"/>
              <w:rPr>
                <w:sz w:val="24"/>
              </w:rPr>
            </w:pPr>
            <w:r>
              <w:rPr>
                <w:rFonts w:hint="eastAsia"/>
                <w:sz w:val="24"/>
              </w:rPr>
              <w:t>☑</w:t>
            </w:r>
            <w:r>
              <w:rPr>
                <w:sz w:val="24"/>
              </w:rPr>
              <w:t>新建（迁建</w:t>
            </w:r>
            <w:r>
              <w:rPr>
                <w:rFonts w:hint="eastAsia"/>
                <w:sz w:val="24"/>
              </w:rPr>
              <w:t>）</w:t>
            </w:r>
          </w:p>
          <w:p w14:paraId="4EE5CE05">
            <w:pPr>
              <w:jc w:val="left"/>
              <w:rPr>
                <w:sz w:val="24"/>
              </w:rPr>
            </w:pPr>
            <w:r>
              <w:rPr>
                <w:sz w:val="24"/>
              </w:rPr>
              <w:t>□改建</w:t>
            </w:r>
          </w:p>
          <w:p w14:paraId="611D7533">
            <w:pPr>
              <w:jc w:val="left"/>
              <w:rPr>
                <w:sz w:val="24"/>
              </w:rPr>
            </w:pPr>
            <w:r>
              <w:rPr>
                <w:sz w:val="24"/>
              </w:rPr>
              <w:t>□扩建</w:t>
            </w:r>
          </w:p>
          <w:p w14:paraId="42260822">
            <w:pPr>
              <w:jc w:val="left"/>
              <w:rPr>
                <w:sz w:val="24"/>
              </w:rPr>
            </w:pPr>
            <w:r>
              <w:rPr>
                <w:sz w:val="24"/>
              </w:rPr>
              <w:t>□技术改造</w:t>
            </w:r>
          </w:p>
        </w:tc>
        <w:tc>
          <w:tcPr>
            <w:tcW w:w="2358" w:type="dxa"/>
            <w:vAlign w:val="center"/>
          </w:tcPr>
          <w:p w14:paraId="4812DBB0">
            <w:pPr>
              <w:adjustRightInd w:val="0"/>
              <w:snapToGrid w:val="0"/>
              <w:jc w:val="center"/>
              <w:rPr>
                <w:sz w:val="24"/>
              </w:rPr>
            </w:pPr>
            <w:r>
              <w:rPr>
                <w:sz w:val="24"/>
              </w:rPr>
              <w:t>建设项目</w:t>
            </w:r>
          </w:p>
          <w:p w14:paraId="1682D8E4">
            <w:pPr>
              <w:adjustRightInd w:val="0"/>
              <w:snapToGrid w:val="0"/>
              <w:jc w:val="center"/>
              <w:rPr>
                <w:sz w:val="24"/>
              </w:rPr>
            </w:pPr>
            <w:r>
              <w:rPr>
                <w:sz w:val="24"/>
              </w:rPr>
              <w:t>申报情形</w:t>
            </w:r>
          </w:p>
        </w:tc>
        <w:tc>
          <w:tcPr>
            <w:tcW w:w="3249" w:type="dxa"/>
            <w:vAlign w:val="center"/>
          </w:tcPr>
          <w:p w14:paraId="34C75029">
            <w:pPr>
              <w:jc w:val="left"/>
              <w:rPr>
                <w:sz w:val="24"/>
              </w:rPr>
            </w:pPr>
            <w:r>
              <w:rPr>
                <w:sz w:val="24"/>
              </w:rPr>
              <w:t xml:space="preserve">☑首次申报项目             </w:t>
            </w:r>
          </w:p>
          <w:p w14:paraId="5D5B0A9C">
            <w:pPr>
              <w:jc w:val="left"/>
              <w:rPr>
                <w:sz w:val="24"/>
              </w:rPr>
            </w:pPr>
            <w:r>
              <w:rPr>
                <w:sz w:val="24"/>
              </w:rPr>
              <w:t>□不予批准后再次申报项目</w:t>
            </w:r>
          </w:p>
          <w:p w14:paraId="08B2FB16">
            <w:pPr>
              <w:jc w:val="left"/>
              <w:rPr>
                <w:sz w:val="24"/>
              </w:rPr>
            </w:pPr>
            <w:r>
              <w:rPr>
                <w:sz w:val="24"/>
              </w:rPr>
              <w:t xml:space="preserve">□超五年重新审核项目     </w:t>
            </w:r>
          </w:p>
          <w:p w14:paraId="55572A7F">
            <w:pPr>
              <w:jc w:val="left"/>
              <w:rPr>
                <w:sz w:val="24"/>
              </w:rPr>
            </w:pPr>
            <w:r>
              <w:rPr>
                <w:sz w:val="24"/>
              </w:rPr>
              <w:t>□重大变动重新报批项目</w:t>
            </w:r>
          </w:p>
        </w:tc>
      </w:tr>
      <w:tr w14:paraId="2B2F3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290" w:type="dxa"/>
            <w:gridSpan w:val="2"/>
            <w:tcMar>
              <w:top w:w="16" w:type="dxa"/>
              <w:left w:w="16" w:type="dxa"/>
              <w:right w:w="16" w:type="dxa"/>
            </w:tcMar>
            <w:vAlign w:val="center"/>
          </w:tcPr>
          <w:p w14:paraId="638AB4E3">
            <w:pPr>
              <w:adjustRightInd w:val="0"/>
              <w:snapToGrid w:val="0"/>
              <w:jc w:val="center"/>
              <w:rPr>
                <w:sz w:val="24"/>
              </w:rPr>
            </w:pPr>
            <w:r>
              <w:rPr>
                <w:sz w:val="24"/>
              </w:rPr>
              <w:t>项目审批（核准/备案</w:t>
            </w:r>
            <w:r>
              <w:rPr>
                <w:rFonts w:hint="eastAsia"/>
                <w:sz w:val="24"/>
              </w:rPr>
              <w:t>）</w:t>
            </w:r>
            <w:r>
              <w:rPr>
                <w:sz w:val="24"/>
              </w:rPr>
              <w:t>部门（选填</w:t>
            </w:r>
            <w:r>
              <w:rPr>
                <w:rFonts w:hint="eastAsia"/>
                <w:sz w:val="24"/>
              </w:rPr>
              <w:t>）</w:t>
            </w:r>
          </w:p>
        </w:tc>
        <w:tc>
          <w:tcPr>
            <w:tcW w:w="2603" w:type="dxa"/>
            <w:vAlign w:val="center"/>
          </w:tcPr>
          <w:p w14:paraId="5B4A4932">
            <w:pPr>
              <w:adjustRightInd w:val="0"/>
              <w:snapToGrid w:val="0"/>
              <w:jc w:val="center"/>
              <w:rPr>
                <w:sz w:val="24"/>
              </w:rPr>
            </w:pPr>
            <w:r>
              <w:rPr>
                <w:rFonts w:hint="eastAsia"/>
                <w:sz w:val="24"/>
              </w:rPr>
              <w:t>达州市发展和改革委员会</w:t>
            </w:r>
          </w:p>
        </w:tc>
        <w:tc>
          <w:tcPr>
            <w:tcW w:w="2358" w:type="dxa"/>
            <w:vAlign w:val="center"/>
          </w:tcPr>
          <w:p w14:paraId="4BE6F01C">
            <w:pPr>
              <w:adjustRightInd w:val="0"/>
              <w:snapToGrid w:val="0"/>
              <w:jc w:val="center"/>
              <w:rPr>
                <w:sz w:val="24"/>
              </w:rPr>
            </w:pPr>
            <w:r>
              <w:rPr>
                <w:sz w:val="24"/>
              </w:rPr>
              <w:t>项目审批（核准/</w:t>
            </w:r>
          </w:p>
          <w:p w14:paraId="7596400E">
            <w:pPr>
              <w:adjustRightInd w:val="0"/>
              <w:snapToGrid w:val="0"/>
              <w:jc w:val="center"/>
              <w:rPr>
                <w:sz w:val="24"/>
              </w:rPr>
            </w:pPr>
            <w:r>
              <w:rPr>
                <w:sz w:val="24"/>
              </w:rPr>
              <w:t>备案</w:t>
            </w:r>
            <w:r>
              <w:rPr>
                <w:rFonts w:hint="eastAsia"/>
                <w:sz w:val="24"/>
              </w:rPr>
              <w:t>）</w:t>
            </w:r>
            <w:r>
              <w:rPr>
                <w:sz w:val="24"/>
              </w:rPr>
              <w:t>文号（选填</w:t>
            </w:r>
            <w:r>
              <w:rPr>
                <w:rFonts w:hint="eastAsia"/>
                <w:sz w:val="24"/>
              </w:rPr>
              <w:t>）</w:t>
            </w:r>
          </w:p>
        </w:tc>
        <w:tc>
          <w:tcPr>
            <w:tcW w:w="3249" w:type="dxa"/>
            <w:vAlign w:val="center"/>
          </w:tcPr>
          <w:p w14:paraId="202449C8">
            <w:pPr>
              <w:adjustRightInd w:val="0"/>
              <w:snapToGrid w:val="0"/>
              <w:jc w:val="center"/>
              <w:rPr>
                <w:sz w:val="24"/>
              </w:rPr>
            </w:pPr>
            <w:r>
              <w:rPr>
                <w:rFonts w:hint="eastAsia"/>
                <w:sz w:val="24"/>
              </w:rPr>
              <w:t>达市发改审〔2025〕19号</w:t>
            </w:r>
          </w:p>
        </w:tc>
      </w:tr>
      <w:tr w14:paraId="2D968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4D90AA9C">
            <w:pPr>
              <w:adjustRightInd w:val="0"/>
              <w:snapToGrid w:val="0"/>
              <w:jc w:val="center"/>
              <w:rPr>
                <w:sz w:val="24"/>
              </w:rPr>
            </w:pPr>
            <w:r>
              <w:rPr>
                <w:sz w:val="24"/>
              </w:rPr>
              <w:t>总投资（万元</w:t>
            </w:r>
            <w:r>
              <w:rPr>
                <w:rFonts w:hint="eastAsia"/>
                <w:sz w:val="24"/>
              </w:rPr>
              <w:t>）</w:t>
            </w:r>
          </w:p>
        </w:tc>
        <w:tc>
          <w:tcPr>
            <w:tcW w:w="2603" w:type="dxa"/>
            <w:vAlign w:val="center"/>
          </w:tcPr>
          <w:p w14:paraId="41EDF013">
            <w:pPr>
              <w:adjustRightInd w:val="0"/>
              <w:snapToGrid w:val="0"/>
              <w:jc w:val="center"/>
              <w:rPr>
                <w:sz w:val="24"/>
              </w:rPr>
            </w:pPr>
            <w:r>
              <w:rPr>
                <w:rFonts w:hint="eastAsia"/>
                <w:sz w:val="24"/>
              </w:rPr>
              <w:t>2460.19</w:t>
            </w:r>
          </w:p>
        </w:tc>
        <w:tc>
          <w:tcPr>
            <w:tcW w:w="2358" w:type="dxa"/>
            <w:tcMar>
              <w:top w:w="16" w:type="dxa"/>
              <w:left w:w="16" w:type="dxa"/>
              <w:right w:w="16" w:type="dxa"/>
            </w:tcMar>
            <w:vAlign w:val="center"/>
          </w:tcPr>
          <w:p w14:paraId="601FD4BA">
            <w:pPr>
              <w:adjustRightInd w:val="0"/>
              <w:snapToGrid w:val="0"/>
              <w:jc w:val="center"/>
              <w:rPr>
                <w:sz w:val="24"/>
              </w:rPr>
            </w:pPr>
            <w:r>
              <w:rPr>
                <w:sz w:val="24"/>
              </w:rPr>
              <w:t>环保投资（万元</w:t>
            </w:r>
            <w:r>
              <w:rPr>
                <w:rFonts w:hint="eastAsia"/>
                <w:sz w:val="24"/>
              </w:rPr>
              <w:t>）</w:t>
            </w:r>
          </w:p>
        </w:tc>
        <w:tc>
          <w:tcPr>
            <w:tcW w:w="3249" w:type="dxa"/>
            <w:vAlign w:val="center"/>
          </w:tcPr>
          <w:p w14:paraId="4030DCE1">
            <w:pPr>
              <w:adjustRightInd w:val="0"/>
              <w:snapToGrid w:val="0"/>
              <w:jc w:val="center"/>
              <w:rPr>
                <w:sz w:val="24"/>
              </w:rPr>
            </w:pPr>
            <w:r>
              <w:rPr>
                <w:rFonts w:hint="eastAsia"/>
                <w:sz w:val="24"/>
              </w:rPr>
              <w:t>373.3</w:t>
            </w:r>
          </w:p>
        </w:tc>
      </w:tr>
      <w:tr w14:paraId="0F859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01CC8366">
            <w:pPr>
              <w:adjustRightInd w:val="0"/>
              <w:snapToGrid w:val="0"/>
              <w:jc w:val="center"/>
              <w:rPr>
                <w:sz w:val="24"/>
              </w:rPr>
            </w:pPr>
            <w:r>
              <w:rPr>
                <w:sz w:val="24"/>
              </w:rPr>
              <w:t>环保投资占比（%</w:t>
            </w:r>
            <w:r>
              <w:rPr>
                <w:rFonts w:hint="eastAsia"/>
                <w:sz w:val="24"/>
              </w:rPr>
              <w:t>）</w:t>
            </w:r>
          </w:p>
        </w:tc>
        <w:tc>
          <w:tcPr>
            <w:tcW w:w="2603" w:type="dxa"/>
            <w:vAlign w:val="center"/>
          </w:tcPr>
          <w:p w14:paraId="1DD98BD1">
            <w:pPr>
              <w:adjustRightInd w:val="0"/>
              <w:snapToGrid w:val="0"/>
              <w:jc w:val="center"/>
              <w:rPr>
                <w:sz w:val="24"/>
              </w:rPr>
            </w:pPr>
            <w:r>
              <w:rPr>
                <w:rFonts w:hint="eastAsia"/>
                <w:sz w:val="24"/>
              </w:rPr>
              <w:t>15.2</w:t>
            </w:r>
          </w:p>
        </w:tc>
        <w:tc>
          <w:tcPr>
            <w:tcW w:w="2358" w:type="dxa"/>
            <w:tcMar>
              <w:top w:w="16" w:type="dxa"/>
              <w:left w:w="16" w:type="dxa"/>
              <w:right w:w="16" w:type="dxa"/>
            </w:tcMar>
            <w:vAlign w:val="center"/>
          </w:tcPr>
          <w:p w14:paraId="3DD58767">
            <w:pPr>
              <w:adjustRightInd w:val="0"/>
              <w:snapToGrid w:val="0"/>
              <w:jc w:val="center"/>
              <w:rPr>
                <w:sz w:val="24"/>
              </w:rPr>
            </w:pPr>
            <w:r>
              <w:rPr>
                <w:sz w:val="24"/>
              </w:rPr>
              <w:t>施工工期</w:t>
            </w:r>
          </w:p>
        </w:tc>
        <w:tc>
          <w:tcPr>
            <w:tcW w:w="3249" w:type="dxa"/>
            <w:vAlign w:val="center"/>
          </w:tcPr>
          <w:p w14:paraId="43B846EB">
            <w:pPr>
              <w:adjustRightInd w:val="0"/>
              <w:snapToGrid w:val="0"/>
              <w:jc w:val="center"/>
              <w:rPr>
                <w:sz w:val="24"/>
              </w:rPr>
            </w:pPr>
            <w:r>
              <w:rPr>
                <w:rFonts w:hint="eastAsia"/>
                <w:sz w:val="24"/>
              </w:rPr>
              <w:t>24个月</w:t>
            </w:r>
          </w:p>
        </w:tc>
      </w:tr>
      <w:tr w14:paraId="6469A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290" w:type="dxa"/>
            <w:gridSpan w:val="2"/>
            <w:tcMar>
              <w:top w:w="16" w:type="dxa"/>
              <w:left w:w="16" w:type="dxa"/>
              <w:right w:w="16" w:type="dxa"/>
            </w:tcMar>
            <w:vAlign w:val="center"/>
          </w:tcPr>
          <w:p w14:paraId="120BCE29">
            <w:pPr>
              <w:adjustRightInd w:val="0"/>
              <w:snapToGrid w:val="0"/>
              <w:jc w:val="center"/>
              <w:rPr>
                <w:sz w:val="24"/>
              </w:rPr>
            </w:pPr>
            <w:r>
              <w:rPr>
                <w:sz w:val="24"/>
              </w:rPr>
              <w:t>是否开工建设</w:t>
            </w:r>
          </w:p>
        </w:tc>
        <w:tc>
          <w:tcPr>
            <w:tcW w:w="2603" w:type="dxa"/>
            <w:vAlign w:val="center"/>
          </w:tcPr>
          <w:p w14:paraId="69F0ACCB">
            <w:pPr>
              <w:adjustRightInd w:val="0"/>
              <w:snapToGrid w:val="0"/>
              <w:rPr>
                <w:sz w:val="24"/>
              </w:rPr>
            </w:pPr>
            <w:r>
              <w:rPr>
                <w:sz w:val="24"/>
              </w:rPr>
              <w:t>☑否</w:t>
            </w:r>
          </w:p>
          <w:p w14:paraId="5121E6E6">
            <w:pPr>
              <w:adjustRightInd w:val="0"/>
              <w:snapToGrid w:val="0"/>
              <w:rPr>
                <w:sz w:val="24"/>
              </w:rPr>
            </w:pPr>
            <w:r>
              <w:rPr>
                <w:sz w:val="24"/>
              </w:rPr>
              <w:t>□是：</w:t>
            </w:r>
            <w:r>
              <w:rPr>
                <w:sz w:val="24"/>
                <w:u w:val="single"/>
              </w:rPr>
              <w:t xml:space="preserve">             </w:t>
            </w:r>
          </w:p>
        </w:tc>
        <w:tc>
          <w:tcPr>
            <w:tcW w:w="2358" w:type="dxa"/>
            <w:tcMar>
              <w:top w:w="16" w:type="dxa"/>
              <w:left w:w="16" w:type="dxa"/>
              <w:right w:w="16" w:type="dxa"/>
            </w:tcMar>
            <w:vAlign w:val="center"/>
          </w:tcPr>
          <w:p w14:paraId="1CA3E8C3">
            <w:pPr>
              <w:adjustRightInd w:val="0"/>
              <w:snapToGrid w:val="0"/>
              <w:jc w:val="center"/>
              <w:rPr>
                <w:spacing w:val="-6"/>
                <w:sz w:val="24"/>
              </w:rPr>
            </w:pPr>
            <w:r>
              <w:rPr>
                <w:spacing w:val="-6"/>
                <w:sz w:val="24"/>
              </w:rPr>
              <w:t>用地（用海</w:t>
            </w:r>
            <w:r>
              <w:rPr>
                <w:rFonts w:hint="eastAsia"/>
                <w:spacing w:val="-6"/>
                <w:sz w:val="24"/>
              </w:rPr>
              <w:t>）</w:t>
            </w:r>
          </w:p>
          <w:p w14:paraId="57254732">
            <w:pPr>
              <w:adjustRightInd w:val="0"/>
              <w:snapToGrid w:val="0"/>
              <w:jc w:val="center"/>
              <w:rPr>
                <w:sz w:val="24"/>
              </w:rPr>
            </w:pPr>
            <w:r>
              <w:rPr>
                <w:spacing w:val="-6"/>
                <w:sz w:val="24"/>
              </w:rPr>
              <w:t>面积（m</w:t>
            </w:r>
            <w:r>
              <w:rPr>
                <w:spacing w:val="-6"/>
                <w:sz w:val="24"/>
                <w:vertAlign w:val="superscript"/>
              </w:rPr>
              <w:t>2</w:t>
            </w:r>
            <w:r>
              <w:rPr>
                <w:rFonts w:hint="eastAsia"/>
                <w:spacing w:val="-6"/>
                <w:sz w:val="24"/>
              </w:rPr>
              <w:t>）</w:t>
            </w:r>
          </w:p>
        </w:tc>
        <w:tc>
          <w:tcPr>
            <w:tcW w:w="3249" w:type="dxa"/>
            <w:vAlign w:val="center"/>
          </w:tcPr>
          <w:p w14:paraId="4C293882">
            <w:pPr>
              <w:adjustRightInd w:val="0"/>
              <w:snapToGrid w:val="0"/>
              <w:jc w:val="center"/>
              <w:rPr>
                <w:sz w:val="24"/>
                <w:vertAlign w:val="superscript"/>
              </w:rPr>
            </w:pPr>
            <w:r>
              <w:rPr>
                <w:rFonts w:hint="eastAsia"/>
                <w:sz w:val="24"/>
              </w:rPr>
              <w:t>6078</w:t>
            </w:r>
          </w:p>
        </w:tc>
      </w:tr>
      <w:tr w14:paraId="52CAC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44" w:type="dxa"/>
            <w:vAlign w:val="center"/>
          </w:tcPr>
          <w:p w14:paraId="44A87C48">
            <w:pPr>
              <w:autoSpaceDE w:val="0"/>
              <w:autoSpaceDN w:val="0"/>
              <w:adjustRightInd w:val="0"/>
              <w:snapToGrid w:val="0"/>
              <w:jc w:val="center"/>
              <w:rPr>
                <w:kern w:val="0"/>
                <w:sz w:val="24"/>
              </w:rPr>
            </w:pPr>
            <w:r>
              <w:rPr>
                <w:kern w:val="0"/>
                <w:sz w:val="24"/>
              </w:rPr>
              <w:t>专项评价设置情况</w:t>
            </w:r>
          </w:p>
        </w:tc>
        <w:tc>
          <w:tcPr>
            <w:tcW w:w="8856" w:type="dxa"/>
            <w:gridSpan w:val="4"/>
            <w:vAlign w:val="center"/>
          </w:tcPr>
          <w:p w14:paraId="0EB49CD1">
            <w:pPr>
              <w:spacing w:before="120" w:beforeLines="50" w:line="360" w:lineRule="auto"/>
              <w:ind w:firstLine="480" w:firstLineChars="200"/>
              <w:rPr>
                <w:sz w:val="24"/>
              </w:rPr>
            </w:pPr>
            <w:r>
              <w:rPr>
                <w:sz w:val="24"/>
              </w:rPr>
              <w:t>根据《建设项目环境影响报告表编制技术指南（污染影响类</w:t>
            </w:r>
            <w:r>
              <w:rPr>
                <w:rFonts w:hint="eastAsia"/>
                <w:sz w:val="24"/>
              </w:rPr>
              <w:t>）</w:t>
            </w:r>
            <w:r>
              <w:rPr>
                <w:sz w:val="24"/>
              </w:rPr>
              <w:t>（试行</w:t>
            </w:r>
            <w:r>
              <w:rPr>
                <w:rFonts w:hint="eastAsia"/>
                <w:sz w:val="24"/>
              </w:rPr>
              <w:t>）</w:t>
            </w:r>
            <w:r>
              <w:rPr>
                <w:sz w:val="24"/>
              </w:rPr>
              <w:t>》，</w:t>
            </w:r>
            <w:r>
              <w:rPr>
                <w:rFonts w:hint="eastAsia"/>
                <w:sz w:val="24"/>
              </w:rPr>
              <w:t>本项目专项评价设置情况见下表</w:t>
            </w:r>
            <w:r>
              <w:rPr>
                <w:sz w:val="24"/>
              </w:rPr>
              <w:t>：</w:t>
            </w:r>
          </w:p>
          <w:p w14:paraId="41F0BC6B">
            <w:pPr>
              <w:jc w:val="center"/>
              <w:rPr>
                <w:b/>
                <w:bCs/>
                <w:szCs w:val="21"/>
              </w:rPr>
            </w:pPr>
            <w:r>
              <w:rPr>
                <w:rFonts w:hint="eastAsia"/>
                <w:b/>
                <w:bCs/>
                <w:szCs w:val="21"/>
              </w:rPr>
              <w:t>表1-1  专项评价设置表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3588"/>
              <w:gridCol w:w="3537"/>
            </w:tblGrid>
            <w:tr w14:paraId="23F14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288" w:type="dxa"/>
                  <w:vAlign w:val="center"/>
                </w:tcPr>
                <w:p w14:paraId="4B791B14">
                  <w:pPr>
                    <w:pStyle w:val="67"/>
                    <w:widowControl/>
                    <w:spacing w:line="240" w:lineRule="auto"/>
                    <w:ind w:firstLine="0" w:firstLineChars="0"/>
                    <w:jc w:val="center"/>
                    <w:rPr>
                      <w:rFonts w:eastAsia="宋体"/>
                      <w:sz w:val="21"/>
                    </w:rPr>
                  </w:pPr>
                  <w:r>
                    <w:rPr>
                      <w:rFonts w:eastAsia="宋体"/>
                      <w:sz w:val="21"/>
                    </w:rPr>
                    <w:t>专项评价的类别</w:t>
                  </w:r>
                </w:p>
              </w:tc>
              <w:tc>
                <w:tcPr>
                  <w:tcW w:w="3588" w:type="dxa"/>
                  <w:vAlign w:val="center"/>
                </w:tcPr>
                <w:p w14:paraId="0010AFAD">
                  <w:pPr>
                    <w:pStyle w:val="67"/>
                    <w:widowControl/>
                    <w:spacing w:line="240" w:lineRule="auto"/>
                    <w:ind w:firstLine="0" w:firstLineChars="0"/>
                    <w:jc w:val="center"/>
                    <w:rPr>
                      <w:rFonts w:eastAsia="宋体"/>
                      <w:sz w:val="21"/>
                    </w:rPr>
                  </w:pPr>
                  <w:r>
                    <w:rPr>
                      <w:rFonts w:eastAsia="宋体"/>
                      <w:sz w:val="21"/>
                    </w:rPr>
                    <w:t>设置原则</w:t>
                  </w:r>
                </w:p>
              </w:tc>
              <w:tc>
                <w:tcPr>
                  <w:tcW w:w="3537" w:type="dxa"/>
                  <w:vAlign w:val="center"/>
                </w:tcPr>
                <w:p w14:paraId="1B30386C">
                  <w:pPr>
                    <w:pStyle w:val="67"/>
                    <w:widowControl/>
                    <w:spacing w:line="240" w:lineRule="auto"/>
                    <w:ind w:firstLine="0" w:firstLineChars="0"/>
                    <w:jc w:val="center"/>
                    <w:rPr>
                      <w:rFonts w:eastAsia="宋体"/>
                      <w:sz w:val="21"/>
                    </w:rPr>
                  </w:pPr>
                  <w:r>
                    <w:rPr>
                      <w:rFonts w:eastAsia="宋体"/>
                      <w:sz w:val="21"/>
                    </w:rPr>
                    <w:t>本项目情况</w:t>
                  </w:r>
                </w:p>
              </w:tc>
            </w:tr>
            <w:tr w14:paraId="7786F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88" w:type="dxa"/>
                  <w:vAlign w:val="center"/>
                </w:tcPr>
                <w:p w14:paraId="79324E3E">
                  <w:pPr>
                    <w:pStyle w:val="67"/>
                    <w:widowControl/>
                    <w:spacing w:line="240" w:lineRule="auto"/>
                    <w:ind w:firstLine="0" w:firstLineChars="0"/>
                    <w:jc w:val="center"/>
                    <w:rPr>
                      <w:rFonts w:eastAsia="宋体"/>
                      <w:sz w:val="21"/>
                    </w:rPr>
                  </w:pPr>
                  <w:r>
                    <w:rPr>
                      <w:rFonts w:eastAsia="宋体"/>
                      <w:sz w:val="21"/>
                    </w:rPr>
                    <w:t>大气</w:t>
                  </w:r>
                </w:p>
              </w:tc>
              <w:tc>
                <w:tcPr>
                  <w:tcW w:w="3588" w:type="dxa"/>
                  <w:vAlign w:val="center"/>
                </w:tcPr>
                <w:p w14:paraId="19F08A7A">
                  <w:pPr>
                    <w:pStyle w:val="67"/>
                    <w:widowControl/>
                    <w:spacing w:line="240" w:lineRule="auto"/>
                    <w:ind w:firstLine="0" w:firstLineChars="0"/>
                    <w:jc w:val="center"/>
                    <w:rPr>
                      <w:rFonts w:eastAsia="宋体"/>
                      <w:sz w:val="21"/>
                    </w:rPr>
                  </w:pPr>
                  <w:r>
                    <w:rPr>
                      <w:rFonts w:eastAsia="宋体"/>
                      <w:sz w:val="21"/>
                    </w:rPr>
                    <w:t>排放废气含有毒有害污染物、二噁英、苯并[a]芘、氰化物、氯气且厂界外500米范围内有环境空气保护目标的建设项目</w:t>
                  </w:r>
                </w:p>
              </w:tc>
              <w:tc>
                <w:tcPr>
                  <w:tcW w:w="3537" w:type="dxa"/>
                  <w:vAlign w:val="center"/>
                </w:tcPr>
                <w:p w14:paraId="3BFD17CD">
                  <w:pPr>
                    <w:pStyle w:val="67"/>
                    <w:widowControl/>
                    <w:spacing w:line="240" w:lineRule="auto"/>
                    <w:ind w:firstLine="0" w:firstLineChars="0"/>
                    <w:jc w:val="center"/>
                    <w:rPr>
                      <w:rFonts w:eastAsia="宋体"/>
                      <w:sz w:val="21"/>
                    </w:rPr>
                  </w:pPr>
                  <w:r>
                    <w:rPr>
                      <w:rFonts w:hint="eastAsia" w:eastAsia="宋体"/>
                      <w:sz w:val="21"/>
                      <w:szCs w:val="24"/>
                    </w:rPr>
                    <w:t>本项目涉及的废气污染物主要为氨、硫化氢、颗粒物，不涉及所述有毒有害污染物等。</w:t>
                  </w:r>
                  <w:r>
                    <w:rPr>
                      <w:rFonts w:hint="eastAsia" w:eastAsia="宋体"/>
                      <w:b/>
                      <w:bCs/>
                      <w:sz w:val="21"/>
                      <w:szCs w:val="24"/>
                    </w:rPr>
                    <w:t>故不设大气专项评价。</w:t>
                  </w:r>
                </w:p>
              </w:tc>
            </w:tr>
            <w:tr w14:paraId="238BD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8" w:type="dxa"/>
                  <w:vAlign w:val="center"/>
                </w:tcPr>
                <w:p w14:paraId="0FC376CC">
                  <w:pPr>
                    <w:pStyle w:val="67"/>
                    <w:widowControl/>
                    <w:spacing w:line="240" w:lineRule="auto"/>
                    <w:ind w:firstLine="0" w:firstLineChars="0"/>
                    <w:jc w:val="center"/>
                    <w:rPr>
                      <w:rFonts w:eastAsia="宋体"/>
                      <w:sz w:val="21"/>
                    </w:rPr>
                  </w:pPr>
                  <w:r>
                    <w:rPr>
                      <w:rFonts w:eastAsia="宋体"/>
                      <w:sz w:val="21"/>
                    </w:rPr>
                    <w:t>地表水</w:t>
                  </w:r>
                </w:p>
              </w:tc>
              <w:tc>
                <w:tcPr>
                  <w:tcW w:w="3588" w:type="dxa"/>
                  <w:vAlign w:val="center"/>
                </w:tcPr>
                <w:p w14:paraId="58B12070">
                  <w:pPr>
                    <w:pStyle w:val="67"/>
                    <w:widowControl/>
                    <w:spacing w:line="240" w:lineRule="auto"/>
                    <w:ind w:firstLine="0" w:firstLineChars="0"/>
                    <w:jc w:val="center"/>
                    <w:rPr>
                      <w:rFonts w:eastAsia="宋体"/>
                      <w:sz w:val="21"/>
                    </w:rPr>
                  </w:pPr>
                  <w:r>
                    <w:rPr>
                      <w:rFonts w:eastAsia="宋体"/>
                      <w:sz w:val="21"/>
                    </w:rPr>
                    <w:t>新增工业废水直排建设项目（槽罐车外送污水处理厂的除外</w:t>
                  </w:r>
                  <w:r>
                    <w:rPr>
                      <w:rFonts w:hint="eastAsia" w:eastAsia="宋体"/>
                      <w:sz w:val="21"/>
                    </w:rPr>
                    <w:t>）</w:t>
                  </w:r>
                  <w:r>
                    <w:rPr>
                      <w:rFonts w:eastAsia="宋体"/>
                      <w:sz w:val="21"/>
                    </w:rPr>
                    <w:t>；新增废水直排的污水集中处理厂</w:t>
                  </w:r>
                </w:p>
              </w:tc>
              <w:tc>
                <w:tcPr>
                  <w:tcW w:w="3537" w:type="dxa"/>
                  <w:vAlign w:val="center"/>
                </w:tcPr>
                <w:p w14:paraId="1E364899">
                  <w:pPr>
                    <w:pStyle w:val="67"/>
                    <w:widowControl/>
                    <w:spacing w:line="240" w:lineRule="auto"/>
                    <w:ind w:firstLine="0" w:firstLineChars="0"/>
                    <w:jc w:val="center"/>
                    <w:rPr>
                      <w:rFonts w:eastAsia="宋体"/>
                      <w:sz w:val="21"/>
                    </w:rPr>
                  </w:pPr>
                  <w:r>
                    <w:rPr>
                      <w:rFonts w:eastAsia="宋体"/>
                      <w:sz w:val="21"/>
                    </w:rPr>
                    <w:t>本项目</w:t>
                  </w:r>
                  <w:r>
                    <w:rPr>
                      <w:rFonts w:hint="eastAsia" w:eastAsia="宋体"/>
                      <w:sz w:val="21"/>
                    </w:rPr>
                    <w:t>渗滤液等生产废水</w:t>
                  </w:r>
                  <w:r>
                    <w:rPr>
                      <w:rFonts w:eastAsia="宋体"/>
                      <w:sz w:val="21"/>
                    </w:rPr>
                    <w:t>经厂区</w:t>
                  </w:r>
                  <w:r>
                    <w:rPr>
                      <w:rFonts w:hint="eastAsia" w:eastAsia="宋体"/>
                      <w:sz w:val="21"/>
                    </w:rPr>
                    <w:t>内污水处理站</w:t>
                  </w:r>
                  <w:r>
                    <w:rPr>
                      <w:rFonts w:eastAsia="宋体"/>
                      <w:sz w:val="21"/>
                    </w:rPr>
                    <w:t>处理达《污水综合排放标准》（GB8978-1996</w:t>
                  </w:r>
                  <w:r>
                    <w:rPr>
                      <w:rFonts w:hint="eastAsia" w:eastAsia="宋体"/>
                      <w:sz w:val="21"/>
                    </w:rPr>
                    <w:t>）</w:t>
                  </w:r>
                  <w:r>
                    <w:rPr>
                      <w:rFonts w:eastAsia="宋体"/>
                      <w:sz w:val="21"/>
                    </w:rPr>
                    <w:t>表4中三级标准后进入</w:t>
                  </w:r>
                  <w:r>
                    <w:rPr>
                      <w:rFonts w:hint="eastAsia" w:eastAsia="宋体"/>
                      <w:sz w:val="21"/>
                    </w:rPr>
                    <w:t>市政</w:t>
                  </w:r>
                  <w:r>
                    <w:rPr>
                      <w:rFonts w:eastAsia="宋体"/>
                      <w:sz w:val="21"/>
                    </w:rPr>
                    <w:t>污水管网，不涉及工业废水直排。</w:t>
                  </w:r>
                  <w:r>
                    <w:rPr>
                      <w:rFonts w:hint="eastAsia" w:eastAsia="宋体"/>
                      <w:b/>
                      <w:bCs/>
                      <w:sz w:val="21"/>
                    </w:rPr>
                    <w:t>故不设地表水专项评价。</w:t>
                  </w:r>
                </w:p>
              </w:tc>
            </w:tr>
            <w:tr w14:paraId="158FD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88" w:type="dxa"/>
                  <w:vAlign w:val="center"/>
                </w:tcPr>
                <w:p w14:paraId="478CF503">
                  <w:pPr>
                    <w:pStyle w:val="67"/>
                    <w:widowControl/>
                    <w:spacing w:line="240" w:lineRule="auto"/>
                    <w:ind w:firstLine="0" w:firstLineChars="0"/>
                    <w:jc w:val="center"/>
                    <w:rPr>
                      <w:rFonts w:eastAsia="宋体"/>
                      <w:sz w:val="21"/>
                    </w:rPr>
                  </w:pPr>
                  <w:r>
                    <w:rPr>
                      <w:rFonts w:eastAsia="宋体"/>
                      <w:sz w:val="21"/>
                    </w:rPr>
                    <w:t>环境风险</w:t>
                  </w:r>
                </w:p>
              </w:tc>
              <w:tc>
                <w:tcPr>
                  <w:tcW w:w="3588" w:type="dxa"/>
                  <w:vAlign w:val="center"/>
                </w:tcPr>
                <w:p w14:paraId="05A060AA">
                  <w:pPr>
                    <w:pStyle w:val="67"/>
                    <w:widowControl/>
                    <w:spacing w:line="240" w:lineRule="auto"/>
                    <w:ind w:firstLine="0" w:firstLineChars="0"/>
                    <w:jc w:val="center"/>
                    <w:rPr>
                      <w:rFonts w:eastAsia="宋体"/>
                      <w:sz w:val="21"/>
                    </w:rPr>
                  </w:pPr>
                  <w:r>
                    <w:rPr>
                      <w:rFonts w:eastAsia="宋体"/>
                      <w:sz w:val="21"/>
                    </w:rPr>
                    <w:t>有毒有害和易燃易爆危险物质存储量超过临界量的建设项目</w:t>
                  </w:r>
                </w:p>
              </w:tc>
              <w:tc>
                <w:tcPr>
                  <w:tcW w:w="3537" w:type="dxa"/>
                  <w:vAlign w:val="center"/>
                </w:tcPr>
                <w:p w14:paraId="74A914CC">
                  <w:pPr>
                    <w:pStyle w:val="67"/>
                    <w:widowControl/>
                    <w:spacing w:line="240" w:lineRule="auto"/>
                    <w:ind w:firstLine="0" w:firstLineChars="0"/>
                    <w:jc w:val="center"/>
                    <w:rPr>
                      <w:rFonts w:eastAsia="宋体"/>
                      <w:sz w:val="21"/>
                    </w:rPr>
                  </w:pPr>
                  <w:r>
                    <w:rPr>
                      <w:rFonts w:hint="eastAsia" w:eastAsia="宋体"/>
                      <w:sz w:val="21"/>
                    </w:rPr>
                    <w:t>本项目不涉及有毒有害和易燃易爆危险物质存储量超过临界量。</w:t>
                  </w:r>
                  <w:r>
                    <w:rPr>
                      <w:rFonts w:hint="eastAsia" w:eastAsia="宋体"/>
                      <w:b/>
                      <w:bCs/>
                      <w:sz w:val="21"/>
                    </w:rPr>
                    <w:t>故不设环境风险专项评价。</w:t>
                  </w:r>
                </w:p>
              </w:tc>
            </w:tr>
            <w:tr w14:paraId="5201F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288" w:type="dxa"/>
                  <w:vAlign w:val="center"/>
                </w:tcPr>
                <w:p w14:paraId="4AE10404">
                  <w:pPr>
                    <w:pStyle w:val="67"/>
                    <w:widowControl/>
                    <w:spacing w:line="240" w:lineRule="auto"/>
                    <w:ind w:firstLine="0" w:firstLineChars="0"/>
                    <w:jc w:val="center"/>
                    <w:rPr>
                      <w:rFonts w:eastAsia="宋体"/>
                      <w:sz w:val="21"/>
                    </w:rPr>
                  </w:pPr>
                  <w:r>
                    <w:rPr>
                      <w:rFonts w:eastAsia="宋体"/>
                      <w:sz w:val="21"/>
                    </w:rPr>
                    <w:t>生态</w:t>
                  </w:r>
                </w:p>
              </w:tc>
              <w:tc>
                <w:tcPr>
                  <w:tcW w:w="3588" w:type="dxa"/>
                  <w:vAlign w:val="center"/>
                </w:tcPr>
                <w:p w14:paraId="3563E220">
                  <w:pPr>
                    <w:pStyle w:val="67"/>
                    <w:widowControl/>
                    <w:spacing w:line="240" w:lineRule="auto"/>
                    <w:ind w:firstLine="0" w:firstLineChars="0"/>
                    <w:jc w:val="center"/>
                    <w:rPr>
                      <w:rFonts w:eastAsia="宋体"/>
                      <w:sz w:val="21"/>
                    </w:rPr>
                  </w:pPr>
                  <w:r>
                    <w:rPr>
                      <w:rFonts w:eastAsia="宋体"/>
                      <w:sz w:val="21"/>
                    </w:rPr>
                    <w:t>取水口下游500米范围内有重要水生生物的自然产卵场、索饵场、越冬场和洄游通道的新增河道取水的污染类建设项目</w:t>
                  </w:r>
                </w:p>
              </w:tc>
              <w:tc>
                <w:tcPr>
                  <w:tcW w:w="3537" w:type="dxa"/>
                  <w:vAlign w:val="center"/>
                </w:tcPr>
                <w:p w14:paraId="53E6A2D7">
                  <w:pPr>
                    <w:pStyle w:val="67"/>
                    <w:widowControl/>
                    <w:spacing w:line="240" w:lineRule="auto"/>
                    <w:ind w:firstLine="0" w:firstLineChars="0"/>
                    <w:jc w:val="center"/>
                    <w:rPr>
                      <w:rFonts w:eastAsia="宋体"/>
                      <w:sz w:val="21"/>
                    </w:rPr>
                  </w:pPr>
                  <w:r>
                    <w:rPr>
                      <w:rFonts w:hint="eastAsia" w:eastAsia="宋体"/>
                      <w:sz w:val="21"/>
                    </w:rPr>
                    <w:t>本项目不涉及地表水、地下水取水口。</w:t>
                  </w:r>
                  <w:r>
                    <w:rPr>
                      <w:rFonts w:hint="eastAsia" w:eastAsia="宋体"/>
                      <w:b/>
                      <w:bCs/>
                      <w:sz w:val="21"/>
                    </w:rPr>
                    <w:t>故不设生态专项评价。</w:t>
                  </w:r>
                </w:p>
              </w:tc>
            </w:tr>
            <w:tr w14:paraId="4FE0C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88" w:type="dxa"/>
                  <w:vAlign w:val="center"/>
                </w:tcPr>
                <w:p w14:paraId="3112BA13">
                  <w:pPr>
                    <w:pStyle w:val="67"/>
                    <w:widowControl/>
                    <w:spacing w:line="240" w:lineRule="auto"/>
                    <w:ind w:firstLine="0" w:firstLineChars="0"/>
                    <w:jc w:val="center"/>
                    <w:rPr>
                      <w:rFonts w:eastAsia="宋体"/>
                      <w:sz w:val="21"/>
                    </w:rPr>
                  </w:pPr>
                  <w:r>
                    <w:rPr>
                      <w:rFonts w:eastAsia="宋体"/>
                      <w:sz w:val="21"/>
                    </w:rPr>
                    <w:t>海洋</w:t>
                  </w:r>
                </w:p>
              </w:tc>
              <w:tc>
                <w:tcPr>
                  <w:tcW w:w="3588" w:type="dxa"/>
                  <w:vAlign w:val="center"/>
                </w:tcPr>
                <w:p w14:paraId="36794378">
                  <w:pPr>
                    <w:pStyle w:val="67"/>
                    <w:widowControl/>
                    <w:spacing w:line="240" w:lineRule="auto"/>
                    <w:ind w:firstLine="0" w:firstLineChars="0"/>
                    <w:jc w:val="center"/>
                    <w:rPr>
                      <w:rFonts w:eastAsia="宋体"/>
                      <w:sz w:val="21"/>
                    </w:rPr>
                  </w:pPr>
                  <w:r>
                    <w:rPr>
                      <w:rFonts w:eastAsia="宋体"/>
                      <w:sz w:val="21"/>
                    </w:rPr>
                    <w:t>直接向海排放污染物的海洋工程建设项目</w:t>
                  </w:r>
                </w:p>
              </w:tc>
              <w:tc>
                <w:tcPr>
                  <w:tcW w:w="3537" w:type="dxa"/>
                  <w:vAlign w:val="center"/>
                </w:tcPr>
                <w:p w14:paraId="651E20E4">
                  <w:pPr>
                    <w:pStyle w:val="67"/>
                    <w:widowControl/>
                    <w:spacing w:line="240" w:lineRule="auto"/>
                    <w:ind w:firstLine="0" w:firstLineChars="0"/>
                    <w:jc w:val="center"/>
                    <w:rPr>
                      <w:rFonts w:eastAsia="宋体"/>
                      <w:sz w:val="21"/>
                    </w:rPr>
                  </w:pPr>
                  <w:r>
                    <w:rPr>
                      <w:rFonts w:hint="eastAsia" w:eastAsia="宋体"/>
                      <w:sz w:val="21"/>
                    </w:rPr>
                    <w:t>本项目不属于直接向海排放污染物的海洋工程建设项目。</w:t>
                  </w:r>
                  <w:r>
                    <w:rPr>
                      <w:rFonts w:hint="eastAsia" w:eastAsia="宋体"/>
                      <w:b/>
                      <w:bCs/>
                      <w:sz w:val="21"/>
                    </w:rPr>
                    <w:t>故不设海洋专项评价。</w:t>
                  </w:r>
                </w:p>
              </w:tc>
            </w:tr>
            <w:tr w14:paraId="77E01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413" w:type="dxa"/>
                  <w:gridSpan w:val="3"/>
                  <w:vAlign w:val="center"/>
                </w:tcPr>
                <w:p w14:paraId="7CC8AFDC">
                  <w:pPr>
                    <w:pStyle w:val="67"/>
                    <w:widowControl/>
                    <w:adjustRightInd w:val="0"/>
                    <w:spacing w:line="240" w:lineRule="auto"/>
                    <w:ind w:firstLine="0" w:firstLineChars="0"/>
                    <w:rPr>
                      <w:rFonts w:eastAsia="宋体"/>
                      <w:sz w:val="21"/>
                    </w:rPr>
                  </w:pPr>
                  <w:r>
                    <w:rPr>
                      <w:rFonts w:eastAsia="宋体"/>
                      <w:sz w:val="21"/>
                    </w:rPr>
                    <w:t>注：1.废气中有毒有害污染物指纳入《有毒有害大气污染物名录》的污染物（不包括无排放标准的污染物</w:t>
                  </w:r>
                  <w:r>
                    <w:rPr>
                      <w:rFonts w:hint="eastAsia" w:eastAsia="宋体"/>
                      <w:sz w:val="21"/>
                    </w:rPr>
                    <w:t>）</w:t>
                  </w:r>
                  <w:r>
                    <w:rPr>
                      <w:rFonts w:eastAsia="宋体"/>
                      <w:sz w:val="21"/>
                    </w:rPr>
                    <w:t>。</w:t>
                  </w:r>
                </w:p>
                <w:p w14:paraId="3A0F928B">
                  <w:pPr>
                    <w:pStyle w:val="67"/>
                    <w:widowControl/>
                    <w:adjustRightInd w:val="0"/>
                    <w:spacing w:line="240" w:lineRule="auto"/>
                    <w:ind w:firstLine="420"/>
                    <w:rPr>
                      <w:rFonts w:eastAsia="宋体"/>
                      <w:sz w:val="21"/>
                    </w:rPr>
                  </w:pPr>
                  <w:r>
                    <w:rPr>
                      <w:rFonts w:eastAsia="宋体"/>
                      <w:sz w:val="21"/>
                    </w:rPr>
                    <w:t>2.环境空气保护目标指自然保护区、风景名胜区、居住区、文化区和农村地区中人群较集中的区域。</w:t>
                  </w:r>
                </w:p>
                <w:p w14:paraId="0275AFA6">
                  <w:pPr>
                    <w:pStyle w:val="67"/>
                    <w:widowControl/>
                    <w:adjustRightInd w:val="0"/>
                    <w:spacing w:line="240" w:lineRule="auto"/>
                    <w:ind w:firstLine="420"/>
                    <w:rPr>
                      <w:rFonts w:eastAsia="宋体"/>
                      <w:sz w:val="21"/>
                    </w:rPr>
                  </w:pPr>
                  <w:r>
                    <w:rPr>
                      <w:rFonts w:eastAsia="宋体"/>
                      <w:sz w:val="21"/>
                    </w:rPr>
                    <w:t>3.临界量及其计算方法可参考《建设项目环境风险评价技术导则》（HJ169</w:t>
                  </w:r>
                  <w:r>
                    <w:rPr>
                      <w:rFonts w:hint="eastAsia" w:eastAsia="宋体"/>
                      <w:sz w:val="21"/>
                    </w:rPr>
                    <w:t>）</w:t>
                  </w:r>
                  <w:r>
                    <w:rPr>
                      <w:rFonts w:eastAsia="宋体"/>
                      <w:sz w:val="21"/>
                    </w:rPr>
                    <w:t>附录B、附录C。</w:t>
                  </w:r>
                </w:p>
              </w:tc>
            </w:tr>
          </w:tbl>
          <w:p w14:paraId="6B9BCB15">
            <w:pPr>
              <w:autoSpaceDE w:val="0"/>
              <w:autoSpaceDN w:val="0"/>
              <w:adjustRightInd w:val="0"/>
              <w:snapToGrid w:val="0"/>
              <w:jc w:val="center"/>
              <w:rPr>
                <w:kern w:val="0"/>
                <w:sz w:val="24"/>
              </w:rPr>
            </w:pPr>
          </w:p>
        </w:tc>
      </w:tr>
      <w:tr w14:paraId="458F1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44" w:type="dxa"/>
            <w:vAlign w:val="center"/>
          </w:tcPr>
          <w:p w14:paraId="47EB487A">
            <w:pPr>
              <w:autoSpaceDE w:val="0"/>
              <w:autoSpaceDN w:val="0"/>
              <w:adjustRightInd w:val="0"/>
              <w:snapToGrid w:val="0"/>
              <w:jc w:val="center"/>
              <w:rPr>
                <w:kern w:val="0"/>
                <w:sz w:val="24"/>
              </w:rPr>
            </w:pPr>
            <w:r>
              <w:rPr>
                <w:sz w:val="24"/>
              </w:rPr>
              <w:t>规划情况</w:t>
            </w:r>
          </w:p>
        </w:tc>
        <w:tc>
          <w:tcPr>
            <w:tcW w:w="8856" w:type="dxa"/>
            <w:gridSpan w:val="4"/>
            <w:vAlign w:val="center"/>
          </w:tcPr>
          <w:p w14:paraId="28484FC8">
            <w:pPr>
              <w:widowControl/>
              <w:spacing w:line="360" w:lineRule="auto"/>
              <w:ind w:firstLine="480" w:firstLineChars="200"/>
              <w:jc w:val="left"/>
              <w:rPr>
                <w:color w:val="000000"/>
                <w:kern w:val="0"/>
                <w:sz w:val="24"/>
                <w:lang w:bidi="ar"/>
              </w:rPr>
            </w:pPr>
            <w:r>
              <w:rPr>
                <w:color w:val="000000"/>
                <w:kern w:val="0"/>
                <w:sz w:val="24"/>
                <w:lang w:bidi="ar"/>
              </w:rPr>
              <w:t>《达州市城市总体规划》</w:t>
            </w:r>
            <w:r>
              <w:rPr>
                <w:rFonts w:hint="eastAsia"/>
                <w:color w:val="000000"/>
                <w:kern w:val="0"/>
                <w:sz w:val="24"/>
                <w:lang w:bidi="ar"/>
              </w:rPr>
              <w:t>（</w:t>
            </w:r>
            <w:r>
              <w:rPr>
                <w:color w:val="000000"/>
                <w:kern w:val="0"/>
                <w:sz w:val="24"/>
                <w:lang w:bidi="ar"/>
              </w:rPr>
              <w:t>2011-2030）</w:t>
            </w:r>
            <w:r>
              <w:rPr>
                <w:rFonts w:hint="eastAsia"/>
                <w:color w:val="000000"/>
                <w:kern w:val="0"/>
                <w:sz w:val="24"/>
                <w:lang w:bidi="ar"/>
              </w:rPr>
              <w:t>；</w:t>
            </w:r>
          </w:p>
          <w:p w14:paraId="79296EDD">
            <w:pPr>
              <w:widowControl/>
              <w:spacing w:line="360" w:lineRule="auto"/>
              <w:ind w:firstLine="480" w:firstLineChars="200"/>
              <w:jc w:val="left"/>
              <w:rPr>
                <w:sz w:val="24"/>
              </w:rPr>
            </w:pPr>
            <w:r>
              <w:rPr>
                <w:rFonts w:hint="eastAsia"/>
                <w:sz w:val="24"/>
              </w:rPr>
              <w:t>《达州西南职教园区控制性详细规划修编方案》。</w:t>
            </w:r>
          </w:p>
        </w:tc>
      </w:tr>
      <w:tr w14:paraId="19D89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44" w:type="dxa"/>
            <w:vAlign w:val="center"/>
          </w:tcPr>
          <w:p w14:paraId="1CAD359C">
            <w:pPr>
              <w:adjustRightInd w:val="0"/>
              <w:snapToGrid w:val="0"/>
              <w:jc w:val="center"/>
              <w:rPr>
                <w:kern w:val="0"/>
                <w:sz w:val="24"/>
              </w:rPr>
            </w:pPr>
            <w:r>
              <w:rPr>
                <w:sz w:val="24"/>
              </w:rPr>
              <w:t>规划环境影响评价情况</w:t>
            </w:r>
          </w:p>
        </w:tc>
        <w:tc>
          <w:tcPr>
            <w:tcW w:w="8856" w:type="dxa"/>
            <w:gridSpan w:val="4"/>
            <w:vAlign w:val="center"/>
          </w:tcPr>
          <w:p w14:paraId="3BEE71D9">
            <w:pPr>
              <w:widowControl/>
              <w:spacing w:line="360" w:lineRule="auto"/>
              <w:ind w:firstLine="482" w:firstLineChars="200"/>
              <w:jc w:val="left"/>
              <w:rPr>
                <w:kern w:val="0"/>
                <w:sz w:val="24"/>
              </w:rPr>
            </w:pPr>
            <w:r>
              <w:rPr>
                <w:rFonts w:hint="eastAsia"/>
                <w:b/>
                <w:bCs/>
                <w:kern w:val="0"/>
                <w:sz w:val="24"/>
              </w:rPr>
              <w:t>规划名称：</w:t>
            </w:r>
            <w:r>
              <w:rPr>
                <w:kern w:val="0"/>
                <w:sz w:val="24"/>
              </w:rPr>
              <w:t>《西南职业教育园区控制性详细规划环境影响报告书》</w:t>
            </w:r>
            <w:r>
              <w:rPr>
                <w:rFonts w:hint="eastAsia"/>
                <w:kern w:val="0"/>
                <w:sz w:val="24"/>
              </w:rPr>
              <w:t>；</w:t>
            </w:r>
          </w:p>
          <w:p w14:paraId="459252F2">
            <w:pPr>
              <w:widowControl/>
              <w:spacing w:line="360" w:lineRule="auto"/>
              <w:ind w:firstLine="482" w:firstLineChars="200"/>
              <w:jc w:val="left"/>
              <w:rPr>
                <w:kern w:val="0"/>
                <w:sz w:val="24"/>
              </w:rPr>
            </w:pPr>
            <w:r>
              <w:rPr>
                <w:rFonts w:hint="eastAsia"/>
                <w:b/>
                <w:bCs/>
                <w:kern w:val="0"/>
                <w:sz w:val="24"/>
              </w:rPr>
              <w:t>审批机关：</w:t>
            </w:r>
            <w:r>
              <w:rPr>
                <w:rFonts w:hint="eastAsia"/>
                <w:kern w:val="0"/>
                <w:sz w:val="24"/>
              </w:rPr>
              <w:t>达州市环保局；</w:t>
            </w:r>
          </w:p>
          <w:p w14:paraId="1984E1D6">
            <w:pPr>
              <w:widowControl/>
              <w:spacing w:line="360" w:lineRule="auto"/>
              <w:ind w:firstLine="482" w:firstLineChars="200"/>
              <w:jc w:val="left"/>
              <w:rPr>
                <w:kern w:val="0"/>
                <w:sz w:val="24"/>
              </w:rPr>
            </w:pPr>
            <w:r>
              <w:rPr>
                <w:rFonts w:hint="eastAsia"/>
                <w:b/>
                <w:bCs/>
                <w:kern w:val="0"/>
                <w:sz w:val="24"/>
              </w:rPr>
              <w:t>审批文件名称及文号：</w:t>
            </w:r>
            <w:r>
              <w:rPr>
                <w:kern w:val="0"/>
                <w:sz w:val="24"/>
              </w:rPr>
              <w:t>达州市环保局关于《西南职业教育园区控制规划性规划环境影响报告书》审查意见的函（达市环函〔2012〕71号）</w:t>
            </w:r>
            <w:r>
              <w:rPr>
                <w:rFonts w:hint="eastAsia"/>
                <w:kern w:val="0"/>
                <w:sz w:val="24"/>
              </w:rPr>
              <w:t>。</w:t>
            </w:r>
          </w:p>
        </w:tc>
      </w:tr>
      <w:tr w14:paraId="79061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Align w:val="center"/>
          </w:tcPr>
          <w:p w14:paraId="248C530C">
            <w:pPr>
              <w:autoSpaceDE w:val="0"/>
              <w:autoSpaceDN w:val="0"/>
              <w:adjustRightInd w:val="0"/>
              <w:snapToGrid w:val="0"/>
              <w:jc w:val="center"/>
              <w:rPr>
                <w:kern w:val="0"/>
                <w:sz w:val="24"/>
              </w:rPr>
            </w:pPr>
            <w:r>
              <w:rPr>
                <w:kern w:val="0"/>
                <w:sz w:val="24"/>
              </w:rPr>
              <w:t>规划及规划环境影响评价符合性分析</w:t>
            </w:r>
          </w:p>
        </w:tc>
        <w:tc>
          <w:tcPr>
            <w:tcW w:w="8856" w:type="dxa"/>
            <w:gridSpan w:val="4"/>
            <w:vAlign w:val="center"/>
          </w:tcPr>
          <w:p w14:paraId="365ACA5A">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1</w:t>
            </w:r>
            <w:r>
              <w:rPr>
                <w:b/>
                <w:bCs/>
                <w:color w:val="000000"/>
                <w:kern w:val="0"/>
                <w:sz w:val="24"/>
                <w:lang w:bidi="ar"/>
              </w:rPr>
              <w:t>、与《达州市城市总体规划》</w:t>
            </w:r>
            <w:r>
              <w:rPr>
                <w:rFonts w:hint="eastAsia"/>
                <w:b/>
                <w:bCs/>
                <w:color w:val="000000"/>
                <w:kern w:val="0"/>
                <w:sz w:val="24"/>
                <w:lang w:bidi="ar"/>
              </w:rPr>
              <w:t>（</w:t>
            </w:r>
            <w:r>
              <w:rPr>
                <w:b/>
                <w:bCs/>
                <w:color w:val="000000"/>
                <w:kern w:val="0"/>
                <w:sz w:val="24"/>
                <w:lang w:bidi="ar"/>
              </w:rPr>
              <w:t>2011-2030</w:t>
            </w:r>
            <w:r>
              <w:rPr>
                <w:rFonts w:hint="eastAsia"/>
                <w:b/>
                <w:bCs/>
                <w:color w:val="000000"/>
                <w:kern w:val="0"/>
                <w:sz w:val="24"/>
                <w:lang w:bidi="ar"/>
              </w:rPr>
              <w:t>）</w:t>
            </w:r>
            <w:r>
              <w:rPr>
                <w:b/>
                <w:bCs/>
                <w:color w:val="000000"/>
                <w:kern w:val="0"/>
                <w:sz w:val="24"/>
                <w:lang w:bidi="ar"/>
              </w:rPr>
              <w:t>符合性分析</w:t>
            </w:r>
          </w:p>
          <w:p w14:paraId="5411B41D">
            <w:pPr>
              <w:widowControl/>
              <w:wordWrap w:val="0"/>
              <w:spacing w:line="360" w:lineRule="auto"/>
              <w:ind w:firstLine="480" w:firstLineChars="200"/>
              <w:jc w:val="left"/>
              <w:rPr>
                <w:color w:val="000000"/>
                <w:kern w:val="0"/>
                <w:sz w:val="24"/>
                <w:lang w:bidi="ar"/>
              </w:rPr>
            </w:pPr>
            <w:r>
              <w:rPr>
                <w:color w:val="000000"/>
                <w:kern w:val="0"/>
                <w:sz w:val="24"/>
                <w:lang w:bidi="ar"/>
              </w:rPr>
              <w:t>达州城市发展方向采取“南延西扩东跨，适度向北”的城市空间发展模式</w:t>
            </w:r>
            <w:r>
              <w:rPr>
                <w:rFonts w:hint="eastAsia"/>
                <w:color w:val="000000"/>
                <w:kern w:val="0"/>
                <w:sz w:val="24"/>
                <w:lang w:bidi="ar"/>
              </w:rPr>
              <w:t>；</w:t>
            </w:r>
            <w:r>
              <w:rPr>
                <w:color w:val="000000"/>
                <w:kern w:val="0"/>
                <w:sz w:val="24"/>
                <w:lang w:bidi="ar"/>
              </w:rPr>
              <w:t>主要向西扩张莲花湖、复兴、双龙一带，并向南延伸至河市与铜钵河，适度向北发展张家坝和韩家坝，向东跨过雷音铺向亭子扩张。本项目</w:t>
            </w:r>
            <w:r>
              <w:rPr>
                <w:rFonts w:hint="eastAsia"/>
                <w:color w:val="000000"/>
                <w:kern w:val="0"/>
                <w:sz w:val="24"/>
                <w:lang w:bidi="ar"/>
              </w:rPr>
              <w:t>为生活垃圾中转站项目，位于西南职教园区（韩家坝）内</w:t>
            </w:r>
            <w:r>
              <w:rPr>
                <w:color w:val="000000"/>
                <w:kern w:val="0"/>
                <w:sz w:val="24"/>
                <w:lang w:bidi="ar"/>
              </w:rPr>
              <w:t>，</w:t>
            </w:r>
            <w:r>
              <w:rPr>
                <w:rFonts w:hint="eastAsia"/>
                <w:color w:val="000000"/>
                <w:kern w:val="0"/>
                <w:sz w:val="24"/>
                <w:lang w:bidi="ar"/>
              </w:rPr>
              <w:t>为其配套公共设施，利于该区域的发展，且拟建地块规划</w:t>
            </w:r>
            <w:r>
              <w:rPr>
                <w:color w:val="000000"/>
                <w:kern w:val="0"/>
                <w:sz w:val="24"/>
                <w:lang w:bidi="ar"/>
              </w:rPr>
              <w:t>性质</w:t>
            </w:r>
            <w:r>
              <w:rPr>
                <w:rFonts w:hint="eastAsia"/>
                <w:color w:val="000000"/>
                <w:kern w:val="0"/>
                <w:sz w:val="24"/>
                <w:lang w:bidi="ar"/>
              </w:rPr>
              <w:t>为公共设施</w:t>
            </w:r>
            <w:r>
              <w:rPr>
                <w:color w:val="000000"/>
                <w:kern w:val="0"/>
                <w:sz w:val="24"/>
                <w:lang w:bidi="ar"/>
              </w:rPr>
              <w:t>用地</w:t>
            </w:r>
            <w:r>
              <w:rPr>
                <w:rFonts w:hint="eastAsia"/>
                <w:color w:val="000000"/>
                <w:kern w:val="0"/>
                <w:sz w:val="24"/>
                <w:lang w:bidi="ar"/>
              </w:rPr>
              <w:t>（环卫用地）</w:t>
            </w:r>
            <w:r>
              <w:rPr>
                <w:color w:val="000000"/>
                <w:kern w:val="0"/>
                <w:sz w:val="24"/>
                <w:lang w:bidi="ar"/>
              </w:rPr>
              <w:t>，符合《达州市城市总体规划》</w:t>
            </w:r>
            <w:r>
              <w:rPr>
                <w:rFonts w:hint="eastAsia"/>
                <w:color w:val="000000"/>
                <w:kern w:val="0"/>
                <w:sz w:val="24"/>
                <w:lang w:bidi="ar"/>
              </w:rPr>
              <w:t>（2011-2030）</w:t>
            </w:r>
            <w:r>
              <w:rPr>
                <w:color w:val="000000"/>
                <w:kern w:val="0"/>
                <w:sz w:val="24"/>
                <w:lang w:bidi="ar"/>
              </w:rPr>
              <w:t>。</w:t>
            </w:r>
          </w:p>
          <w:p w14:paraId="46379912">
            <w:pPr>
              <w:widowControl/>
              <w:numPr>
                <w:ilvl w:val="0"/>
                <w:numId w:val="3"/>
              </w:numPr>
              <w:spacing w:line="360" w:lineRule="auto"/>
              <w:ind w:firstLine="482" w:firstLineChars="200"/>
              <w:jc w:val="left"/>
              <w:rPr>
                <w:b/>
                <w:bCs/>
                <w:sz w:val="24"/>
              </w:rPr>
            </w:pPr>
            <w:r>
              <w:rPr>
                <w:rFonts w:hint="eastAsia"/>
                <w:b/>
                <w:bCs/>
                <w:sz w:val="24"/>
              </w:rPr>
              <w:t>与《达州西南职教园区控制性详细规划修编方案》符合性分析</w:t>
            </w:r>
          </w:p>
          <w:p w14:paraId="5DF82DE4">
            <w:pPr>
              <w:spacing w:line="360" w:lineRule="auto"/>
              <w:ind w:firstLine="480" w:firstLineChars="200"/>
              <w:rPr>
                <w:sz w:val="24"/>
              </w:rPr>
            </w:pPr>
            <w:r>
              <w:rPr>
                <w:rFonts w:hint="eastAsia"/>
                <w:sz w:val="24"/>
              </w:rPr>
              <w:t>修编规划范围面积约3.91平方公里，较原规划面积增加约0.3平方公里。</w:t>
            </w:r>
          </w:p>
          <w:p w14:paraId="15056251">
            <w:pPr>
              <w:spacing w:line="360" w:lineRule="auto"/>
              <w:ind w:firstLine="480" w:firstLineChars="200"/>
              <w:rPr>
                <w:sz w:val="24"/>
              </w:rPr>
            </w:pPr>
            <w:r>
              <w:rPr>
                <w:rFonts w:hint="eastAsia"/>
                <w:sz w:val="24"/>
              </w:rPr>
              <w:t>具体调整内容：</w:t>
            </w:r>
          </w:p>
          <w:p w14:paraId="0A9972C7">
            <w:pPr>
              <w:spacing w:line="360" w:lineRule="auto"/>
              <w:ind w:firstLine="480" w:firstLineChars="200"/>
              <w:rPr>
                <w:sz w:val="24"/>
              </w:rPr>
            </w:pPr>
            <w:r>
              <w:rPr>
                <w:rFonts w:hint="eastAsia"/>
                <w:sz w:val="24"/>
              </w:rPr>
              <w:t>一是根据“三区三线”划定成果，将西侧滨河公园和东北侧已建成的安置房用地纳入规划范围。</w:t>
            </w:r>
          </w:p>
          <w:p w14:paraId="3BD4FC5B">
            <w:pPr>
              <w:spacing w:line="360" w:lineRule="auto"/>
              <w:ind w:firstLine="480" w:firstLineChars="200"/>
              <w:rPr>
                <w:sz w:val="24"/>
              </w:rPr>
            </w:pPr>
            <w:r>
              <w:rPr>
                <w:rFonts w:hint="eastAsia"/>
                <w:sz w:val="24"/>
              </w:rPr>
              <w:t>二是将未出让的部分商业用地调整为职业教育用地；为集约节约用地，将中部已报征规划绿地地块，且现状为小山体，调整为职业教育产业用地</w:t>
            </w:r>
            <w:r>
              <w:rPr>
                <w:rFonts w:hint="eastAsia"/>
                <w:sz w:val="24"/>
                <w:lang w:eastAsia="zh-CN"/>
              </w:rPr>
              <w:t>（</w:t>
            </w:r>
            <w:r>
              <w:rPr>
                <w:rFonts w:hint="eastAsia"/>
                <w:sz w:val="24"/>
              </w:rPr>
              <w:t>商务金融用地兼容教育科研用地</w:t>
            </w:r>
            <w:r>
              <w:rPr>
                <w:rFonts w:hint="eastAsia"/>
                <w:sz w:val="24"/>
                <w:lang w:eastAsia="zh-CN"/>
              </w:rPr>
              <w:t>）</w:t>
            </w:r>
            <w:r>
              <w:rPr>
                <w:rFonts w:hint="eastAsia"/>
                <w:sz w:val="24"/>
              </w:rPr>
              <w:t>， 补充职教产业功能。</w:t>
            </w:r>
          </w:p>
          <w:p w14:paraId="74E21482">
            <w:pPr>
              <w:spacing w:line="360" w:lineRule="auto"/>
              <w:ind w:firstLine="480" w:firstLineChars="200"/>
              <w:rPr>
                <w:sz w:val="24"/>
              </w:rPr>
            </w:pPr>
            <w:r>
              <w:rPr>
                <w:rFonts w:hint="eastAsia"/>
                <w:sz w:val="24"/>
              </w:rPr>
              <w:t>三是结合北部柳家坝、南部张家坝区片区需求，进一步完善了公服设施配套，如增设派出所、消防站、垃圾中转站等。</w:t>
            </w:r>
          </w:p>
          <w:p w14:paraId="2039BD2F">
            <w:pPr>
              <w:spacing w:line="360" w:lineRule="auto"/>
              <w:ind w:firstLine="480" w:firstLineChars="200"/>
              <w:rPr>
                <w:sz w:val="24"/>
              </w:rPr>
            </w:pPr>
            <w:r>
              <w:rPr>
                <w:rFonts w:hint="eastAsia"/>
                <w:sz w:val="24"/>
              </w:rPr>
              <w:t>四是结合地形条件和行洪论证要求，对区域用地布局、河道水系进行优化调整。</w:t>
            </w:r>
          </w:p>
          <w:p w14:paraId="621B7496">
            <w:pPr>
              <w:spacing w:line="360" w:lineRule="auto"/>
              <w:ind w:firstLine="480" w:firstLineChars="200"/>
              <w:rPr>
                <w:sz w:val="24"/>
              </w:rPr>
            </w:pPr>
            <w:r>
              <w:rPr>
                <w:rFonts w:hint="eastAsia"/>
                <w:sz w:val="24"/>
              </w:rPr>
              <w:t>本项目位于达州市西南职业教育园区内（李家湾犀牛大道与崇德路之间），为垃圾中转站项目，属于规划区域内公服设施配套项目，拟建地块规划用地性质属于公共设施用地。本项目的建设可完善职教园区垃圾转运基础设施，提高职教园区垃圾处理的</w:t>
            </w:r>
            <w:r>
              <w:rPr>
                <w:sz w:val="24"/>
              </w:rPr>
              <w:t>“</w:t>
            </w:r>
            <w:r>
              <w:rPr>
                <w:rFonts w:hint="eastAsia"/>
                <w:sz w:val="24"/>
              </w:rPr>
              <w:t>减量化、资源化、无害化</w:t>
            </w:r>
            <w:r>
              <w:rPr>
                <w:sz w:val="24"/>
              </w:rPr>
              <w:t>”</w:t>
            </w:r>
            <w:r>
              <w:rPr>
                <w:rFonts w:hint="eastAsia"/>
                <w:sz w:val="24"/>
              </w:rPr>
              <w:t>水平。因此，本项目符合《达州西南职教园区控制性详细规划修编方案》相关内容要求。</w:t>
            </w:r>
          </w:p>
          <w:p w14:paraId="52548764">
            <w:pPr>
              <w:widowControl/>
              <w:numPr>
                <w:ilvl w:val="0"/>
                <w:numId w:val="3"/>
              </w:numPr>
              <w:spacing w:line="360" w:lineRule="auto"/>
              <w:ind w:firstLine="482" w:firstLineChars="200"/>
              <w:jc w:val="left"/>
              <w:rPr>
                <w:sz w:val="24"/>
              </w:rPr>
            </w:pPr>
            <w:r>
              <w:rPr>
                <w:rFonts w:hint="eastAsia"/>
                <w:b/>
                <w:bCs/>
                <w:sz w:val="24"/>
              </w:rPr>
              <w:t>规划环评及审查意见</w:t>
            </w:r>
            <w:r>
              <w:rPr>
                <w:b/>
                <w:bCs/>
                <w:kern w:val="0"/>
                <w:sz w:val="24"/>
                <w:lang w:bidi="ar"/>
              </w:rPr>
              <w:t>符</w:t>
            </w:r>
            <w:r>
              <w:rPr>
                <w:b/>
                <w:bCs/>
                <w:color w:val="000000"/>
                <w:kern w:val="0"/>
                <w:sz w:val="24"/>
                <w:lang w:bidi="ar"/>
              </w:rPr>
              <w:t>合性分析</w:t>
            </w:r>
          </w:p>
          <w:p w14:paraId="0FDAEC8F">
            <w:pPr>
              <w:spacing w:line="360" w:lineRule="auto"/>
              <w:ind w:firstLine="480" w:firstLineChars="200"/>
              <w:rPr>
                <w:sz w:val="24"/>
              </w:rPr>
            </w:pPr>
            <w:r>
              <w:rPr>
                <w:sz w:val="24"/>
              </w:rPr>
              <w:t>四川省环境保护科学研究院于2012年编制完成了《西南职业教育园区控制性详细规划环境影响报告书》</w:t>
            </w:r>
            <w:r>
              <w:rPr>
                <w:rFonts w:hint="eastAsia"/>
                <w:sz w:val="24"/>
              </w:rPr>
              <w:t>，并</w:t>
            </w:r>
            <w:r>
              <w:rPr>
                <w:sz w:val="24"/>
              </w:rPr>
              <w:t>取得了</w:t>
            </w:r>
            <w:r>
              <w:rPr>
                <w:rFonts w:hint="eastAsia"/>
                <w:sz w:val="24"/>
              </w:rPr>
              <w:t>原</w:t>
            </w:r>
            <w:r>
              <w:rPr>
                <w:sz w:val="24"/>
              </w:rPr>
              <w:t>达州市环保局</w:t>
            </w:r>
            <w:r>
              <w:rPr>
                <w:rFonts w:hint="eastAsia"/>
                <w:sz w:val="24"/>
              </w:rPr>
              <w:t>出具的</w:t>
            </w:r>
            <w:r>
              <w:rPr>
                <w:sz w:val="24"/>
              </w:rPr>
              <w:t>“达市环函</w:t>
            </w:r>
            <w:r>
              <w:rPr>
                <w:rFonts w:hint="eastAsia" w:ascii="宋体" w:hAnsi="宋体" w:cs="宋体"/>
                <w:kern w:val="0"/>
                <w:sz w:val="24"/>
                <w:lang w:bidi="ar"/>
              </w:rPr>
              <w:t>〔</w:t>
            </w:r>
            <w:r>
              <w:rPr>
                <w:kern w:val="0"/>
                <w:sz w:val="24"/>
                <w:lang w:bidi="ar"/>
              </w:rPr>
              <w:t>20</w:t>
            </w:r>
            <w:r>
              <w:rPr>
                <w:rFonts w:hint="eastAsia"/>
                <w:kern w:val="0"/>
                <w:sz w:val="24"/>
                <w:lang w:bidi="ar"/>
              </w:rPr>
              <w:t>12</w:t>
            </w:r>
            <w:r>
              <w:rPr>
                <w:rFonts w:hint="eastAsia" w:ascii="宋体" w:hAnsi="宋体" w:cs="宋体"/>
                <w:kern w:val="0"/>
                <w:sz w:val="24"/>
                <w:lang w:bidi="ar"/>
              </w:rPr>
              <w:t>〕</w:t>
            </w:r>
            <w:r>
              <w:rPr>
                <w:sz w:val="24"/>
              </w:rPr>
              <w:t>71号”关于《西南职业教育园区控制规划性规划环境影响报告书》审查意见的函。</w:t>
            </w:r>
          </w:p>
          <w:p w14:paraId="5CB1ECA2">
            <w:pPr>
              <w:spacing w:line="360" w:lineRule="auto"/>
              <w:ind w:firstLine="480" w:firstLineChars="200"/>
              <w:rPr>
                <w:sz w:val="24"/>
              </w:rPr>
            </w:pPr>
            <w:r>
              <w:rPr>
                <w:sz w:val="24"/>
              </w:rPr>
              <w:t>达州西南职教园区</w:t>
            </w:r>
            <w:r>
              <w:rPr>
                <w:rStyle w:val="30"/>
                <w:b w:val="0"/>
                <w:bCs w:val="0"/>
                <w:color w:val="000000"/>
                <w:sz w:val="24"/>
              </w:rPr>
              <w:t>规划范围面积约3.91平方公里，</w:t>
            </w:r>
            <w:r>
              <w:rPr>
                <w:rFonts w:hint="eastAsia"/>
                <w:sz w:val="24"/>
              </w:rPr>
              <w:t xml:space="preserve">是以职业技术教育、配套产业为主，集商业服务、医疗卫生、文化产业于一体的职教产业综合新区。园区以中央绿地为中心，围绕中心绿地的为教育用地，中央绿地南侧为产业开发区。 </w:t>
            </w:r>
          </w:p>
          <w:p w14:paraId="30CFF605">
            <w:pPr>
              <w:widowControl/>
              <w:spacing w:line="360" w:lineRule="auto"/>
              <w:ind w:firstLine="482" w:firstLineChars="200"/>
              <w:jc w:val="left"/>
              <w:rPr>
                <w:sz w:val="24"/>
              </w:rPr>
            </w:pPr>
            <w:r>
              <w:rPr>
                <w:b/>
                <w:bCs/>
                <w:sz w:val="24"/>
              </w:rPr>
              <w:t>西南职业教育园区的规划定位为</w:t>
            </w:r>
            <w:r>
              <w:rPr>
                <w:rFonts w:hint="eastAsia"/>
                <w:b/>
                <w:bCs/>
                <w:sz w:val="24"/>
              </w:rPr>
              <w:t>：</w:t>
            </w:r>
            <w:r>
              <w:rPr>
                <w:sz w:val="24"/>
              </w:rPr>
              <w:t>以职业技术教育、配套产业为主，集商业服务、医疗卫生、居住于一体的教职产业综合新区。</w:t>
            </w:r>
          </w:p>
          <w:p w14:paraId="351DD843">
            <w:pPr>
              <w:widowControl/>
              <w:spacing w:line="360" w:lineRule="auto"/>
              <w:ind w:firstLine="482" w:firstLineChars="200"/>
              <w:jc w:val="left"/>
              <w:rPr>
                <w:sz w:val="24"/>
              </w:rPr>
            </w:pPr>
            <w:r>
              <w:rPr>
                <w:b/>
                <w:bCs/>
                <w:sz w:val="24"/>
              </w:rPr>
              <w:t>鼓励入园区的行业</w:t>
            </w:r>
            <w:r>
              <w:rPr>
                <w:rFonts w:hint="eastAsia"/>
                <w:b/>
                <w:bCs/>
                <w:sz w:val="24"/>
              </w:rPr>
              <w:t>：</w:t>
            </w:r>
            <w:r>
              <w:rPr>
                <w:rFonts w:hint="eastAsia"/>
                <w:sz w:val="24"/>
              </w:rPr>
              <w:t>①</w:t>
            </w:r>
            <w:r>
              <w:rPr>
                <w:sz w:val="24"/>
              </w:rPr>
              <w:t>符合园区产业规划的学校、商贸服务、孵化园、研发中心等为学校提供实训所配套的项目。</w:t>
            </w:r>
            <w:r>
              <w:rPr>
                <w:rFonts w:hint="eastAsia"/>
                <w:sz w:val="24"/>
              </w:rPr>
              <w:t>②</w:t>
            </w:r>
            <w:r>
              <w:rPr>
                <w:sz w:val="24"/>
              </w:rPr>
              <w:t>符合园区规划的酒店宾馆、接待中心、房地产项目等。</w:t>
            </w:r>
          </w:p>
          <w:p w14:paraId="54FE4FE4">
            <w:pPr>
              <w:widowControl/>
              <w:spacing w:line="360" w:lineRule="auto"/>
              <w:ind w:firstLine="480" w:firstLineChars="200"/>
              <w:jc w:val="left"/>
              <w:rPr>
                <w:sz w:val="24"/>
              </w:rPr>
            </w:pPr>
            <w:r>
              <w:rPr>
                <w:sz w:val="24"/>
              </w:rPr>
              <w:t>本项目为</w:t>
            </w:r>
            <w:r>
              <w:rPr>
                <w:rFonts w:hint="eastAsia"/>
                <w:sz w:val="24"/>
              </w:rPr>
              <w:t>生活垃圾中转站</w:t>
            </w:r>
            <w:r>
              <w:rPr>
                <w:sz w:val="24"/>
              </w:rPr>
              <w:t>，属于西南职业教育园区的规划定位中进入园区的</w:t>
            </w:r>
            <w:r>
              <w:rPr>
                <w:rFonts w:hint="eastAsia"/>
                <w:sz w:val="24"/>
              </w:rPr>
              <w:t>配套设施；</w:t>
            </w:r>
            <w:r>
              <w:rPr>
                <w:sz w:val="24"/>
              </w:rPr>
              <w:t>根据用地布局规划图，本项目规划建设用地性质为</w:t>
            </w:r>
            <w:r>
              <w:rPr>
                <w:rFonts w:hint="eastAsia"/>
                <w:sz w:val="24"/>
              </w:rPr>
              <w:t>公共设施用地（环卫用地）</w:t>
            </w:r>
            <w:r>
              <w:rPr>
                <w:sz w:val="24"/>
              </w:rPr>
              <w:t>，符合西南职业教育园区发展布局规划要求，符合西南职业教育园区产业发展要求。</w:t>
            </w:r>
            <w:r>
              <w:rPr>
                <w:rFonts w:hint="eastAsia"/>
                <w:sz w:val="24"/>
              </w:rPr>
              <w:t>本项目与其位置关系图见附图2。</w:t>
            </w:r>
          </w:p>
          <w:p w14:paraId="3B4BB798">
            <w:pPr>
              <w:widowControl/>
              <w:spacing w:line="360" w:lineRule="auto"/>
              <w:ind w:firstLine="480" w:firstLineChars="200"/>
              <w:jc w:val="left"/>
              <w:rPr>
                <w:sz w:val="24"/>
              </w:rPr>
            </w:pPr>
          </w:p>
          <w:p w14:paraId="62CF0CEC">
            <w:pPr>
              <w:widowControl/>
              <w:spacing w:line="360" w:lineRule="auto"/>
              <w:ind w:firstLine="480" w:firstLineChars="200"/>
              <w:jc w:val="left"/>
              <w:rPr>
                <w:sz w:val="24"/>
              </w:rPr>
            </w:pPr>
          </w:p>
          <w:p w14:paraId="3C2F973F">
            <w:pPr>
              <w:widowControl/>
              <w:spacing w:line="360" w:lineRule="auto"/>
              <w:ind w:firstLine="480" w:firstLineChars="200"/>
              <w:jc w:val="left"/>
              <w:rPr>
                <w:sz w:val="24"/>
              </w:rPr>
            </w:pPr>
          </w:p>
          <w:p w14:paraId="08CA19BE">
            <w:pPr>
              <w:widowControl/>
              <w:spacing w:line="360" w:lineRule="auto"/>
              <w:ind w:firstLine="480" w:firstLineChars="200"/>
              <w:jc w:val="left"/>
              <w:rPr>
                <w:sz w:val="24"/>
              </w:rPr>
            </w:pPr>
          </w:p>
          <w:p w14:paraId="4C4A36EF">
            <w:pPr>
              <w:widowControl/>
              <w:spacing w:line="360" w:lineRule="auto"/>
              <w:ind w:firstLine="480" w:firstLineChars="200"/>
              <w:jc w:val="left"/>
              <w:rPr>
                <w:sz w:val="24"/>
              </w:rPr>
            </w:pPr>
          </w:p>
          <w:p w14:paraId="562A4F68">
            <w:pPr>
              <w:widowControl/>
              <w:spacing w:line="360" w:lineRule="auto"/>
              <w:ind w:firstLine="480" w:firstLineChars="200"/>
              <w:jc w:val="left"/>
              <w:rPr>
                <w:sz w:val="24"/>
              </w:rPr>
            </w:pPr>
          </w:p>
          <w:p w14:paraId="303527CB">
            <w:pPr>
              <w:widowControl/>
              <w:spacing w:line="360" w:lineRule="auto"/>
              <w:ind w:firstLine="480" w:firstLineChars="200"/>
              <w:jc w:val="left"/>
              <w:rPr>
                <w:sz w:val="24"/>
              </w:rPr>
            </w:pPr>
          </w:p>
          <w:p w14:paraId="02445684">
            <w:pPr>
              <w:widowControl/>
              <w:spacing w:line="360" w:lineRule="auto"/>
              <w:ind w:firstLine="480" w:firstLineChars="200"/>
              <w:jc w:val="left"/>
              <w:rPr>
                <w:sz w:val="24"/>
              </w:rPr>
            </w:pPr>
          </w:p>
          <w:p w14:paraId="12B7A92C">
            <w:pPr>
              <w:widowControl/>
              <w:spacing w:line="360" w:lineRule="auto"/>
              <w:ind w:firstLine="480" w:firstLineChars="200"/>
              <w:jc w:val="left"/>
              <w:rPr>
                <w:sz w:val="24"/>
              </w:rPr>
            </w:pPr>
          </w:p>
          <w:p w14:paraId="2AE1BEB3">
            <w:pPr>
              <w:widowControl/>
              <w:spacing w:line="360" w:lineRule="auto"/>
              <w:ind w:firstLine="480" w:firstLineChars="200"/>
              <w:jc w:val="left"/>
              <w:rPr>
                <w:sz w:val="24"/>
              </w:rPr>
            </w:pPr>
          </w:p>
          <w:p w14:paraId="315DAEF9">
            <w:pPr>
              <w:widowControl/>
              <w:spacing w:line="360" w:lineRule="auto"/>
              <w:ind w:firstLine="480" w:firstLineChars="200"/>
              <w:jc w:val="left"/>
              <w:rPr>
                <w:sz w:val="24"/>
              </w:rPr>
            </w:pPr>
          </w:p>
          <w:p w14:paraId="720E470B">
            <w:pPr>
              <w:widowControl/>
              <w:spacing w:line="360" w:lineRule="auto"/>
              <w:ind w:firstLine="480" w:firstLineChars="200"/>
              <w:jc w:val="left"/>
              <w:rPr>
                <w:sz w:val="24"/>
              </w:rPr>
            </w:pPr>
          </w:p>
          <w:p w14:paraId="28C860DE">
            <w:pPr>
              <w:widowControl/>
              <w:spacing w:line="360" w:lineRule="auto"/>
              <w:ind w:firstLine="480" w:firstLineChars="200"/>
              <w:jc w:val="left"/>
              <w:rPr>
                <w:sz w:val="24"/>
              </w:rPr>
            </w:pPr>
          </w:p>
          <w:p w14:paraId="2A38DF78">
            <w:pPr>
              <w:widowControl/>
              <w:spacing w:line="360" w:lineRule="auto"/>
              <w:ind w:firstLine="480" w:firstLineChars="200"/>
              <w:jc w:val="left"/>
              <w:rPr>
                <w:sz w:val="24"/>
              </w:rPr>
            </w:pPr>
          </w:p>
          <w:p w14:paraId="62E1C89F">
            <w:pPr>
              <w:widowControl/>
              <w:spacing w:line="360" w:lineRule="auto"/>
              <w:ind w:firstLine="480" w:firstLineChars="200"/>
              <w:jc w:val="left"/>
              <w:rPr>
                <w:sz w:val="24"/>
              </w:rPr>
            </w:pPr>
          </w:p>
          <w:p w14:paraId="0ADA674A">
            <w:pPr>
              <w:widowControl/>
              <w:spacing w:line="360" w:lineRule="auto"/>
              <w:ind w:firstLine="480" w:firstLineChars="200"/>
              <w:jc w:val="left"/>
              <w:rPr>
                <w:sz w:val="24"/>
              </w:rPr>
            </w:pPr>
          </w:p>
          <w:p w14:paraId="77B92818">
            <w:pPr>
              <w:widowControl/>
              <w:spacing w:line="360" w:lineRule="auto"/>
              <w:ind w:firstLine="480" w:firstLineChars="200"/>
              <w:jc w:val="left"/>
              <w:rPr>
                <w:sz w:val="24"/>
              </w:rPr>
            </w:pPr>
          </w:p>
          <w:p w14:paraId="154412FD">
            <w:pPr>
              <w:widowControl/>
              <w:spacing w:line="360" w:lineRule="auto"/>
              <w:ind w:firstLine="480" w:firstLineChars="200"/>
              <w:jc w:val="left"/>
              <w:rPr>
                <w:sz w:val="24"/>
              </w:rPr>
            </w:pPr>
          </w:p>
          <w:p w14:paraId="6F992788">
            <w:pPr>
              <w:widowControl/>
              <w:spacing w:line="360" w:lineRule="auto"/>
              <w:ind w:firstLine="480" w:firstLineChars="200"/>
              <w:jc w:val="left"/>
              <w:rPr>
                <w:sz w:val="24"/>
              </w:rPr>
            </w:pPr>
          </w:p>
          <w:p w14:paraId="618E9260">
            <w:pPr>
              <w:widowControl/>
              <w:spacing w:line="360" w:lineRule="auto"/>
              <w:ind w:firstLine="480" w:firstLineChars="200"/>
              <w:jc w:val="left"/>
              <w:rPr>
                <w:sz w:val="24"/>
              </w:rPr>
            </w:pPr>
          </w:p>
          <w:p w14:paraId="35926463">
            <w:pPr>
              <w:widowControl/>
              <w:spacing w:line="360" w:lineRule="auto"/>
              <w:ind w:firstLine="480" w:firstLineChars="200"/>
              <w:jc w:val="left"/>
              <w:rPr>
                <w:sz w:val="24"/>
              </w:rPr>
            </w:pPr>
          </w:p>
          <w:p w14:paraId="4C21F8F0">
            <w:pPr>
              <w:widowControl/>
              <w:spacing w:line="360" w:lineRule="auto"/>
              <w:ind w:firstLine="480" w:firstLineChars="200"/>
              <w:jc w:val="left"/>
              <w:rPr>
                <w:sz w:val="24"/>
              </w:rPr>
            </w:pPr>
          </w:p>
          <w:p w14:paraId="4E57FA42">
            <w:pPr>
              <w:widowControl/>
              <w:spacing w:line="360" w:lineRule="auto"/>
              <w:ind w:firstLine="480" w:firstLineChars="200"/>
              <w:jc w:val="left"/>
              <w:rPr>
                <w:sz w:val="24"/>
              </w:rPr>
            </w:pPr>
          </w:p>
          <w:p w14:paraId="2028A579">
            <w:pPr>
              <w:widowControl/>
              <w:spacing w:line="360" w:lineRule="auto"/>
              <w:ind w:firstLine="480" w:firstLineChars="200"/>
              <w:jc w:val="left"/>
              <w:rPr>
                <w:sz w:val="24"/>
              </w:rPr>
            </w:pPr>
          </w:p>
          <w:p w14:paraId="5260D139">
            <w:pPr>
              <w:widowControl/>
              <w:spacing w:line="360" w:lineRule="auto"/>
              <w:ind w:firstLine="480" w:firstLineChars="200"/>
              <w:jc w:val="left"/>
              <w:rPr>
                <w:sz w:val="24"/>
              </w:rPr>
            </w:pPr>
          </w:p>
          <w:p w14:paraId="67474F5F">
            <w:pPr>
              <w:widowControl/>
              <w:spacing w:line="360" w:lineRule="auto"/>
              <w:ind w:firstLine="480" w:firstLineChars="200"/>
              <w:jc w:val="left"/>
              <w:rPr>
                <w:sz w:val="24"/>
              </w:rPr>
            </w:pPr>
          </w:p>
          <w:p w14:paraId="35BCDD48">
            <w:pPr>
              <w:widowControl/>
              <w:spacing w:line="360" w:lineRule="auto"/>
              <w:jc w:val="left"/>
              <w:rPr>
                <w:sz w:val="24"/>
              </w:rPr>
            </w:pPr>
          </w:p>
          <w:p w14:paraId="2981F0F8">
            <w:pPr>
              <w:widowControl/>
              <w:spacing w:line="360" w:lineRule="auto"/>
              <w:jc w:val="left"/>
              <w:rPr>
                <w:sz w:val="24"/>
              </w:rPr>
            </w:pPr>
          </w:p>
        </w:tc>
      </w:tr>
      <w:tr w14:paraId="169D9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Align w:val="center"/>
          </w:tcPr>
          <w:p w14:paraId="7AA4D04A">
            <w:pPr>
              <w:autoSpaceDE w:val="0"/>
              <w:autoSpaceDN w:val="0"/>
              <w:adjustRightInd w:val="0"/>
              <w:snapToGrid w:val="0"/>
              <w:jc w:val="center"/>
              <w:rPr>
                <w:kern w:val="0"/>
                <w:sz w:val="24"/>
              </w:rPr>
            </w:pPr>
            <w:r>
              <w:rPr>
                <w:kern w:val="0"/>
                <w:sz w:val="24"/>
              </w:rPr>
              <w:t>其他符合性分析</w:t>
            </w:r>
          </w:p>
        </w:tc>
        <w:tc>
          <w:tcPr>
            <w:tcW w:w="8856" w:type="dxa"/>
            <w:gridSpan w:val="4"/>
            <w:vAlign w:val="center"/>
          </w:tcPr>
          <w:p w14:paraId="1FD7AF7B">
            <w:pPr>
              <w:autoSpaceDE w:val="0"/>
              <w:autoSpaceDN w:val="0"/>
              <w:adjustRightInd w:val="0"/>
              <w:snapToGrid w:val="0"/>
              <w:spacing w:before="120" w:beforeLines="50" w:line="360" w:lineRule="auto"/>
              <w:ind w:firstLine="482" w:firstLineChars="200"/>
              <w:rPr>
                <w:b/>
                <w:bCs/>
                <w:sz w:val="24"/>
              </w:rPr>
            </w:pPr>
            <w:r>
              <w:rPr>
                <w:rFonts w:hint="eastAsia"/>
                <w:b/>
                <w:bCs/>
                <w:sz w:val="24"/>
              </w:rPr>
              <w:t>1、</w:t>
            </w:r>
            <w:r>
              <w:rPr>
                <w:b/>
                <w:bCs/>
                <w:sz w:val="24"/>
              </w:rPr>
              <w:t>产业政策符合性分析</w:t>
            </w:r>
          </w:p>
          <w:p w14:paraId="3073BA41">
            <w:pPr>
              <w:widowControl/>
              <w:spacing w:line="360" w:lineRule="auto"/>
              <w:ind w:firstLine="480" w:firstLineChars="200"/>
              <w:rPr>
                <w:sz w:val="24"/>
              </w:rPr>
            </w:pPr>
            <w:r>
              <w:rPr>
                <w:sz w:val="24"/>
              </w:rPr>
              <w:t>根据《国民经济行业分类》（GB/T4754-2017</w:t>
            </w:r>
            <w:r>
              <w:rPr>
                <w:rFonts w:hint="eastAsia"/>
                <w:sz w:val="24"/>
              </w:rPr>
              <w:t>）</w:t>
            </w:r>
            <w:r>
              <w:rPr>
                <w:sz w:val="24"/>
              </w:rPr>
              <w:t>（2019年修订版</w:t>
            </w:r>
            <w:r>
              <w:rPr>
                <w:rFonts w:hint="eastAsia"/>
                <w:sz w:val="24"/>
              </w:rPr>
              <w:t>）</w:t>
            </w:r>
            <w:r>
              <w:rPr>
                <w:sz w:val="24"/>
              </w:rPr>
              <w:t>可知，本项目</w:t>
            </w:r>
            <w:r>
              <w:rPr>
                <w:rFonts w:hint="eastAsia"/>
                <w:sz w:val="24"/>
              </w:rPr>
              <w:t>为垃圾中转站，</w:t>
            </w:r>
            <w:r>
              <w:rPr>
                <w:sz w:val="24"/>
              </w:rPr>
              <w:t>属于</w:t>
            </w:r>
            <w:r>
              <w:rPr>
                <w:rFonts w:hint="eastAsia"/>
                <w:sz w:val="24"/>
              </w:rPr>
              <w:t>“</w:t>
            </w:r>
            <w:r>
              <w:rPr>
                <w:rFonts w:hint="eastAsia"/>
                <w:b/>
                <w:bCs/>
                <w:sz w:val="24"/>
              </w:rPr>
              <w:t>N7820环境卫生管理</w:t>
            </w:r>
            <w:r>
              <w:rPr>
                <w:rFonts w:hint="eastAsia"/>
                <w:sz w:val="24"/>
              </w:rPr>
              <w:t>”</w:t>
            </w:r>
            <w:r>
              <w:rPr>
                <w:sz w:val="24"/>
              </w:rPr>
              <w:t>。</w:t>
            </w:r>
            <w:r>
              <w:rPr>
                <w:rFonts w:hint="eastAsia"/>
                <w:sz w:val="24"/>
              </w:rPr>
              <w:t>根据</w:t>
            </w:r>
            <w:r>
              <w:rPr>
                <w:sz w:val="24"/>
              </w:rPr>
              <w:t>《产业结构调整指导目录</w:t>
            </w:r>
            <w:r>
              <w:rPr>
                <w:rFonts w:hint="eastAsia"/>
                <w:sz w:val="24"/>
              </w:rPr>
              <w:t>（</w:t>
            </w:r>
            <w:r>
              <w:rPr>
                <w:sz w:val="24"/>
              </w:rPr>
              <w:t>2024年本</w:t>
            </w:r>
            <w:r>
              <w:rPr>
                <w:rFonts w:hint="eastAsia"/>
                <w:sz w:val="24"/>
              </w:rPr>
              <w:t>）</w:t>
            </w:r>
            <w:r>
              <w:rPr>
                <w:sz w:val="24"/>
              </w:rPr>
              <w:t>》</w:t>
            </w:r>
            <w:r>
              <w:rPr>
                <w:rFonts w:hint="eastAsia"/>
                <w:sz w:val="24"/>
              </w:rPr>
              <w:t>，</w:t>
            </w:r>
            <w:r>
              <w:rPr>
                <w:sz w:val="24"/>
              </w:rPr>
              <w:t>项目为</w:t>
            </w:r>
            <w:r>
              <w:rPr>
                <w:rFonts w:hint="eastAsia"/>
                <w:sz w:val="24"/>
              </w:rPr>
              <w:t>垃圾中转站，属于</w:t>
            </w:r>
            <w:r>
              <w:rPr>
                <w:sz w:val="24"/>
              </w:rPr>
              <w:t>“鼓励类”</w:t>
            </w:r>
            <w:r>
              <w:rPr>
                <w:rFonts w:hint="eastAsia"/>
                <w:sz w:val="24"/>
              </w:rPr>
              <w:t>中的“</w:t>
            </w:r>
            <w:r>
              <w:rPr>
                <w:sz w:val="24"/>
              </w:rPr>
              <w:t>四十二、环境保护与资源节约综合利用</w:t>
            </w:r>
            <w:r>
              <w:rPr>
                <w:rFonts w:hint="eastAsia"/>
                <w:sz w:val="24"/>
              </w:rPr>
              <w:t>-</w:t>
            </w:r>
            <w:r>
              <w:rPr>
                <w:sz w:val="24"/>
              </w:rPr>
              <w:t>3.城镇污水垃圾处理</w:t>
            </w:r>
            <w:r>
              <w:rPr>
                <w:rFonts w:hint="eastAsia"/>
                <w:sz w:val="24"/>
                <w:lang w:eastAsia="zh-CN"/>
              </w:rPr>
              <w:t>：</w:t>
            </w:r>
            <w:r>
              <w:rPr>
                <w:sz w:val="24"/>
              </w:rPr>
              <w:t>高效、低能耗污水处理与再生技术开发，城镇垃圾、农村生活垃圾、城镇生活污水、农村生活污水、污泥及其他固体废弃物减量化、资源化、无害化处理和综合利用工程，餐厨废弃物资源化利用技术开发及设施建设，垃圾分类技术、设备、设施</w:t>
            </w:r>
            <w:r>
              <w:rPr>
                <w:rFonts w:hint="eastAsia"/>
                <w:sz w:val="24"/>
              </w:rPr>
              <w:t>，</w:t>
            </w:r>
            <w:r>
              <w:rPr>
                <w:sz w:val="24"/>
              </w:rPr>
              <w:t>城镇、农村分布式小型化有机垃圾处理技术开发</w:t>
            </w:r>
            <w:r>
              <w:rPr>
                <w:rFonts w:hint="eastAsia"/>
                <w:sz w:val="24"/>
              </w:rPr>
              <w:t>，</w:t>
            </w:r>
            <w:r>
              <w:rPr>
                <w:sz w:val="24"/>
              </w:rPr>
              <w:t>污水处理厂污泥协同处置工程”。</w:t>
            </w:r>
          </w:p>
          <w:p w14:paraId="62BD2EC5">
            <w:pPr>
              <w:autoSpaceDE w:val="0"/>
              <w:autoSpaceDN w:val="0"/>
              <w:adjustRightInd w:val="0"/>
              <w:snapToGrid w:val="0"/>
              <w:spacing w:line="360" w:lineRule="auto"/>
              <w:ind w:firstLine="480" w:firstLineChars="200"/>
              <w:rPr>
                <w:bCs/>
                <w:kern w:val="0"/>
                <w:sz w:val="24"/>
              </w:rPr>
            </w:pPr>
            <w:r>
              <w:rPr>
                <w:rFonts w:hint="eastAsia"/>
                <w:bCs/>
                <w:kern w:val="0"/>
                <w:sz w:val="24"/>
              </w:rPr>
              <w:t>同时，2025年4月14日，</w:t>
            </w:r>
            <w:r>
              <w:rPr>
                <w:rFonts w:hint="eastAsia"/>
                <w:sz w:val="24"/>
              </w:rPr>
              <w:t>达州市发展和改革委员会出具了《关于职教园区中型垃圾转运站建设项目建议书的批复》（达市发改审〔2025〕19号），同意</w:t>
            </w:r>
            <w:r>
              <w:rPr>
                <w:rFonts w:hint="eastAsia"/>
                <w:sz w:val="24"/>
                <w:lang w:eastAsia="zh-CN"/>
              </w:rPr>
              <w:t>本</w:t>
            </w:r>
            <w:r>
              <w:rPr>
                <w:rFonts w:hint="eastAsia"/>
                <w:bCs/>
                <w:kern w:val="0"/>
                <w:sz w:val="24"/>
              </w:rPr>
              <w:t>项目建设。</w:t>
            </w:r>
          </w:p>
          <w:p w14:paraId="0EB82FA2">
            <w:pPr>
              <w:autoSpaceDE w:val="0"/>
              <w:autoSpaceDN w:val="0"/>
              <w:adjustRightInd w:val="0"/>
              <w:snapToGrid w:val="0"/>
              <w:spacing w:line="360" w:lineRule="auto"/>
              <w:ind w:firstLine="480" w:firstLineChars="200"/>
              <w:rPr>
                <w:b/>
                <w:bCs/>
                <w:kern w:val="0"/>
                <w:sz w:val="24"/>
              </w:rPr>
            </w:pPr>
            <w:r>
              <w:rPr>
                <w:rFonts w:hint="eastAsia"/>
                <w:bCs/>
                <w:kern w:val="0"/>
                <w:sz w:val="24"/>
              </w:rPr>
              <w:t>综上所述</w:t>
            </w:r>
            <w:r>
              <w:rPr>
                <w:bCs/>
                <w:kern w:val="0"/>
                <w:sz w:val="24"/>
              </w:rPr>
              <w:t>，</w:t>
            </w:r>
            <w:r>
              <w:rPr>
                <w:bCs/>
                <w:sz w:val="24"/>
              </w:rPr>
              <w:t>本项目的建设符合国家现行产业政策。</w:t>
            </w:r>
          </w:p>
          <w:p w14:paraId="4B081B30">
            <w:pPr>
              <w:autoSpaceDE w:val="0"/>
              <w:autoSpaceDN w:val="0"/>
              <w:adjustRightInd w:val="0"/>
              <w:snapToGrid w:val="0"/>
              <w:spacing w:line="360" w:lineRule="auto"/>
              <w:ind w:firstLine="482" w:firstLineChars="200"/>
              <w:rPr>
                <w:b/>
                <w:bCs/>
                <w:kern w:val="0"/>
                <w:sz w:val="24"/>
              </w:rPr>
            </w:pPr>
            <w:r>
              <w:rPr>
                <w:rFonts w:hint="eastAsia"/>
                <w:b/>
                <w:bCs/>
                <w:kern w:val="0"/>
                <w:sz w:val="24"/>
              </w:rPr>
              <w:t>2、用地规划符合性分析</w:t>
            </w:r>
          </w:p>
          <w:p w14:paraId="1107E944">
            <w:pPr>
              <w:widowControl/>
              <w:spacing w:line="360" w:lineRule="auto"/>
              <w:ind w:firstLine="480" w:firstLineChars="200"/>
              <w:rPr>
                <w:bCs/>
                <w:sz w:val="24"/>
              </w:rPr>
            </w:pPr>
            <w:r>
              <w:rPr>
                <w:sz w:val="24"/>
              </w:rPr>
              <w:t>本项目位于</w:t>
            </w:r>
            <w:r>
              <w:rPr>
                <w:rFonts w:hint="eastAsia"/>
                <w:sz w:val="24"/>
              </w:rPr>
              <w:t>达州市通川区西南职教园区</w:t>
            </w:r>
            <w:r>
              <w:rPr>
                <w:sz w:val="24"/>
              </w:rPr>
              <w:t>，规划建设用地性质为</w:t>
            </w:r>
            <w:r>
              <w:rPr>
                <w:rFonts w:hint="eastAsia"/>
                <w:sz w:val="24"/>
              </w:rPr>
              <w:t>公共设施用地（环卫用地）</w:t>
            </w:r>
            <w:r>
              <w:rPr>
                <w:sz w:val="24"/>
              </w:rPr>
              <w:t>。</w:t>
            </w:r>
            <w:r>
              <w:rPr>
                <w:rFonts w:hint="eastAsia"/>
                <w:sz w:val="24"/>
              </w:rPr>
              <w:t>本项目</w:t>
            </w:r>
            <w:r>
              <w:rPr>
                <w:sz w:val="24"/>
              </w:rPr>
              <w:t>已取</w:t>
            </w:r>
            <w:r>
              <w:rPr>
                <w:kern w:val="0"/>
                <w:sz w:val="24"/>
                <w:lang w:bidi="ar"/>
              </w:rPr>
              <w:t>得</w:t>
            </w:r>
            <w:r>
              <w:rPr>
                <w:rFonts w:hint="eastAsia"/>
                <w:sz w:val="24"/>
              </w:rPr>
              <w:t>达州市自然资源和规划局颁发的建设项目用地预审与选址意见书</w:t>
            </w:r>
            <w:r>
              <w:rPr>
                <w:sz w:val="24"/>
              </w:rPr>
              <w:t>（</w:t>
            </w:r>
            <w:r>
              <w:rPr>
                <w:rFonts w:hint="eastAsia"/>
                <w:sz w:val="24"/>
              </w:rPr>
              <w:t>用字地5117022024XS0019446号），明确本项目符合国土空间用途管制要求。</w:t>
            </w:r>
            <w:r>
              <w:rPr>
                <w:rFonts w:hint="eastAsia" w:ascii="宋体" w:hAnsi="宋体" w:cs="宋体"/>
                <w:kern w:val="0"/>
                <w:sz w:val="24"/>
                <w:lang w:bidi="ar"/>
              </w:rPr>
              <w:t>即本项目符合用地规划。</w:t>
            </w:r>
          </w:p>
          <w:p w14:paraId="778C8D99">
            <w:pPr>
              <w:pStyle w:val="22"/>
              <w:spacing w:line="360" w:lineRule="auto"/>
              <w:ind w:firstLine="482"/>
              <w:jc w:val="both"/>
              <w:rPr>
                <w:rFonts w:hint="default" w:ascii="Times New Roman" w:eastAsia="宋体"/>
                <w:b/>
                <w:bCs w:val="0"/>
                <w:sz w:val="24"/>
              </w:rPr>
            </w:pPr>
            <w:r>
              <w:rPr>
                <w:rFonts w:hint="default" w:ascii="Times New Roman" w:eastAsia="宋体"/>
                <w:b/>
                <w:bCs w:val="0"/>
                <w:sz w:val="24"/>
              </w:rPr>
              <w:t>3、“三线一单”符合性分析</w:t>
            </w:r>
          </w:p>
          <w:p w14:paraId="662113C0">
            <w:pPr>
              <w:tabs>
                <w:tab w:val="left" w:pos="1327"/>
              </w:tabs>
              <w:spacing w:line="360" w:lineRule="auto"/>
              <w:ind w:firstLine="482" w:firstLineChars="200"/>
              <w:jc w:val="left"/>
              <w:rPr>
                <w:b/>
                <w:bCs/>
                <w:sz w:val="24"/>
              </w:rPr>
            </w:pPr>
            <w:r>
              <w:rPr>
                <w:rFonts w:hint="eastAsia"/>
                <w:b/>
                <w:bCs/>
                <w:sz w:val="24"/>
              </w:rPr>
              <w:t>（1）与《四川省人民政府关于落实生态保护红线、环境质量底线、资源利用上线制定生态环境准入清单实施生态环境分区管控的通知》（川府发〔2020〕9号）的符合性分析</w:t>
            </w:r>
          </w:p>
          <w:p w14:paraId="1DFF9F9E">
            <w:pPr>
              <w:spacing w:line="360" w:lineRule="auto"/>
              <w:ind w:firstLine="480" w:firstLineChars="200"/>
              <w:rPr>
                <w:color w:val="000000"/>
                <w:kern w:val="0"/>
                <w:sz w:val="24"/>
                <w:lang w:bidi="ar"/>
              </w:rPr>
            </w:pPr>
            <w:r>
              <w:rPr>
                <w:sz w:val="24"/>
              </w:rPr>
              <w:t>本</w:t>
            </w:r>
            <w:r>
              <w:rPr>
                <w:rFonts w:hint="eastAsia"/>
                <w:sz w:val="24"/>
              </w:rPr>
              <w:t>项目</w:t>
            </w:r>
            <w:r>
              <w:rPr>
                <w:sz w:val="24"/>
              </w:rPr>
              <w:t>位于达州市</w:t>
            </w:r>
            <w:r>
              <w:rPr>
                <w:rFonts w:hint="eastAsia"/>
                <w:sz w:val="24"/>
              </w:rPr>
              <w:t>通川区</w:t>
            </w:r>
            <w:r>
              <w:rPr>
                <w:sz w:val="24"/>
              </w:rPr>
              <w:t>，所在地属于川东北经济区，</w:t>
            </w:r>
            <w:r>
              <w:rPr>
                <w:color w:val="000000"/>
                <w:kern w:val="0"/>
                <w:sz w:val="24"/>
                <w:lang w:bidi="ar"/>
              </w:rPr>
              <w:t>本</w:t>
            </w:r>
            <w:r>
              <w:rPr>
                <w:rFonts w:hint="eastAsia"/>
                <w:color w:val="000000"/>
                <w:kern w:val="0"/>
                <w:sz w:val="24"/>
                <w:lang w:bidi="ar"/>
              </w:rPr>
              <w:t>项目涉及其中的重点</w:t>
            </w:r>
            <w:r>
              <w:rPr>
                <w:kern w:val="0"/>
                <w:sz w:val="24"/>
              </w:rPr>
              <w:t>管控单元。</w:t>
            </w:r>
            <w:r>
              <w:rPr>
                <w:color w:val="000000"/>
                <w:kern w:val="0"/>
                <w:sz w:val="24"/>
                <w:lang w:bidi="ar"/>
              </w:rPr>
              <w:t>本</w:t>
            </w:r>
            <w:r>
              <w:rPr>
                <w:rFonts w:hint="eastAsia"/>
                <w:color w:val="000000"/>
                <w:kern w:val="0"/>
                <w:sz w:val="24"/>
                <w:lang w:bidi="ar"/>
              </w:rPr>
              <w:t>规划</w:t>
            </w:r>
            <w:r>
              <w:rPr>
                <w:color w:val="000000"/>
                <w:kern w:val="0"/>
                <w:sz w:val="24"/>
                <w:lang w:bidi="ar"/>
              </w:rPr>
              <w:t>与四川省生态环境分区管控情况相符性分析见</w:t>
            </w:r>
            <w:r>
              <w:rPr>
                <w:rFonts w:hint="eastAsia"/>
                <w:color w:val="000000"/>
                <w:kern w:val="0"/>
                <w:sz w:val="24"/>
                <w:lang w:bidi="ar"/>
              </w:rPr>
              <w:t>下表</w:t>
            </w:r>
            <w:r>
              <w:rPr>
                <w:color w:val="000000"/>
                <w:kern w:val="0"/>
                <w:sz w:val="24"/>
                <w:lang w:bidi="ar"/>
              </w:rPr>
              <w:t>。</w:t>
            </w:r>
          </w:p>
          <w:p w14:paraId="729B3554">
            <w:pPr>
              <w:jc w:val="center"/>
              <w:rPr>
                <w:b/>
                <w:bCs/>
                <w:szCs w:val="21"/>
              </w:rPr>
            </w:pPr>
            <w:r>
              <w:rPr>
                <w:b/>
                <w:bCs/>
                <w:szCs w:val="21"/>
              </w:rPr>
              <w:t>表1-2   项目与四川省生态环境分区管控要求相符性分析</w:t>
            </w:r>
          </w:p>
          <w:tbl>
            <w:tblPr>
              <w:tblStyle w:val="28"/>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3795"/>
              <w:gridCol w:w="3074"/>
            </w:tblGrid>
            <w:tr w14:paraId="7F16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vAlign w:val="center"/>
                </w:tcPr>
                <w:p w14:paraId="4759DBEA">
                  <w:pPr>
                    <w:widowControl/>
                    <w:adjustRightInd w:val="0"/>
                    <w:snapToGrid w:val="0"/>
                    <w:jc w:val="center"/>
                    <w:rPr>
                      <w:szCs w:val="21"/>
                    </w:rPr>
                  </w:pPr>
                  <w:r>
                    <w:rPr>
                      <w:rFonts w:hint="eastAsia"/>
                      <w:szCs w:val="21"/>
                    </w:rPr>
                    <w:t>环境管控单元类型</w:t>
                  </w:r>
                </w:p>
              </w:tc>
              <w:tc>
                <w:tcPr>
                  <w:tcW w:w="3795" w:type="dxa"/>
                  <w:vAlign w:val="center"/>
                </w:tcPr>
                <w:p w14:paraId="5D567859">
                  <w:pPr>
                    <w:widowControl/>
                    <w:adjustRightInd w:val="0"/>
                    <w:snapToGrid w:val="0"/>
                    <w:jc w:val="center"/>
                    <w:rPr>
                      <w:szCs w:val="21"/>
                    </w:rPr>
                  </w:pPr>
                  <w:r>
                    <w:rPr>
                      <w:rFonts w:hint="eastAsia"/>
                      <w:szCs w:val="21"/>
                    </w:rPr>
                    <w:t>总体管控要求</w:t>
                  </w:r>
                </w:p>
              </w:tc>
              <w:tc>
                <w:tcPr>
                  <w:tcW w:w="3074" w:type="dxa"/>
                  <w:vAlign w:val="center"/>
                </w:tcPr>
                <w:p w14:paraId="5953CE17">
                  <w:pPr>
                    <w:widowControl/>
                    <w:adjustRightInd w:val="0"/>
                    <w:snapToGrid w:val="0"/>
                    <w:jc w:val="center"/>
                    <w:rPr>
                      <w:szCs w:val="21"/>
                    </w:rPr>
                  </w:pPr>
                  <w:r>
                    <w:rPr>
                      <w:rFonts w:hint="eastAsia"/>
                      <w:szCs w:val="21"/>
                    </w:rPr>
                    <w:t>本项目情况</w:t>
                  </w:r>
                </w:p>
              </w:tc>
            </w:tr>
            <w:tr w14:paraId="2863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vAlign w:val="center"/>
                </w:tcPr>
                <w:p w14:paraId="0FF3E0C9">
                  <w:pPr>
                    <w:widowControl/>
                    <w:adjustRightInd w:val="0"/>
                    <w:snapToGrid w:val="0"/>
                    <w:jc w:val="center"/>
                    <w:rPr>
                      <w:szCs w:val="21"/>
                    </w:rPr>
                  </w:pPr>
                  <w:r>
                    <w:rPr>
                      <w:rFonts w:hint="eastAsia"/>
                      <w:szCs w:val="21"/>
                    </w:rPr>
                    <w:t>优先保护单元</w:t>
                  </w:r>
                </w:p>
              </w:tc>
              <w:tc>
                <w:tcPr>
                  <w:tcW w:w="3795" w:type="dxa"/>
                  <w:vAlign w:val="center"/>
                </w:tcPr>
                <w:p w14:paraId="1A03447B">
                  <w:pPr>
                    <w:widowControl/>
                    <w:adjustRightInd w:val="0"/>
                    <w:snapToGrid w:val="0"/>
                    <w:rPr>
                      <w:szCs w:val="21"/>
                    </w:rPr>
                  </w:pPr>
                  <w:r>
                    <w:rPr>
                      <w:szCs w:val="21"/>
                    </w:rPr>
                    <w:t>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w:t>
                  </w:r>
                  <w:r>
                    <w:rPr>
                      <w:rFonts w:hint="eastAsia"/>
                      <w:szCs w:val="21"/>
                    </w:rPr>
                    <w:t>；一</w:t>
                  </w:r>
                  <w:r>
                    <w:rPr>
                      <w:szCs w:val="21"/>
                    </w:rPr>
                    <w:t>般生态空间按限制开发区域的要求进行管理，原则上不再新建各类开发区和扩大现有工业园区面积，已有的工业开发区要逐步改造成为低能耗、可循环、“零污染”的生态型工业区，鼓励发展“飞地经济”。</w:t>
                  </w:r>
                </w:p>
              </w:tc>
              <w:tc>
                <w:tcPr>
                  <w:tcW w:w="3074" w:type="dxa"/>
                  <w:vAlign w:val="center"/>
                </w:tcPr>
                <w:p w14:paraId="0A66E4C6">
                  <w:pPr>
                    <w:widowControl/>
                    <w:adjustRightInd w:val="0"/>
                    <w:snapToGrid w:val="0"/>
                    <w:jc w:val="center"/>
                    <w:rPr>
                      <w:szCs w:val="21"/>
                    </w:rPr>
                  </w:pPr>
                  <w:r>
                    <w:rPr>
                      <w:rFonts w:hint="eastAsia"/>
                      <w:szCs w:val="21"/>
                    </w:rPr>
                    <w:t>/</w:t>
                  </w:r>
                </w:p>
              </w:tc>
            </w:tr>
            <w:tr w14:paraId="2299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vAlign w:val="center"/>
                </w:tcPr>
                <w:p w14:paraId="01E8A0C0">
                  <w:pPr>
                    <w:widowControl/>
                    <w:adjustRightInd w:val="0"/>
                    <w:snapToGrid w:val="0"/>
                    <w:jc w:val="center"/>
                    <w:rPr>
                      <w:szCs w:val="21"/>
                    </w:rPr>
                  </w:pPr>
                  <w:r>
                    <w:rPr>
                      <w:rFonts w:hint="eastAsia"/>
                      <w:szCs w:val="21"/>
                    </w:rPr>
                    <w:t>重点管控单元</w:t>
                  </w:r>
                </w:p>
              </w:tc>
              <w:tc>
                <w:tcPr>
                  <w:tcW w:w="3795" w:type="dxa"/>
                  <w:vAlign w:val="center"/>
                </w:tcPr>
                <w:p w14:paraId="546B89F0">
                  <w:pPr>
                    <w:widowControl/>
                    <w:jc w:val="left"/>
                    <w:rPr>
                      <w:szCs w:val="21"/>
                    </w:rPr>
                  </w:pPr>
                  <w:r>
                    <w:rPr>
                      <w:rFonts w:hint="eastAsia" w:ascii="宋体" w:hAnsi="宋体" w:cs="宋体"/>
                      <w:color w:val="000000"/>
                      <w:kern w:val="0"/>
                      <w:szCs w:val="21"/>
                      <w:lang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3074" w:type="dxa"/>
                  <w:vAlign w:val="center"/>
                </w:tcPr>
                <w:p w14:paraId="3C97B221">
                  <w:pPr>
                    <w:widowControl/>
                    <w:adjustRightInd w:val="0"/>
                    <w:snapToGrid w:val="0"/>
                    <w:jc w:val="center"/>
                    <w:rPr>
                      <w:szCs w:val="21"/>
                      <w:shd w:val="clear" w:color="auto" w:fill="FFFFFF"/>
                    </w:rPr>
                  </w:pPr>
                  <w:r>
                    <w:rPr>
                      <w:rStyle w:val="30"/>
                      <w:rFonts w:hint="eastAsia"/>
                      <w:b w:val="0"/>
                      <w:bCs w:val="0"/>
                      <w:szCs w:val="21"/>
                      <w:shd w:val="clear" w:color="auto" w:fill="FFFFFF"/>
                    </w:rPr>
                    <w:t>本项目所在区域为</w:t>
                  </w:r>
                  <w:r>
                    <w:rPr>
                      <w:rFonts w:hint="eastAsia" w:ascii="宋体" w:hAnsi="宋体" w:cs="宋体"/>
                      <w:kern w:val="0"/>
                      <w:szCs w:val="21"/>
                      <w:lang w:bidi="ar"/>
                    </w:rPr>
                    <w:t>环境质量达标区域，</w:t>
                  </w:r>
                  <w:r>
                    <w:rPr>
                      <w:rFonts w:hint="eastAsia"/>
                      <w:szCs w:val="21"/>
                    </w:rPr>
                    <w:t>建设单位在采取本项目提出的环保措施后，废水、废气、噪声能够达标排放，固废能够得到妥善处置，能够落实生态环境保护基本要求。</w:t>
                  </w:r>
                </w:p>
              </w:tc>
            </w:tr>
            <w:tr w14:paraId="0855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vAlign w:val="center"/>
                </w:tcPr>
                <w:p w14:paraId="716D18AA">
                  <w:pPr>
                    <w:widowControl/>
                    <w:adjustRightInd w:val="0"/>
                    <w:snapToGrid w:val="0"/>
                    <w:jc w:val="center"/>
                    <w:rPr>
                      <w:szCs w:val="21"/>
                    </w:rPr>
                  </w:pPr>
                  <w:r>
                    <w:rPr>
                      <w:rFonts w:hint="eastAsia"/>
                      <w:szCs w:val="21"/>
                    </w:rPr>
                    <w:t>一般管控单元</w:t>
                  </w:r>
                </w:p>
              </w:tc>
              <w:tc>
                <w:tcPr>
                  <w:tcW w:w="3795" w:type="dxa"/>
                  <w:vAlign w:val="center"/>
                </w:tcPr>
                <w:p w14:paraId="01581A36">
                  <w:pPr>
                    <w:widowControl/>
                    <w:jc w:val="left"/>
                    <w:rPr>
                      <w:szCs w:val="21"/>
                    </w:rPr>
                  </w:pPr>
                  <w:r>
                    <w:rPr>
                      <w:rFonts w:hint="eastAsia" w:ascii="宋体" w:hAnsi="宋体" w:cs="宋体"/>
                      <w:color w:val="000000"/>
                      <w:kern w:val="0"/>
                      <w:szCs w:val="21"/>
                      <w:lang w:bidi="ar"/>
                    </w:rPr>
                    <w:t>一般管控单元中，执行区域生态环境保护的基本要求，对其中的永久基本农田实施永久特殊保护，不得擅自占用或者改变用途；对其中要素重点管控区提出水和大气污染重点管控要求。</w:t>
                  </w:r>
                </w:p>
              </w:tc>
              <w:tc>
                <w:tcPr>
                  <w:tcW w:w="3074" w:type="dxa"/>
                  <w:vAlign w:val="center"/>
                </w:tcPr>
                <w:p w14:paraId="2BF24530">
                  <w:pPr>
                    <w:widowControl/>
                    <w:adjustRightInd w:val="0"/>
                    <w:snapToGrid w:val="0"/>
                    <w:jc w:val="center"/>
                    <w:rPr>
                      <w:szCs w:val="21"/>
                    </w:rPr>
                  </w:pPr>
                  <w:r>
                    <w:rPr>
                      <w:rFonts w:hint="eastAsia"/>
                      <w:szCs w:val="21"/>
                    </w:rPr>
                    <w:t>/</w:t>
                  </w:r>
                </w:p>
              </w:tc>
            </w:tr>
            <w:tr w14:paraId="6BF1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vAlign w:val="center"/>
                </w:tcPr>
                <w:p w14:paraId="40BDF469">
                  <w:pPr>
                    <w:widowControl/>
                    <w:adjustRightInd w:val="0"/>
                    <w:snapToGrid w:val="0"/>
                    <w:jc w:val="center"/>
                    <w:rPr>
                      <w:szCs w:val="21"/>
                    </w:rPr>
                  </w:pPr>
                  <w:r>
                    <w:rPr>
                      <w:rFonts w:hint="eastAsia"/>
                      <w:szCs w:val="21"/>
                    </w:rPr>
                    <w:t>川东北经济区</w:t>
                  </w:r>
                </w:p>
              </w:tc>
              <w:tc>
                <w:tcPr>
                  <w:tcW w:w="3795" w:type="dxa"/>
                  <w:vAlign w:val="center"/>
                </w:tcPr>
                <w:p w14:paraId="52563F1E">
                  <w:pPr>
                    <w:widowControl/>
                    <w:jc w:val="left"/>
                  </w:pPr>
                  <w:r>
                    <w:rPr>
                      <w:rFonts w:hint="eastAsia" w:ascii="宋体" w:hAnsi="宋体" w:cs="宋体"/>
                      <w:color w:val="000000"/>
                      <w:kern w:val="0"/>
                      <w:szCs w:val="21"/>
                      <w:lang w:bidi="ar"/>
                    </w:rPr>
                    <w:t>①控制农村面</w:t>
                  </w:r>
                  <w:r>
                    <w:rPr>
                      <w:rFonts w:hint="eastAsia" w:ascii="宋体" w:hAnsi="宋体" w:cs="宋体"/>
                      <w:color w:val="000000"/>
                      <w:kern w:val="0"/>
                      <w:szCs w:val="21"/>
                      <w:lang w:eastAsia="zh-CN" w:bidi="ar"/>
                    </w:rPr>
                    <w:t>源</w:t>
                  </w:r>
                  <w:r>
                    <w:rPr>
                      <w:rFonts w:hint="eastAsia" w:ascii="宋体" w:hAnsi="宋体" w:cs="宋体"/>
                      <w:color w:val="000000"/>
                      <w:kern w:val="0"/>
                      <w:szCs w:val="21"/>
                      <w:lang w:bidi="ar"/>
                    </w:rPr>
                    <w:t xml:space="preserve">大气污染防治染，提高废水收集处理率，加快乡镇污水处理基础设施建设。 </w:t>
                  </w:r>
                </w:p>
                <w:p w14:paraId="51C03152">
                  <w:pPr>
                    <w:widowControl/>
                    <w:jc w:val="left"/>
                  </w:pPr>
                  <w:r>
                    <w:rPr>
                      <w:rFonts w:hint="eastAsia" w:ascii="宋体" w:hAnsi="宋体" w:cs="宋体"/>
                      <w:color w:val="000000"/>
                      <w:kern w:val="0"/>
                      <w:szCs w:val="21"/>
                      <w:lang w:bidi="ar"/>
                    </w:rPr>
                    <w:t xml:space="preserve">②建设流域水环境风险联防联控体系。 </w:t>
                  </w:r>
                </w:p>
                <w:p w14:paraId="5531054F">
                  <w:pPr>
                    <w:widowControl/>
                    <w:jc w:val="left"/>
                    <w:rPr>
                      <w:szCs w:val="21"/>
                    </w:rPr>
                  </w:pPr>
                  <w:r>
                    <w:rPr>
                      <w:rFonts w:hint="eastAsia" w:ascii="宋体" w:hAnsi="宋体" w:cs="宋体"/>
                      <w:color w:val="000000"/>
                      <w:kern w:val="0"/>
                      <w:szCs w:val="21"/>
                      <w:lang w:bidi="ar"/>
                    </w:rPr>
                    <w:t>③提高水平。</w:t>
                  </w:r>
                </w:p>
              </w:tc>
              <w:tc>
                <w:tcPr>
                  <w:tcW w:w="3074" w:type="dxa"/>
                  <w:vAlign w:val="center"/>
                </w:tcPr>
                <w:p w14:paraId="54A57E77">
                  <w:pPr>
                    <w:widowControl/>
                    <w:adjustRightInd w:val="0"/>
                    <w:snapToGrid w:val="0"/>
                    <w:jc w:val="center"/>
                    <w:rPr>
                      <w:szCs w:val="21"/>
                    </w:rPr>
                  </w:pPr>
                  <w:r>
                    <w:rPr>
                      <w:rFonts w:hint="eastAsia"/>
                      <w:iCs/>
                      <w:snapToGrid w:val="0"/>
                      <w:kern w:val="0"/>
                      <w:szCs w:val="21"/>
                    </w:rPr>
                    <w:t>不涉及</w:t>
                  </w:r>
                  <w:r>
                    <w:rPr>
                      <w:rFonts w:hint="eastAsia"/>
                      <w:szCs w:val="21"/>
                    </w:rPr>
                    <w:t>。</w:t>
                  </w:r>
                </w:p>
              </w:tc>
            </w:tr>
          </w:tbl>
          <w:p w14:paraId="2B192EB6">
            <w:pPr>
              <w:adjustRightInd w:val="0"/>
              <w:snapToGrid w:val="0"/>
              <w:spacing w:before="120" w:beforeLines="50" w:line="360" w:lineRule="auto"/>
              <w:ind w:firstLine="482" w:firstLineChars="200"/>
              <w:rPr>
                <w:b/>
                <w:bCs/>
                <w:sz w:val="24"/>
              </w:rPr>
            </w:pPr>
            <w:r>
              <w:rPr>
                <w:rFonts w:hint="eastAsia"/>
                <w:b/>
                <w:bCs/>
                <w:sz w:val="24"/>
              </w:rPr>
              <w:t>（2）</w:t>
            </w:r>
            <w:r>
              <w:rPr>
                <w:b/>
                <w:bCs/>
                <w:sz w:val="24"/>
              </w:rPr>
              <w:t>与《</w:t>
            </w:r>
            <w:r>
              <w:rPr>
                <w:rFonts w:hint="eastAsia"/>
                <w:b/>
                <w:bCs/>
                <w:sz w:val="24"/>
              </w:rPr>
              <w:t>达州市人民政府办公室关于加强生态环境分区管控的通知</w:t>
            </w:r>
            <w:r>
              <w:rPr>
                <w:b/>
                <w:bCs/>
                <w:sz w:val="24"/>
              </w:rPr>
              <w:t>》（</w:t>
            </w:r>
            <w:r>
              <w:rPr>
                <w:rFonts w:hint="eastAsia"/>
                <w:b/>
                <w:bCs/>
                <w:sz w:val="24"/>
              </w:rPr>
              <w:t>达市府办函〔2024〕31号）的</w:t>
            </w:r>
            <w:r>
              <w:rPr>
                <w:b/>
                <w:bCs/>
                <w:sz w:val="24"/>
              </w:rPr>
              <w:t>符合性</w:t>
            </w:r>
            <w:r>
              <w:rPr>
                <w:rFonts w:hint="eastAsia"/>
                <w:b/>
                <w:bCs/>
                <w:sz w:val="24"/>
              </w:rPr>
              <w:t>分析</w:t>
            </w:r>
          </w:p>
          <w:p w14:paraId="0021BAFC">
            <w:pPr>
              <w:pStyle w:val="17"/>
              <w:widowControl w:val="0"/>
              <w:spacing w:after="0" w:line="360" w:lineRule="auto"/>
              <w:ind w:left="0" w:leftChars="0" w:firstLine="480"/>
              <w:rPr>
                <w:szCs w:val="24"/>
              </w:rPr>
            </w:pPr>
            <w:r>
              <w:rPr>
                <w:szCs w:val="24"/>
              </w:rPr>
              <w:t>根据达州市人民政府发布的</w:t>
            </w:r>
            <w:r>
              <w:rPr>
                <w:rFonts w:hint="eastAsia"/>
                <w:szCs w:val="24"/>
              </w:rPr>
              <w:t>《达州市人民政府办公室关于加强生态环境分区管控的通知》（达市府办函〔2024〕31号）</w:t>
            </w:r>
            <w:r>
              <w:rPr>
                <w:szCs w:val="24"/>
              </w:rPr>
              <w:t>，</w:t>
            </w:r>
            <w:r>
              <w:rPr>
                <w:rFonts w:hint="eastAsia"/>
                <w:szCs w:val="24"/>
              </w:rPr>
              <w:t>为贯彻落实《中共中央办公厅 国务院办公厅关于加强生态环境分区管控的意见》《四川省生态环境保护委员会办公室关于印发〈2023年生态环境分区管控成果动态更新工作方案〉的通知》（川环委办〔2023〕11号）要求，充分衔接《达州市国土空间总体规划（2021—2035年）》最新成果，动态更新我市生态环境分区管控要求，以高水平保护助推经济高质量发展。经市政府同意，加强生态环境分区管控有关事项通知如下。</w:t>
            </w:r>
          </w:p>
          <w:p w14:paraId="290F183C">
            <w:pPr>
              <w:jc w:val="center"/>
              <w:rPr>
                <w:b/>
                <w:bCs/>
                <w:szCs w:val="21"/>
              </w:rPr>
            </w:pPr>
            <w:r>
              <w:rPr>
                <w:b/>
                <w:bCs/>
                <w:szCs w:val="21"/>
              </w:rPr>
              <w:t>表</w:t>
            </w:r>
            <w:r>
              <w:rPr>
                <w:rFonts w:hint="eastAsia"/>
                <w:b/>
                <w:bCs/>
                <w:szCs w:val="21"/>
              </w:rPr>
              <w:t>1-3</w:t>
            </w:r>
            <w:r>
              <w:rPr>
                <w:b/>
                <w:bCs/>
                <w:szCs w:val="21"/>
              </w:rPr>
              <w:t xml:space="preserve">   </w:t>
            </w:r>
            <w:r>
              <w:rPr>
                <w:rFonts w:hint="eastAsia"/>
                <w:b/>
                <w:bCs/>
                <w:szCs w:val="21"/>
              </w:rPr>
              <w:t>项目</w:t>
            </w:r>
            <w:r>
              <w:rPr>
                <w:b/>
                <w:bCs/>
                <w:szCs w:val="21"/>
              </w:rPr>
              <w:t>与达州市及</w:t>
            </w:r>
            <w:r>
              <w:rPr>
                <w:rFonts w:hint="eastAsia"/>
                <w:b/>
                <w:bCs/>
                <w:szCs w:val="21"/>
              </w:rPr>
              <w:t>通川总体生态环境管控要求符合性分析</w:t>
            </w: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6"/>
              <w:gridCol w:w="4327"/>
              <w:gridCol w:w="2676"/>
              <w:gridCol w:w="828"/>
            </w:tblGrid>
            <w:tr w14:paraId="7551CC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tcBorders>
                    <w:tl2br w:val="nil"/>
                    <w:tr2bl w:val="nil"/>
                  </w:tcBorders>
                  <w:vAlign w:val="center"/>
                </w:tcPr>
                <w:p w14:paraId="4321829A">
                  <w:pPr>
                    <w:pStyle w:val="17"/>
                    <w:widowControl w:val="0"/>
                    <w:spacing w:after="0" w:line="240" w:lineRule="auto"/>
                    <w:ind w:left="0" w:leftChars="0" w:firstLine="0" w:firstLineChars="0"/>
                    <w:jc w:val="center"/>
                    <w:rPr>
                      <w:sz w:val="21"/>
                      <w:szCs w:val="21"/>
                    </w:rPr>
                  </w:pPr>
                  <w:r>
                    <w:rPr>
                      <w:rFonts w:hint="eastAsia"/>
                      <w:sz w:val="21"/>
                      <w:szCs w:val="21"/>
                    </w:rPr>
                    <w:t>行政区划</w:t>
                  </w:r>
                </w:p>
              </w:tc>
              <w:tc>
                <w:tcPr>
                  <w:tcW w:w="2510" w:type="pct"/>
                  <w:tcBorders>
                    <w:tl2br w:val="nil"/>
                    <w:tr2bl w:val="nil"/>
                  </w:tcBorders>
                  <w:vAlign w:val="center"/>
                </w:tcPr>
                <w:p w14:paraId="779C16C6">
                  <w:pPr>
                    <w:pStyle w:val="17"/>
                    <w:widowControl w:val="0"/>
                    <w:spacing w:after="0" w:line="240" w:lineRule="auto"/>
                    <w:ind w:left="0" w:leftChars="0" w:firstLine="0" w:firstLineChars="0"/>
                    <w:jc w:val="center"/>
                    <w:rPr>
                      <w:sz w:val="21"/>
                      <w:szCs w:val="21"/>
                    </w:rPr>
                  </w:pPr>
                  <w:r>
                    <w:rPr>
                      <w:rFonts w:hint="eastAsia"/>
                      <w:sz w:val="21"/>
                      <w:szCs w:val="21"/>
                    </w:rPr>
                    <w:t>总体生态管控要求</w:t>
                  </w:r>
                </w:p>
              </w:tc>
              <w:tc>
                <w:tcPr>
                  <w:tcW w:w="1552" w:type="pct"/>
                  <w:tcBorders>
                    <w:tl2br w:val="nil"/>
                    <w:tr2bl w:val="nil"/>
                  </w:tcBorders>
                  <w:vAlign w:val="center"/>
                </w:tcPr>
                <w:p w14:paraId="3A22990D">
                  <w:pPr>
                    <w:pStyle w:val="17"/>
                    <w:widowControl w:val="0"/>
                    <w:spacing w:after="0" w:line="240" w:lineRule="auto"/>
                    <w:ind w:left="0" w:leftChars="0" w:firstLine="0" w:firstLineChars="0"/>
                    <w:jc w:val="center"/>
                    <w:rPr>
                      <w:sz w:val="21"/>
                      <w:szCs w:val="21"/>
                    </w:rPr>
                  </w:pPr>
                  <w:r>
                    <w:rPr>
                      <w:rFonts w:hint="eastAsia"/>
                      <w:sz w:val="21"/>
                      <w:szCs w:val="21"/>
                    </w:rPr>
                    <w:t>本规划</w:t>
                  </w:r>
                </w:p>
              </w:tc>
              <w:tc>
                <w:tcPr>
                  <w:tcW w:w="480" w:type="pct"/>
                  <w:tcBorders>
                    <w:tl2br w:val="nil"/>
                    <w:tr2bl w:val="nil"/>
                  </w:tcBorders>
                  <w:vAlign w:val="center"/>
                </w:tcPr>
                <w:p w14:paraId="5C564995">
                  <w:pPr>
                    <w:pStyle w:val="17"/>
                    <w:widowControl w:val="0"/>
                    <w:spacing w:after="0" w:line="240" w:lineRule="auto"/>
                    <w:ind w:left="0" w:leftChars="0" w:firstLine="0" w:firstLineChars="0"/>
                    <w:jc w:val="center"/>
                    <w:rPr>
                      <w:sz w:val="21"/>
                      <w:szCs w:val="21"/>
                    </w:rPr>
                  </w:pPr>
                  <w:r>
                    <w:rPr>
                      <w:rFonts w:hint="eastAsia"/>
                      <w:sz w:val="21"/>
                      <w:szCs w:val="21"/>
                    </w:rPr>
                    <w:t>符合性</w:t>
                  </w:r>
                </w:p>
              </w:tc>
            </w:tr>
            <w:tr w14:paraId="78B3AE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restart"/>
                  <w:tcBorders>
                    <w:tl2br w:val="nil"/>
                    <w:tr2bl w:val="nil"/>
                  </w:tcBorders>
                  <w:vAlign w:val="center"/>
                </w:tcPr>
                <w:p w14:paraId="5E1A19EC">
                  <w:pPr>
                    <w:pStyle w:val="17"/>
                    <w:widowControl w:val="0"/>
                    <w:spacing w:after="0" w:line="240" w:lineRule="auto"/>
                    <w:ind w:left="0" w:leftChars="0" w:firstLine="0" w:firstLineChars="0"/>
                    <w:jc w:val="center"/>
                    <w:rPr>
                      <w:sz w:val="21"/>
                      <w:szCs w:val="21"/>
                    </w:rPr>
                  </w:pPr>
                  <w:r>
                    <w:rPr>
                      <w:rFonts w:hint="eastAsia"/>
                      <w:sz w:val="21"/>
                      <w:szCs w:val="21"/>
                    </w:rPr>
                    <w:t>达州市</w:t>
                  </w:r>
                </w:p>
              </w:tc>
              <w:tc>
                <w:tcPr>
                  <w:tcW w:w="2510" w:type="pct"/>
                  <w:tcBorders>
                    <w:tl2br w:val="nil"/>
                    <w:tr2bl w:val="nil"/>
                  </w:tcBorders>
                  <w:vAlign w:val="center"/>
                </w:tcPr>
                <w:p w14:paraId="2A61629B">
                  <w:pPr>
                    <w:pStyle w:val="17"/>
                    <w:widowControl w:val="0"/>
                    <w:spacing w:after="0" w:line="240" w:lineRule="auto"/>
                    <w:ind w:left="0" w:leftChars="0" w:firstLine="0" w:firstLineChars="0"/>
                    <w:rPr>
                      <w:sz w:val="21"/>
                      <w:szCs w:val="21"/>
                    </w:rPr>
                  </w:pPr>
                  <w:r>
                    <w:rPr>
                      <w:rFonts w:hint="eastAsia"/>
                      <w:sz w:val="21"/>
                      <w:szCs w:val="21"/>
                    </w:rPr>
                    <w:t>1. 长江干支流岸线1千米范围内，不得新建、扩建化工园区和化工项目。</w:t>
                  </w:r>
                </w:p>
              </w:tc>
              <w:tc>
                <w:tcPr>
                  <w:tcW w:w="1552" w:type="pct"/>
                  <w:tcBorders>
                    <w:tl2br w:val="nil"/>
                    <w:tr2bl w:val="nil"/>
                  </w:tcBorders>
                  <w:vAlign w:val="center"/>
                </w:tcPr>
                <w:p w14:paraId="75108F0D">
                  <w:pPr>
                    <w:pStyle w:val="17"/>
                    <w:widowControl w:val="0"/>
                    <w:spacing w:after="0" w:line="240" w:lineRule="auto"/>
                    <w:ind w:left="0" w:leftChars="0" w:firstLine="0" w:firstLineChars="0"/>
                    <w:jc w:val="center"/>
                    <w:rPr>
                      <w:sz w:val="21"/>
                      <w:szCs w:val="21"/>
                    </w:rPr>
                  </w:pPr>
                  <w:r>
                    <w:rPr>
                      <w:rFonts w:hint="eastAsia"/>
                      <w:sz w:val="21"/>
                      <w:szCs w:val="21"/>
                    </w:rPr>
                    <w:t>不涉及</w:t>
                  </w:r>
                </w:p>
              </w:tc>
              <w:tc>
                <w:tcPr>
                  <w:tcW w:w="480" w:type="pct"/>
                  <w:tcBorders>
                    <w:tl2br w:val="nil"/>
                    <w:tr2bl w:val="nil"/>
                  </w:tcBorders>
                  <w:vAlign w:val="center"/>
                </w:tcPr>
                <w:p w14:paraId="174CCF26">
                  <w:pPr>
                    <w:pStyle w:val="17"/>
                    <w:widowControl w:val="0"/>
                    <w:spacing w:after="0" w:line="240" w:lineRule="auto"/>
                    <w:ind w:left="0" w:leftChars="0" w:firstLine="0" w:firstLineChars="0"/>
                    <w:jc w:val="center"/>
                    <w:rPr>
                      <w:sz w:val="21"/>
                      <w:szCs w:val="21"/>
                    </w:rPr>
                  </w:pPr>
                  <w:r>
                    <w:rPr>
                      <w:rFonts w:hint="eastAsia"/>
                      <w:sz w:val="21"/>
                      <w:szCs w:val="21"/>
                    </w:rPr>
                    <w:t>/</w:t>
                  </w:r>
                </w:p>
              </w:tc>
            </w:tr>
            <w:tr w14:paraId="63A1CF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202D2E11">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004D0DA2">
                  <w:pPr>
                    <w:pStyle w:val="17"/>
                    <w:widowControl w:val="0"/>
                    <w:spacing w:after="0" w:line="240" w:lineRule="auto"/>
                    <w:ind w:left="0" w:leftChars="0" w:firstLine="0" w:firstLineChars="0"/>
                    <w:rPr>
                      <w:sz w:val="21"/>
                      <w:szCs w:val="21"/>
                    </w:rPr>
                  </w:pPr>
                  <w:r>
                    <w:rPr>
                      <w:rFonts w:hint="eastAsia"/>
                      <w:sz w:val="21"/>
                      <w:szCs w:val="21"/>
                    </w:rPr>
                    <w:t>2. 严控产业转移环境准入。</w:t>
                  </w:r>
                </w:p>
              </w:tc>
              <w:tc>
                <w:tcPr>
                  <w:tcW w:w="1552" w:type="pct"/>
                  <w:tcBorders>
                    <w:tl2br w:val="nil"/>
                    <w:tr2bl w:val="nil"/>
                  </w:tcBorders>
                  <w:vAlign w:val="center"/>
                </w:tcPr>
                <w:p w14:paraId="2710AFF5">
                  <w:pPr>
                    <w:pStyle w:val="17"/>
                    <w:widowControl w:val="0"/>
                    <w:spacing w:after="0" w:line="240" w:lineRule="auto"/>
                    <w:ind w:left="0" w:leftChars="0" w:firstLine="0" w:firstLineChars="0"/>
                    <w:jc w:val="center"/>
                    <w:rPr>
                      <w:sz w:val="21"/>
                      <w:szCs w:val="21"/>
                    </w:rPr>
                  </w:pPr>
                  <w:r>
                    <w:rPr>
                      <w:rFonts w:hint="eastAsia"/>
                      <w:sz w:val="21"/>
                      <w:szCs w:val="21"/>
                    </w:rPr>
                    <w:t>不涉及</w:t>
                  </w:r>
                </w:p>
              </w:tc>
              <w:tc>
                <w:tcPr>
                  <w:tcW w:w="480" w:type="pct"/>
                  <w:tcBorders>
                    <w:tl2br w:val="nil"/>
                    <w:tr2bl w:val="nil"/>
                  </w:tcBorders>
                  <w:vAlign w:val="center"/>
                </w:tcPr>
                <w:p w14:paraId="463B1502">
                  <w:pPr>
                    <w:pStyle w:val="17"/>
                    <w:widowControl w:val="0"/>
                    <w:spacing w:after="0" w:line="240" w:lineRule="auto"/>
                    <w:ind w:left="0" w:leftChars="0" w:firstLine="0" w:firstLineChars="0"/>
                    <w:jc w:val="center"/>
                    <w:rPr>
                      <w:sz w:val="21"/>
                      <w:szCs w:val="21"/>
                    </w:rPr>
                  </w:pPr>
                  <w:r>
                    <w:rPr>
                      <w:rFonts w:hint="eastAsia"/>
                      <w:sz w:val="21"/>
                      <w:szCs w:val="21"/>
                    </w:rPr>
                    <w:t>/</w:t>
                  </w:r>
                </w:p>
              </w:tc>
            </w:tr>
            <w:tr w14:paraId="6E969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456" w:type="pct"/>
                  <w:vMerge w:val="continue"/>
                  <w:tcBorders>
                    <w:tl2br w:val="nil"/>
                    <w:tr2bl w:val="nil"/>
                  </w:tcBorders>
                  <w:vAlign w:val="center"/>
                </w:tcPr>
                <w:p w14:paraId="51942A49">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3C2711AE">
                  <w:pPr>
                    <w:pStyle w:val="17"/>
                    <w:widowControl w:val="0"/>
                    <w:spacing w:after="0" w:line="240" w:lineRule="auto"/>
                    <w:ind w:left="0" w:leftChars="0" w:firstLine="0" w:firstLineChars="0"/>
                    <w:rPr>
                      <w:sz w:val="21"/>
                      <w:szCs w:val="21"/>
                    </w:rPr>
                  </w:pPr>
                  <w:r>
                    <w:rPr>
                      <w:rFonts w:hint="eastAsia"/>
                      <w:sz w:val="21"/>
                      <w:szCs w:val="21"/>
                    </w:rPr>
                    <w:t>3. 引进项目应符合园区规划环评和区域产业准入清单要求。</w:t>
                  </w:r>
                </w:p>
              </w:tc>
              <w:tc>
                <w:tcPr>
                  <w:tcW w:w="1552" w:type="pct"/>
                  <w:tcBorders>
                    <w:tl2br w:val="nil"/>
                    <w:tr2bl w:val="nil"/>
                  </w:tcBorders>
                  <w:vAlign w:val="center"/>
                </w:tcPr>
                <w:p w14:paraId="41DE0DE9">
                  <w:pPr>
                    <w:pStyle w:val="17"/>
                    <w:widowControl w:val="0"/>
                    <w:spacing w:after="0" w:line="240" w:lineRule="auto"/>
                    <w:ind w:left="0" w:leftChars="0" w:firstLine="0" w:firstLineChars="0"/>
                    <w:jc w:val="center"/>
                    <w:rPr>
                      <w:sz w:val="21"/>
                      <w:szCs w:val="21"/>
                    </w:rPr>
                  </w:pPr>
                  <w:r>
                    <w:rPr>
                      <w:rFonts w:hint="eastAsia"/>
                      <w:szCs w:val="21"/>
                    </w:rPr>
                    <w:t>本项目为西南职教园区垃圾中转站，属于园区</w:t>
                  </w:r>
                  <w:r>
                    <w:rPr>
                      <w:rFonts w:hint="eastAsia"/>
                      <w:szCs w:val="21"/>
                      <w:lang w:eastAsia="zh-CN"/>
                    </w:rPr>
                    <w:t>规划</w:t>
                  </w:r>
                  <w:r>
                    <w:rPr>
                      <w:rFonts w:hint="eastAsia"/>
                      <w:szCs w:val="21"/>
                    </w:rPr>
                    <w:t>配套设施，符合规划环评和规划产业准入清单。</w:t>
                  </w:r>
                </w:p>
              </w:tc>
              <w:tc>
                <w:tcPr>
                  <w:tcW w:w="480" w:type="pct"/>
                  <w:tcBorders>
                    <w:tl2br w:val="nil"/>
                    <w:tr2bl w:val="nil"/>
                  </w:tcBorders>
                  <w:vAlign w:val="center"/>
                </w:tcPr>
                <w:p w14:paraId="7EC88B57">
                  <w:pPr>
                    <w:pStyle w:val="17"/>
                    <w:widowControl w:val="0"/>
                    <w:spacing w:after="0" w:line="240" w:lineRule="auto"/>
                    <w:ind w:left="0" w:leftChars="0" w:firstLine="0" w:firstLineChars="0"/>
                    <w:jc w:val="center"/>
                    <w:rPr>
                      <w:sz w:val="21"/>
                      <w:szCs w:val="21"/>
                    </w:rPr>
                  </w:pPr>
                  <w:r>
                    <w:rPr>
                      <w:rFonts w:hint="eastAsia"/>
                      <w:sz w:val="21"/>
                      <w:szCs w:val="21"/>
                    </w:rPr>
                    <w:t>符合</w:t>
                  </w:r>
                </w:p>
              </w:tc>
            </w:tr>
            <w:tr w14:paraId="70B40D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224A2515">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117D647C">
                  <w:pPr>
                    <w:pStyle w:val="17"/>
                    <w:widowControl w:val="0"/>
                    <w:spacing w:after="0" w:line="240" w:lineRule="auto"/>
                    <w:ind w:left="0" w:leftChars="0" w:firstLine="0" w:firstLineChars="0"/>
                    <w:rPr>
                      <w:sz w:val="21"/>
                      <w:szCs w:val="21"/>
                    </w:rPr>
                  </w:pPr>
                  <w:r>
                    <w:rPr>
                      <w:rFonts w:hint="eastAsia"/>
                      <w:sz w:val="21"/>
                      <w:szCs w:val="21"/>
                    </w:rPr>
                    <w:t>4. 造纸等产业污染治理和环境管理应达到国内先进水平。优化制浆造纸产业布局，提升行业清洁生产水平，推动制浆造纸工业向节能、环保、绿色方向发展。</w:t>
                  </w:r>
                </w:p>
              </w:tc>
              <w:tc>
                <w:tcPr>
                  <w:tcW w:w="1552" w:type="pct"/>
                  <w:tcBorders>
                    <w:tl2br w:val="nil"/>
                    <w:tr2bl w:val="nil"/>
                  </w:tcBorders>
                  <w:vAlign w:val="center"/>
                </w:tcPr>
                <w:p w14:paraId="128491F6">
                  <w:pPr>
                    <w:widowControl/>
                    <w:jc w:val="center"/>
                    <w:rPr>
                      <w:szCs w:val="21"/>
                    </w:rPr>
                  </w:pPr>
                  <w:r>
                    <w:rPr>
                      <w:rFonts w:hint="eastAsia"/>
                      <w:szCs w:val="21"/>
                    </w:rPr>
                    <w:t>不涉及</w:t>
                  </w:r>
                </w:p>
              </w:tc>
              <w:tc>
                <w:tcPr>
                  <w:tcW w:w="480" w:type="pct"/>
                  <w:tcBorders>
                    <w:tl2br w:val="nil"/>
                    <w:tr2bl w:val="nil"/>
                  </w:tcBorders>
                  <w:vAlign w:val="center"/>
                </w:tcPr>
                <w:p w14:paraId="02E04497">
                  <w:pPr>
                    <w:pStyle w:val="17"/>
                    <w:widowControl w:val="0"/>
                    <w:spacing w:after="0" w:line="240" w:lineRule="auto"/>
                    <w:ind w:left="0" w:leftChars="0" w:firstLine="0" w:firstLineChars="0"/>
                    <w:jc w:val="center"/>
                    <w:rPr>
                      <w:kern w:val="2"/>
                      <w:sz w:val="21"/>
                      <w:szCs w:val="21"/>
                    </w:rPr>
                  </w:pPr>
                  <w:r>
                    <w:rPr>
                      <w:rFonts w:hint="eastAsia"/>
                      <w:sz w:val="21"/>
                      <w:szCs w:val="21"/>
                    </w:rPr>
                    <w:t>符合</w:t>
                  </w:r>
                </w:p>
              </w:tc>
            </w:tr>
            <w:tr w14:paraId="21004E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4676CDA1">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56BB7A12">
                  <w:pPr>
                    <w:pStyle w:val="17"/>
                    <w:widowControl w:val="0"/>
                    <w:spacing w:after="0" w:line="240" w:lineRule="auto"/>
                    <w:ind w:left="0" w:leftChars="0" w:firstLine="0" w:firstLineChars="0"/>
                    <w:rPr>
                      <w:sz w:val="21"/>
                      <w:szCs w:val="21"/>
                    </w:rPr>
                  </w:pPr>
                  <w:r>
                    <w:rPr>
                      <w:rFonts w:hint="eastAsia"/>
                      <w:sz w:val="21"/>
                      <w:szCs w:val="21"/>
                    </w:rPr>
                    <w:t>5. 深化成都平原、川南、川东北地区大气污染联防联控工作机制，加强川渝地区联防联控。强化重污染天气区域应急联动机制，深化区域重污染天气联合应对。</w:t>
                  </w:r>
                </w:p>
              </w:tc>
              <w:tc>
                <w:tcPr>
                  <w:tcW w:w="1552" w:type="pct"/>
                  <w:tcBorders>
                    <w:tl2br w:val="nil"/>
                    <w:tr2bl w:val="nil"/>
                  </w:tcBorders>
                  <w:vAlign w:val="center"/>
                </w:tcPr>
                <w:p w14:paraId="7146E38C">
                  <w:pPr>
                    <w:pStyle w:val="17"/>
                    <w:widowControl w:val="0"/>
                    <w:spacing w:after="0" w:line="240" w:lineRule="auto"/>
                    <w:ind w:left="0" w:leftChars="0" w:firstLine="0" w:firstLineChars="0"/>
                    <w:jc w:val="center"/>
                    <w:rPr>
                      <w:sz w:val="21"/>
                      <w:szCs w:val="21"/>
                    </w:rPr>
                  </w:pPr>
                  <w:r>
                    <w:rPr>
                      <w:rFonts w:hint="eastAsia"/>
                      <w:sz w:val="21"/>
                      <w:szCs w:val="21"/>
                    </w:rPr>
                    <w:t>不涉及</w:t>
                  </w:r>
                </w:p>
              </w:tc>
              <w:tc>
                <w:tcPr>
                  <w:tcW w:w="480" w:type="pct"/>
                  <w:tcBorders>
                    <w:tl2br w:val="nil"/>
                    <w:tr2bl w:val="nil"/>
                  </w:tcBorders>
                  <w:vAlign w:val="center"/>
                </w:tcPr>
                <w:p w14:paraId="479457FD">
                  <w:pPr>
                    <w:pStyle w:val="17"/>
                    <w:widowControl w:val="0"/>
                    <w:spacing w:after="0" w:line="240" w:lineRule="auto"/>
                    <w:ind w:left="0" w:leftChars="0" w:firstLine="0" w:firstLineChars="0"/>
                    <w:jc w:val="center"/>
                    <w:rPr>
                      <w:kern w:val="2"/>
                      <w:sz w:val="21"/>
                      <w:szCs w:val="21"/>
                    </w:rPr>
                  </w:pPr>
                  <w:r>
                    <w:rPr>
                      <w:rFonts w:hint="eastAsia"/>
                      <w:sz w:val="21"/>
                      <w:szCs w:val="21"/>
                    </w:rPr>
                    <w:t>/</w:t>
                  </w:r>
                </w:p>
              </w:tc>
            </w:tr>
            <w:tr w14:paraId="408038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23D2D95C">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6AE9593D">
                  <w:pPr>
                    <w:pStyle w:val="17"/>
                    <w:widowControl w:val="0"/>
                    <w:spacing w:after="0" w:line="240" w:lineRule="auto"/>
                    <w:ind w:left="0" w:leftChars="0" w:firstLine="0" w:firstLineChars="0"/>
                    <w:rPr>
                      <w:sz w:val="21"/>
                      <w:szCs w:val="21"/>
                    </w:rPr>
                  </w:pPr>
                  <w:r>
                    <w:rPr>
                      <w:rFonts w:hint="eastAsia"/>
                      <w:sz w:val="21"/>
                      <w:szCs w:val="21"/>
                    </w:rPr>
                    <w:t>6. 钢铁行业项目新建应参考达州市“三线一单”生态环境分区管控中钢铁行业资源环境绩效准入门槛；达钢等高污染企业限期退城入园；普光气田开发污染防治和环境管理等方面要</w:t>
                  </w:r>
                  <w:r>
                    <w:rPr>
                      <w:rFonts w:hint="eastAsia"/>
                      <w:sz w:val="21"/>
                      <w:szCs w:val="21"/>
                      <w:lang w:eastAsia="zh-CN"/>
                    </w:rPr>
                    <w:t>达到</w:t>
                  </w:r>
                  <w:r>
                    <w:rPr>
                      <w:rFonts w:hint="eastAsia"/>
                      <w:sz w:val="21"/>
                      <w:szCs w:val="21"/>
                    </w:rPr>
                    <w:t>国内先进水平。</w:t>
                  </w:r>
                </w:p>
              </w:tc>
              <w:tc>
                <w:tcPr>
                  <w:tcW w:w="1552" w:type="pct"/>
                  <w:tcBorders>
                    <w:tl2br w:val="nil"/>
                    <w:tr2bl w:val="nil"/>
                  </w:tcBorders>
                  <w:vAlign w:val="center"/>
                </w:tcPr>
                <w:p w14:paraId="1511698E">
                  <w:pPr>
                    <w:pStyle w:val="17"/>
                    <w:widowControl w:val="0"/>
                    <w:spacing w:after="0" w:line="240" w:lineRule="auto"/>
                    <w:ind w:left="0" w:leftChars="0" w:firstLine="0" w:firstLineChars="0"/>
                    <w:jc w:val="center"/>
                    <w:rPr>
                      <w:sz w:val="21"/>
                      <w:szCs w:val="21"/>
                    </w:rPr>
                  </w:pPr>
                  <w:r>
                    <w:rPr>
                      <w:rFonts w:hint="eastAsia"/>
                      <w:sz w:val="21"/>
                      <w:szCs w:val="21"/>
                    </w:rPr>
                    <w:t>不涉及</w:t>
                  </w:r>
                </w:p>
              </w:tc>
              <w:tc>
                <w:tcPr>
                  <w:tcW w:w="480" w:type="pct"/>
                  <w:tcBorders>
                    <w:tl2br w:val="nil"/>
                    <w:tr2bl w:val="nil"/>
                  </w:tcBorders>
                  <w:vAlign w:val="center"/>
                </w:tcPr>
                <w:p w14:paraId="580B31BE">
                  <w:pPr>
                    <w:pStyle w:val="17"/>
                    <w:widowControl w:val="0"/>
                    <w:spacing w:after="0" w:line="240" w:lineRule="auto"/>
                    <w:ind w:left="0" w:leftChars="0" w:firstLine="0" w:firstLineChars="0"/>
                    <w:jc w:val="center"/>
                    <w:rPr>
                      <w:kern w:val="2"/>
                      <w:sz w:val="21"/>
                      <w:szCs w:val="21"/>
                    </w:rPr>
                  </w:pPr>
                  <w:r>
                    <w:rPr>
                      <w:rFonts w:hint="eastAsia"/>
                      <w:sz w:val="21"/>
                      <w:szCs w:val="21"/>
                    </w:rPr>
                    <w:t>/</w:t>
                  </w:r>
                </w:p>
              </w:tc>
            </w:tr>
            <w:tr w14:paraId="2E6A2E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restart"/>
                  <w:tcBorders>
                    <w:tl2br w:val="nil"/>
                    <w:tr2bl w:val="nil"/>
                  </w:tcBorders>
                  <w:vAlign w:val="center"/>
                </w:tcPr>
                <w:p w14:paraId="121627A3">
                  <w:pPr>
                    <w:pStyle w:val="17"/>
                    <w:widowControl w:val="0"/>
                    <w:spacing w:after="0" w:line="240" w:lineRule="auto"/>
                    <w:ind w:left="0" w:leftChars="0" w:firstLine="0" w:firstLineChars="0"/>
                    <w:jc w:val="center"/>
                    <w:rPr>
                      <w:sz w:val="21"/>
                      <w:szCs w:val="21"/>
                    </w:rPr>
                  </w:pPr>
                  <w:r>
                    <w:rPr>
                      <w:rFonts w:hint="eastAsia"/>
                      <w:sz w:val="21"/>
                      <w:szCs w:val="21"/>
                    </w:rPr>
                    <w:t>通川区</w:t>
                  </w:r>
                </w:p>
              </w:tc>
              <w:tc>
                <w:tcPr>
                  <w:tcW w:w="2510" w:type="pct"/>
                  <w:tcBorders>
                    <w:tl2br w:val="nil"/>
                    <w:tr2bl w:val="nil"/>
                  </w:tcBorders>
                  <w:vAlign w:val="center"/>
                </w:tcPr>
                <w:p w14:paraId="76FB4BC3">
                  <w:pPr>
                    <w:pStyle w:val="17"/>
                    <w:widowControl w:val="0"/>
                    <w:spacing w:after="0" w:line="240" w:lineRule="auto"/>
                    <w:ind w:left="0" w:leftChars="0" w:firstLine="0" w:firstLineChars="0"/>
                    <w:rPr>
                      <w:sz w:val="21"/>
                      <w:szCs w:val="21"/>
                    </w:rPr>
                  </w:pPr>
                  <w:r>
                    <w:rPr>
                      <w:rFonts w:hint="eastAsia"/>
                      <w:sz w:val="21"/>
                      <w:szCs w:val="21"/>
                    </w:rPr>
                    <w:t>1. 优化调整产业布局，以细颗粒物（PM</w:t>
                  </w:r>
                  <w:r>
                    <w:rPr>
                      <w:rFonts w:hint="eastAsia"/>
                      <w:sz w:val="21"/>
                      <w:szCs w:val="21"/>
                      <w:vertAlign w:val="subscript"/>
                    </w:rPr>
                    <w:t>2.5</w:t>
                  </w:r>
                  <w:r>
                    <w:rPr>
                      <w:rFonts w:hint="eastAsia"/>
                      <w:sz w:val="21"/>
                      <w:szCs w:val="21"/>
                    </w:rPr>
                    <w:t>）和臭氧（O</w:t>
                  </w:r>
                  <w:r>
                    <w:rPr>
                      <w:rFonts w:hint="eastAsia"/>
                      <w:sz w:val="21"/>
                      <w:szCs w:val="21"/>
                      <w:vertAlign w:val="subscript"/>
                    </w:rPr>
                    <w:t>3</w:t>
                  </w:r>
                  <w:r>
                    <w:rPr>
                      <w:rFonts w:hint="eastAsia"/>
                      <w:sz w:val="21"/>
                      <w:szCs w:val="21"/>
                    </w:rPr>
                    <w:t>）</w:t>
                  </w:r>
                  <w:r>
                    <w:rPr>
                      <w:rFonts w:hint="eastAsia"/>
                      <w:sz w:val="21"/>
                      <w:szCs w:val="21"/>
                      <w:lang w:eastAsia="zh-CN"/>
                    </w:rPr>
                    <w:t>污染物协同控制</w:t>
                  </w:r>
                  <w:r>
                    <w:rPr>
                      <w:rFonts w:hint="eastAsia"/>
                      <w:sz w:val="21"/>
                      <w:szCs w:val="21"/>
                    </w:rPr>
                    <w:t>为重点，全面开展挥发性有机物（VOCs）治理，实施移动源整治，持续推进空气质量精细化管理。</w:t>
                  </w:r>
                </w:p>
              </w:tc>
              <w:tc>
                <w:tcPr>
                  <w:tcW w:w="1552" w:type="pct"/>
                  <w:tcBorders>
                    <w:tl2br w:val="nil"/>
                    <w:tr2bl w:val="nil"/>
                  </w:tcBorders>
                  <w:vAlign w:val="center"/>
                </w:tcPr>
                <w:p w14:paraId="219676D8">
                  <w:pPr>
                    <w:widowControl/>
                    <w:jc w:val="center"/>
                    <w:rPr>
                      <w:szCs w:val="21"/>
                    </w:rPr>
                  </w:pPr>
                  <w:r>
                    <w:rPr>
                      <w:rFonts w:hint="eastAsia"/>
                      <w:szCs w:val="21"/>
                    </w:rPr>
                    <w:t>不涉及</w:t>
                  </w:r>
                </w:p>
              </w:tc>
              <w:tc>
                <w:tcPr>
                  <w:tcW w:w="480" w:type="pct"/>
                  <w:tcBorders>
                    <w:tl2br w:val="nil"/>
                    <w:tr2bl w:val="nil"/>
                  </w:tcBorders>
                  <w:vAlign w:val="center"/>
                </w:tcPr>
                <w:p w14:paraId="245A11D0">
                  <w:pPr>
                    <w:pStyle w:val="17"/>
                    <w:widowControl w:val="0"/>
                    <w:spacing w:after="0" w:line="240" w:lineRule="auto"/>
                    <w:ind w:left="0" w:leftChars="0" w:firstLine="0" w:firstLineChars="0"/>
                    <w:jc w:val="center"/>
                    <w:rPr>
                      <w:kern w:val="2"/>
                      <w:sz w:val="21"/>
                      <w:szCs w:val="21"/>
                    </w:rPr>
                  </w:pPr>
                  <w:r>
                    <w:rPr>
                      <w:rFonts w:hint="eastAsia"/>
                      <w:sz w:val="21"/>
                      <w:szCs w:val="21"/>
                    </w:rPr>
                    <w:t>/</w:t>
                  </w:r>
                </w:p>
              </w:tc>
            </w:tr>
            <w:tr w14:paraId="1CED5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3A789276">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3E9796FA">
                  <w:pPr>
                    <w:pStyle w:val="17"/>
                    <w:widowControl w:val="0"/>
                    <w:spacing w:after="0" w:line="240" w:lineRule="auto"/>
                    <w:ind w:left="0" w:leftChars="0" w:firstLine="0" w:firstLineChars="0"/>
                    <w:rPr>
                      <w:sz w:val="21"/>
                      <w:szCs w:val="21"/>
                    </w:rPr>
                  </w:pPr>
                  <w:r>
                    <w:rPr>
                      <w:rFonts w:hint="eastAsia"/>
                      <w:sz w:val="21"/>
                      <w:szCs w:val="21"/>
                    </w:rPr>
                    <w:t>2. 调整农作物种植结构，加强农业氨污染控制，大力发展节水农业。</w:t>
                  </w:r>
                </w:p>
              </w:tc>
              <w:tc>
                <w:tcPr>
                  <w:tcW w:w="1552" w:type="pct"/>
                  <w:tcBorders>
                    <w:tl2br w:val="nil"/>
                    <w:tr2bl w:val="nil"/>
                  </w:tcBorders>
                  <w:shd w:val="clear" w:color="auto" w:fill="auto"/>
                  <w:vAlign w:val="center"/>
                </w:tcPr>
                <w:p w14:paraId="5887D40E">
                  <w:pPr>
                    <w:widowControl/>
                    <w:jc w:val="center"/>
                    <w:rPr>
                      <w:szCs w:val="21"/>
                    </w:rPr>
                  </w:pPr>
                  <w:r>
                    <w:rPr>
                      <w:rFonts w:hint="eastAsia"/>
                      <w:szCs w:val="21"/>
                    </w:rPr>
                    <w:t>不涉及</w:t>
                  </w:r>
                </w:p>
              </w:tc>
              <w:tc>
                <w:tcPr>
                  <w:tcW w:w="480" w:type="pct"/>
                  <w:tcBorders>
                    <w:tl2br w:val="nil"/>
                    <w:tr2bl w:val="nil"/>
                  </w:tcBorders>
                  <w:shd w:val="clear" w:color="auto" w:fill="auto"/>
                  <w:vAlign w:val="center"/>
                </w:tcPr>
                <w:p w14:paraId="6DDEF1C1">
                  <w:pPr>
                    <w:pStyle w:val="17"/>
                    <w:widowControl w:val="0"/>
                    <w:spacing w:after="0" w:line="240" w:lineRule="auto"/>
                    <w:ind w:left="0" w:leftChars="0" w:firstLine="0" w:firstLineChars="0"/>
                    <w:jc w:val="center"/>
                    <w:rPr>
                      <w:kern w:val="2"/>
                      <w:sz w:val="21"/>
                      <w:szCs w:val="21"/>
                    </w:rPr>
                  </w:pPr>
                  <w:r>
                    <w:rPr>
                      <w:rFonts w:hint="eastAsia"/>
                      <w:sz w:val="21"/>
                      <w:szCs w:val="21"/>
                    </w:rPr>
                    <w:t>/</w:t>
                  </w:r>
                </w:p>
              </w:tc>
            </w:tr>
            <w:tr w14:paraId="0E63C2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5909DB93">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6A39781B">
                  <w:pPr>
                    <w:pStyle w:val="17"/>
                    <w:widowControl w:val="0"/>
                    <w:spacing w:after="0" w:line="240" w:lineRule="auto"/>
                    <w:ind w:left="0" w:leftChars="0" w:firstLine="0" w:firstLineChars="0"/>
                    <w:rPr>
                      <w:sz w:val="21"/>
                      <w:szCs w:val="21"/>
                    </w:rPr>
                  </w:pPr>
                  <w:r>
                    <w:rPr>
                      <w:rFonts w:hint="eastAsia"/>
                      <w:sz w:val="21"/>
                      <w:szCs w:val="21"/>
                    </w:rPr>
                    <w:t>3. 加强建筑工程日常监管，对重点环节采取遮盖、洒水、封闭等措施控制扬尘排放。提高道路硬化率，减少道路起尘源。推动非道路移动机械达标排放示范企业建设。</w:t>
                  </w:r>
                </w:p>
              </w:tc>
              <w:tc>
                <w:tcPr>
                  <w:tcW w:w="1552" w:type="pct"/>
                  <w:tcBorders>
                    <w:tl2br w:val="nil"/>
                    <w:tr2bl w:val="nil"/>
                  </w:tcBorders>
                  <w:vAlign w:val="center"/>
                </w:tcPr>
                <w:p w14:paraId="39C19E9E">
                  <w:pPr>
                    <w:pStyle w:val="17"/>
                    <w:widowControl w:val="0"/>
                    <w:spacing w:after="0" w:line="240" w:lineRule="auto"/>
                    <w:ind w:left="0" w:leftChars="0" w:firstLine="0" w:firstLineChars="0"/>
                    <w:jc w:val="center"/>
                    <w:rPr>
                      <w:sz w:val="21"/>
                      <w:szCs w:val="21"/>
                    </w:rPr>
                  </w:pPr>
                  <w:r>
                    <w:rPr>
                      <w:rFonts w:hint="eastAsia"/>
                      <w:sz w:val="21"/>
                      <w:szCs w:val="21"/>
                    </w:rPr>
                    <w:t>施工现场设不低于2.5m高封闭围挡、设置雾状喷淋，主要道路硬化、设车辆冲洗平台、设高压冲洗设施、车辆密闭运输</w:t>
                  </w:r>
                  <w:r>
                    <w:rPr>
                      <w:sz w:val="21"/>
                      <w:szCs w:val="21"/>
                    </w:rPr>
                    <w:t>、及时清扫路面尘土、对裸露地面</w:t>
                  </w:r>
                  <w:r>
                    <w:rPr>
                      <w:rFonts w:hint="eastAsia"/>
                      <w:sz w:val="21"/>
                      <w:szCs w:val="21"/>
                    </w:rPr>
                    <w:t>临时堆场</w:t>
                  </w:r>
                  <w:r>
                    <w:rPr>
                      <w:sz w:val="21"/>
                      <w:szCs w:val="21"/>
                    </w:rPr>
                    <w:t>覆盖防尘布或防尘网等</w:t>
                  </w:r>
                </w:p>
              </w:tc>
              <w:tc>
                <w:tcPr>
                  <w:tcW w:w="480" w:type="pct"/>
                  <w:tcBorders>
                    <w:tl2br w:val="nil"/>
                    <w:tr2bl w:val="nil"/>
                  </w:tcBorders>
                  <w:vAlign w:val="center"/>
                </w:tcPr>
                <w:p w14:paraId="53EEE212">
                  <w:pPr>
                    <w:pStyle w:val="17"/>
                    <w:widowControl w:val="0"/>
                    <w:spacing w:after="0" w:line="240" w:lineRule="auto"/>
                    <w:ind w:left="0" w:leftChars="0" w:firstLine="0" w:firstLineChars="0"/>
                    <w:jc w:val="center"/>
                    <w:rPr>
                      <w:sz w:val="21"/>
                      <w:szCs w:val="21"/>
                    </w:rPr>
                  </w:pPr>
                  <w:r>
                    <w:rPr>
                      <w:rFonts w:hint="eastAsia"/>
                      <w:sz w:val="21"/>
                      <w:szCs w:val="21"/>
                    </w:rPr>
                    <w:t>符合</w:t>
                  </w:r>
                </w:p>
              </w:tc>
            </w:tr>
            <w:tr w14:paraId="3886EC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56" w:type="pct"/>
                  <w:vMerge w:val="continue"/>
                  <w:tcBorders>
                    <w:tl2br w:val="nil"/>
                    <w:tr2bl w:val="nil"/>
                  </w:tcBorders>
                  <w:vAlign w:val="center"/>
                </w:tcPr>
                <w:p w14:paraId="241A3910">
                  <w:pPr>
                    <w:pStyle w:val="17"/>
                    <w:widowControl w:val="0"/>
                    <w:spacing w:after="0" w:line="240" w:lineRule="auto"/>
                    <w:ind w:left="0" w:leftChars="0" w:firstLine="0" w:firstLineChars="0"/>
                    <w:jc w:val="center"/>
                    <w:rPr>
                      <w:sz w:val="21"/>
                      <w:szCs w:val="21"/>
                    </w:rPr>
                  </w:pPr>
                </w:p>
              </w:tc>
              <w:tc>
                <w:tcPr>
                  <w:tcW w:w="2510" w:type="pct"/>
                  <w:tcBorders>
                    <w:tl2br w:val="nil"/>
                    <w:tr2bl w:val="nil"/>
                  </w:tcBorders>
                  <w:vAlign w:val="center"/>
                </w:tcPr>
                <w:p w14:paraId="1D0BD795">
                  <w:pPr>
                    <w:pStyle w:val="17"/>
                    <w:widowControl w:val="0"/>
                    <w:spacing w:after="0" w:line="240" w:lineRule="auto"/>
                    <w:ind w:left="0" w:leftChars="0" w:firstLine="0" w:firstLineChars="0"/>
                    <w:rPr>
                      <w:sz w:val="21"/>
                      <w:szCs w:val="21"/>
                    </w:rPr>
                  </w:pPr>
                  <w:r>
                    <w:rPr>
                      <w:rFonts w:hint="eastAsia"/>
                      <w:sz w:val="21"/>
                      <w:szCs w:val="21"/>
                    </w:rPr>
                    <w:t>4. 建立健全农业节水体系，推广使用节水灌溉技术，探索乡镇、农村生活污水资源化还田利用。大力开展沿河畜禽养殖污染整治，实现畜禽粪污减量化排放、无害化处理和资源化利用。</w:t>
                  </w:r>
                </w:p>
              </w:tc>
              <w:tc>
                <w:tcPr>
                  <w:tcW w:w="1552" w:type="pct"/>
                  <w:tcBorders>
                    <w:tl2br w:val="nil"/>
                    <w:tr2bl w:val="nil"/>
                  </w:tcBorders>
                  <w:vAlign w:val="center"/>
                </w:tcPr>
                <w:p w14:paraId="6A5A2E84">
                  <w:pPr>
                    <w:pStyle w:val="17"/>
                    <w:widowControl w:val="0"/>
                    <w:spacing w:after="0" w:line="240" w:lineRule="auto"/>
                    <w:ind w:left="0" w:leftChars="0" w:firstLine="0" w:firstLineChars="0"/>
                    <w:jc w:val="center"/>
                    <w:rPr>
                      <w:sz w:val="21"/>
                      <w:szCs w:val="21"/>
                    </w:rPr>
                  </w:pPr>
                  <w:r>
                    <w:rPr>
                      <w:rFonts w:hint="eastAsia"/>
                      <w:sz w:val="21"/>
                      <w:szCs w:val="21"/>
                    </w:rPr>
                    <w:t>不涉及</w:t>
                  </w:r>
                </w:p>
              </w:tc>
              <w:tc>
                <w:tcPr>
                  <w:tcW w:w="480" w:type="pct"/>
                  <w:tcBorders>
                    <w:tl2br w:val="nil"/>
                    <w:tr2bl w:val="nil"/>
                  </w:tcBorders>
                  <w:vAlign w:val="center"/>
                </w:tcPr>
                <w:p w14:paraId="20B7716B">
                  <w:pPr>
                    <w:pStyle w:val="17"/>
                    <w:widowControl w:val="0"/>
                    <w:spacing w:after="0" w:line="240" w:lineRule="auto"/>
                    <w:ind w:left="0" w:leftChars="0" w:firstLine="0" w:firstLineChars="0"/>
                    <w:jc w:val="center"/>
                    <w:rPr>
                      <w:sz w:val="21"/>
                      <w:szCs w:val="21"/>
                    </w:rPr>
                  </w:pPr>
                  <w:r>
                    <w:rPr>
                      <w:rFonts w:hint="eastAsia"/>
                      <w:sz w:val="21"/>
                      <w:szCs w:val="21"/>
                    </w:rPr>
                    <w:t>/</w:t>
                  </w:r>
                </w:p>
              </w:tc>
            </w:tr>
          </w:tbl>
          <w:p w14:paraId="2B1FD0DE">
            <w:pPr>
              <w:pStyle w:val="17"/>
              <w:widowControl w:val="0"/>
              <w:spacing w:before="120" w:beforeLines="50"/>
              <w:ind w:left="0" w:leftChars="0" w:firstLine="482"/>
              <w:rPr>
                <w:b/>
                <w:bCs/>
                <w:szCs w:val="24"/>
              </w:rPr>
            </w:pPr>
            <w:r>
              <w:rPr>
                <w:rFonts w:hint="eastAsia"/>
                <w:b/>
                <w:bCs/>
                <w:szCs w:val="24"/>
              </w:rPr>
              <w:t>（3）</w:t>
            </w:r>
            <w:r>
              <w:rPr>
                <w:b/>
                <w:bCs/>
                <w:szCs w:val="24"/>
              </w:rPr>
              <w:t>“三线一单”成果符合性分析</w:t>
            </w:r>
          </w:p>
          <w:p w14:paraId="7E9CAFE8">
            <w:pPr>
              <w:pStyle w:val="11"/>
              <w:widowControl w:val="0"/>
              <w:kinsoku w:val="0"/>
              <w:overflowPunct w:val="0"/>
              <w:spacing w:before="0" w:after="0" w:line="360" w:lineRule="auto"/>
              <w:ind w:firstLine="482" w:firstLineChars="200"/>
              <w:rPr>
                <w:sz w:val="24"/>
                <w:szCs w:val="24"/>
              </w:rPr>
            </w:pPr>
            <w:r>
              <w:rPr>
                <w:rFonts w:hint="eastAsia"/>
                <w:b/>
                <w:bCs/>
                <w:sz w:val="24"/>
                <w:szCs w:val="24"/>
              </w:rPr>
              <w:t>①环境管控单元</w:t>
            </w:r>
          </w:p>
          <w:p w14:paraId="5C1560A0">
            <w:pPr>
              <w:widowControl/>
              <w:spacing w:line="360" w:lineRule="auto"/>
              <w:ind w:firstLine="480" w:firstLineChars="200"/>
              <w:rPr>
                <w:sz w:val="24"/>
                <w:shd w:val="clear" w:color="auto" w:fill="FFFFFF"/>
              </w:rPr>
            </w:pPr>
            <w:r>
              <w:rPr>
                <w:rFonts w:hint="eastAsia"/>
                <w:sz w:val="24"/>
              </w:rPr>
              <w:t>通过四川省政务服务网“三线一单”数据分析系统、“三线一单”冲突分析系统进行比对分析，以及查阅达州市生态环境局的《长江经济带战略环境评价四川省达州市“三线一单”生态环境分区管控优化完善研究报告》，本项目涉及环境管控单元3个，位于</w:t>
            </w:r>
            <w:r>
              <w:rPr>
                <w:rFonts w:hint="eastAsia"/>
                <w:b/>
                <w:bCs/>
                <w:sz w:val="24"/>
              </w:rPr>
              <w:t>达州市通川区环境综合管控单元城镇重点管控单元，</w:t>
            </w:r>
            <w:r>
              <w:rPr>
                <w:rFonts w:hint="eastAsia"/>
                <w:sz w:val="24"/>
              </w:rPr>
              <w:t>管控单元编码为</w:t>
            </w:r>
            <w:r>
              <w:rPr>
                <w:rFonts w:hint="eastAsia"/>
                <w:b/>
                <w:bCs/>
                <w:sz w:val="24"/>
              </w:rPr>
              <w:t>ZH51170220001</w:t>
            </w:r>
            <w:r>
              <w:rPr>
                <w:rFonts w:hint="eastAsia"/>
                <w:sz w:val="24"/>
              </w:rPr>
              <w:t>，管控单元名称为</w:t>
            </w:r>
            <w:r>
              <w:rPr>
                <w:rFonts w:hint="eastAsia"/>
                <w:b/>
                <w:bCs/>
                <w:sz w:val="24"/>
              </w:rPr>
              <w:t>通川区中心城区</w:t>
            </w:r>
            <w:r>
              <w:rPr>
                <w:rFonts w:hint="eastAsia"/>
                <w:sz w:val="24"/>
              </w:rPr>
              <w:t>；项目属于</w:t>
            </w:r>
            <w:r>
              <w:rPr>
                <w:rFonts w:hint="eastAsia"/>
                <w:b/>
                <w:bCs/>
                <w:sz w:val="24"/>
              </w:rPr>
              <w:t>水环境城镇生活污染重点管控区、大气环境受体敏感重点管控区</w:t>
            </w:r>
            <w:r>
              <w:rPr>
                <w:rFonts w:hint="eastAsia"/>
                <w:sz w:val="24"/>
              </w:rPr>
              <w:t>。</w:t>
            </w:r>
            <w:r>
              <w:rPr>
                <w:rFonts w:hint="eastAsia"/>
                <w:sz w:val="24"/>
                <w:shd w:val="clear" w:color="auto" w:fill="FFFFFF"/>
              </w:rPr>
              <w:t>查询情况见下图，</w:t>
            </w:r>
            <w:r>
              <w:rPr>
                <w:rFonts w:hint="eastAsia"/>
                <w:sz w:val="24"/>
                <w:shd w:val="clear" w:color="auto" w:fill="FFFFFF"/>
                <w:lang w:eastAsia="zh-CN"/>
              </w:rPr>
              <w:t>涉及</w:t>
            </w:r>
            <w:r>
              <w:rPr>
                <w:rFonts w:hint="eastAsia"/>
                <w:sz w:val="24"/>
                <w:shd w:val="clear" w:color="auto" w:fill="FFFFFF"/>
              </w:rPr>
              <w:t>的管控单元见下表。</w:t>
            </w:r>
          </w:p>
          <w:p w14:paraId="3B28B204">
            <w:pPr>
              <w:jc w:val="center"/>
              <w:rPr>
                <w:b/>
                <w:bCs/>
                <w:szCs w:val="21"/>
              </w:rPr>
            </w:pPr>
            <w:r>
              <w:rPr>
                <w:rFonts w:hint="eastAsia"/>
                <w:b/>
                <w:bCs/>
                <w:szCs w:val="21"/>
              </w:rPr>
              <w:t>表1-4  项目涉及环境管控单元表</w:t>
            </w:r>
          </w:p>
          <w:tbl>
            <w:tblPr>
              <w:tblStyle w:val="70"/>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886"/>
              <w:gridCol w:w="1552"/>
              <w:gridCol w:w="1198"/>
              <w:gridCol w:w="907"/>
              <w:gridCol w:w="1483"/>
              <w:gridCol w:w="1591"/>
            </w:tblGrid>
            <w:tr w14:paraId="7AEC04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4" w:hRule="atLeast"/>
                <w:jc w:val="center"/>
              </w:trPr>
              <w:tc>
                <w:tcPr>
                  <w:tcW w:w="1094" w:type="pct"/>
                  <w:tcBorders>
                    <w:tl2br w:val="nil"/>
                    <w:tr2bl w:val="nil"/>
                  </w:tcBorders>
                  <w:vAlign w:val="center"/>
                </w:tcPr>
                <w:p w14:paraId="23421FC4">
                  <w:pPr>
                    <w:spacing w:line="239" w:lineRule="auto"/>
                    <w:jc w:val="center"/>
                    <w:rPr>
                      <w:b/>
                      <w:bCs/>
                      <w:szCs w:val="21"/>
                    </w:rPr>
                  </w:pPr>
                  <w:r>
                    <w:rPr>
                      <w:b/>
                      <w:bCs/>
                      <w:spacing w:val="10"/>
                      <w:szCs w:val="21"/>
                    </w:rPr>
                    <w:t>环</w:t>
                  </w:r>
                  <w:r>
                    <w:rPr>
                      <w:b/>
                      <w:bCs/>
                      <w:spacing w:val="8"/>
                      <w:szCs w:val="21"/>
                    </w:rPr>
                    <w:t>境管控单元编码</w:t>
                  </w:r>
                </w:p>
              </w:tc>
              <w:tc>
                <w:tcPr>
                  <w:tcW w:w="900" w:type="pct"/>
                  <w:tcBorders>
                    <w:tl2br w:val="nil"/>
                    <w:tr2bl w:val="nil"/>
                  </w:tcBorders>
                  <w:vAlign w:val="center"/>
                </w:tcPr>
                <w:p w14:paraId="3AC973A7">
                  <w:pPr>
                    <w:jc w:val="center"/>
                    <w:rPr>
                      <w:b/>
                      <w:bCs/>
                      <w:szCs w:val="21"/>
                    </w:rPr>
                  </w:pPr>
                  <w:r>
                    <w:rPr>
                      <w:b/>
                      <w:bCs/>
                      <w:spacing w:val="9"/>
                      <w:szCs w:val="21"/>
                    </w:rPr>
                    <w:t>环境管控单元</w:t>
                  </w:r>
                  <w:r>
                    <w:rPr>
                      <w:b/>
                      <w:bCs/>
                      <w:spacing w:val="5"/>
                      <w:szCs w:val="21"/>
                    </w:rPr>
                    <w:t>名</w:t>
                  </w:r>
                  <w:r>
                    <w:rPr>
                      <w:b/>
                      <w:bCs/>
                      <w:spacing w:val="4"/>
                      <w:szCs w:val="21"/>
                    </w:rPr>
                    <w:t>称</w:t>
                  </w:r>
                </w:p>
              </w:tc>
              <w:tc>
                <w:tcPr>
                  <w:tcW w:w="695" w:type="pct"/>
                  <w:tcBorders>
                    <w:tl2br w:val="nil"/>
                    <w:tr2bl w:val="nil"/>
                  </w:tcBorders>
                  <w:vAlign w:val="center"/>
                </w:tcPr>
                <w:p w14:paraId="5D669227">
                  <w:pPr>
                    <w:spacing w:line="271" w:lineRule="exact"/>
                    <w:jc w:val="center"/>
                    <w:rPr>
                      <w:b/>
                      <w:bCs/>
                      <w:szCs w:val="21"/>
                    </w:rPr>
                  </w:pPr>
                  <w:r>
                    <w:rPr>
                      <w:b/>
                      <w:bCs/>
                      <w:spacing w:val="9"/>
                      <w:position w:val="4"/>
                      <w:szCs w:val="21"/>
                    </w:rPr>
                    <w:t>所</w:t>
                  </w:r>
                  <w:r>
                    <w:rPr>
                      <w:b/>
                      <w:bCs/>
                      <w:spacing w:val="7"/>
                      <w:position w:val="4"/>
                      <w:szCs w:val="21"/>
                    </w:rPr>
                    <w:t>属市</w:t>
                  </w:r>
                </w:p>
                <w:p w14:paraId="4301BCC2">
                  <w:pPr>
                    <w:spacing w:line="227" w:lineRule="auto"/>
                    <w:jc w:val="center"/>
                    <w:rPr>
                      <w:b/>
                      <w:bCs/>
                      <w:szCs w:val="21"/>
                    </w:rPr>
                  </w:pPr>
                  <w:r>
                    <w:rPr>
                      <w:rFonts w:hint="eastAsia"/>
                      <w:b/>
                      <w:bCs/>
                      <w:spacing w:val="34"/>
                      <w:szCs w:val="21"/>
                    </w:rPr>
                    <w:t>（</w:t>
                  </w:r>
                  <w:r>
                    <w:rPr>
                      <w:b/>
                      <w:bCs/>
                      <w:spacing w:val="34"/>
                      <w:szCs w:val="21"/>
                    </w:rPr>
                    <w:t>州</w:t>
                  </w:r>
                  <w:r>
                    <w:rPr>
                      <w:rFonts w:hint="eastAsia"/>
                      <w:b/>
                      <w:bCs/>
                      <w:spacing w:val="33"/>
                      <w:szCs w:val="21"/>
                    </w:rPr>
                    <w:t>）</w:t>
                  </w:r>
                </w:p>
              </w:tc>
              <w:tc>
                <w:tcPr>
                  <w:tcW w:w="526" w:type="pct"/>
                  <w:tcBorders>
                    <w:tl2br w:val="nil"/>
                    <w:tr2bl w:val="nil"/>
                  </w:tcBorders>
                  <w:vAlign w:val="center"/>
                </w:tcPr>
                <w:p w14:paraId="34B3291B">
                  <w:pPr>
                    <w:jc w:val="center"/>
                    <w:rPr>
                      <w:b/>
                      <w:bCs/>
                      <w:szCs w:val="21"/>
                    </w:rPr>
                  </w:pPr>
                  <w:r>
                    <w:rPr>
                      <w:b/>
                      <w:bCs/>
                      <w:spacing w:val="9"/>
                      <w:szCs w:val="21"/>
                    </w:rPr>
                    <w:t>所</w:t>
                  </w:r>
                  <w:r>
                    <w:rPr>
                      <w:b/>
                      <w:bCs/>
                      <w:spacing w:val="7"/>
                      <w:szCs w:val="21"/>
                    </w:rPr>
                    <w:t>属区</w:t>
                  </w:r>
                  <w:r>
                    <w:rPr>
                      <w:b/>
                      <w:bCs/>
                      <w:szCs w:val="21"/>
                    </w:rPr>
                    <w:t xml:space="preserve"> 县</w:t>
                  </w:r>
                </w:p>
              </w:tc>
              <w:tc>
                <w:tcPr>
                  <w:tcW w:w="860" w:type="pct"/>
                  <w:tcBorders>
                    <w:tl2br w:val="nil"/>
                    <w:tr2bl w:val="nil"/>
                  </w:tcBorders>
                  <w:vAlign w:val="center"/>
                </w:tcPr>
                <w:p w14:paraId="583CC75A">
                  <w:pPr>
                    <w:jc w:val="center"/>
                    <w:rPr>
                      <w:b/>
                      <w:bCs/>
                      <w:szCs w:val="21"/>
                    </w:rPr>
                  </w:pPr>
                  <w:r>
                    <w:rPr>
                      <w:b/>
                      <w:bCs/>
                      <w:spacing w:val="9"/>
                      <w:szCs w:val="21"/>
                    </w:rPr>
                    <w:t>准</w:t>
                  </w:r>
                  <w:r>
                    <w:rPr>
                      <w:b/>
                      <w:bCs/>
                      <w:spacing w:val="8"/>
                      <w:szCs w:val="21"/>
                    </w:rPr>
                    <w:t>入清单类</w:t>
                  </w:r>
                  <w:r>
                    <w:rPr>
                      <w:b/>
                      <w:bCs/>
                      <w:szCs w:val="21"/>
                    </w:rPr>
                    <w:t>型</w:t>
                  </w:r>
                </w:p>
              </w:tc>
              <w:tc>
                <w:tcPr>
                  <w:tcW w:w="922" w:type="pct"/>
                  <w:tcBorders>
                    <w:tl2br w:val="nil"/>
                    <w:tr2bl w:val="nil"/>
                  </w:tcBorders>
                  <w:vAlign w:val="center"/>
                </w:tcPr>
                <w:p w14:paraId="2EB899AB">
                  <w:pPr>
                    <w:spacing w:line="228" w:lineRule="auto"/>
                    <w:jc w:val="center"/>
                    <w:rPr>
                      <w:b/>
                      <w:bCs/>
                      <w:szCs w:val="21"/>
                    </w:rPr>
                  </w:pPr>
                  <w:r>
                    <w:rPr>
                      <w:b/>
                      <w:bCs/>
                      <w:spacing w:val="9"/>
                      <w:szCs w:val="21"/>
                    </w:rPr>
                    <w:t>管</w:t>
                  </w:r>
                  <w:r>
                    <w:rPr>
                      <w:b/>
                      <w:bCs/>
                      <w:spacing w:val="7"/>
                      <w:szCs w:val="21"/>
                    </w:rPr>
                    <w:t>控类型</w:t>
                  </w:r>
                </w:p>
              </w:tc>
            </w:tr>
            <w:tr w14:paraId="59FAB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1" w:hRule="atLeast"/>
                <w:jc w:val="center"/>
              </w:trPr>
              <w:tc>
                <w:tcPr>
                  <w:tcW w:w="1094" w:type="pct"/>
                  <w:tcBorders>
                    <w:tl2br w:val="nil"/>
                    <w:tr2bl w:val="nil"/>
                  </w:tcBorders>
                  <w:vAlign w:val="center"/>
                </w:tcPr>
                <w:p w14:paraId="4B6317EC">
                  <w:pPr>
                    <w:spacing w:line="267" w:lineRule="auto"/>
                    <w:jc w:val="center"/>
                    <w:rPr>
                      <w:szCs w:val="21"/>
                    </w:rPr>
                  </w:pPr>
                  <w:r>
                    <w:rPr>
                      <w:szCs w:val="21"/>
                    </w:rPr>
                    <w:t>ZH</w:t>
                  </w:r>
                  <w:r>
                    <w:rPr>
                      <w:spacing w:val="9"/>
                      <w:szCs w:val="21"/>
                    </w:rPr>
                    <w:t>5</w:t>
                  </w:r>
                  <w:r>
                    <w:rPr>
                      <w:spacing w:val="5"/>
                      <w:szCs w:val="21"/>
                    </w:rPr>
                    <w:t>11702</w:t>
                  </w:r>
                  <w:r>
                    <w:rPr>
                      <w:rFonts w:hint="eastAsia"/>
                      <w:spacing w:val="5"/>
                      <w:szCs w:val="21"/>
                    </w:rPr>
                    <w:t>2</w:t>
                  </w:r>
                  <w:r>
                    <w:rPr>
                      <w:spacing w:val="4"/>
                      <w:szCs w:val="21"/>
                    </w:rPr>
                    <w:t>0001</w:t>
                  </w:r>
                </w:p>
              </w:tc>
              <w:tc>
                <w:tcPr>
                  <w:tcW w:w="900" w:type="pct"/>
                  <w:tcBorders>
                    <w:tl2br w:val="nil"/>
                    <w:tr2bl w:val="nil"/>
                  </w:tcBorders>
                  <w:vAlign w:val="center"/>
                </w:tcPr>
                <w:p w14:paraId="339985FD">
                  <w:pPr>
                    <w:spacing w:line="267" w:lineRule="auto"/>
                    <w:jc w:val="center"/>
                    <w:rPr>
                      <w:szCs w:val="21"/>
                    </w:rPr>
                  </w:pPr>
                  <w:r>
                    <w:rPr>
                      <w:spacing w:val="9"/>
                      <w:szCs w:val="21"/>
                    </w:rPr>
                    <w:t>通</w:t>
                  </w:r>
                  <w:r>
                    <w:rPr>
                      <w:spacing w:val="8"/>
                      <w:szCs w:val="21"/>
                    </w:rPr>
                    <w:t>川区中心城</w:t>
                  </w:r>
                  <w:r>
                    <w:rPr>
                      <w:szCs w:val="21"/>
                    </w:rPr>
                    <w:t xml:space="preserve"> 区</w:t>
                  </w:r>
                </w:p>
              </w:tc>
              <w:tc>
                <w:tcPr>
                  <w:tcW w:w="695" w:type="pct"/>
                  <w:tcBorders>
                    <w:tl2br w:val="nil"/>
                    <w:tr2bl w:val="nil"/>
                  </w:tcBorders>
                  <w:vAlign w:val="center"/>
                </w:tcPr>
                <w:p w14:paraId="23B5F8CE">
                  <w:pPr>
                    <w:spacing w:line="228" w:lineRule="auto"/>
                    <w:jc w:val="center"/>
                    <w:rPr>
                      <w:szCs w:val="21"/>
                    </w:rPr>
                  </w:pPr>
                  <w:r>
                    <w:rPr>
                      <w:spacing w:val="7"/>
                      <w:szCs w:val="21"/>
                    </w:rPr>
                    <w:t>达州市</w:t>
                  </w:r>
                </w:p>
              </w:tc>
              <w:tc>
                <w:tcPr>
                  <w:tcW w:w="526" w:type="pct"/>
                  <w:tcBorders>
                    <w:tl2br w:val="nil"/>
                    <w:tr2bl w:val="nil"/>
                  </w:tcBorders>
                  <w:vAlign w:val="center"/>
                </w:tcPr>
                <w:p w14:paraId="1716ABAA">
                  <w:pPr>
                    <w:spacing w:line="228" w:lineRule="auto"/>
                    <w:jc w:val="center"/>
                    <w:rPr>
                      <w:szCs w:val="21"/>
                    </w:rPr>
                  </w:pPr>
                  <w:r>
                    <w:rPr>
                      <w:spacing w:val="7"/>
                      <w:szCs w:val="21"/>
                    </w:rPr>
                    <w:t>通川</w:t>
                  </w:r>
                  <w:r>
                    <w:rPr>
                      <w:spacing w:val="6"/>
                      <w:szCs w:val="21"/>
                    </w:rPr>
                    <w:t>区</w:t>
                  </w:r>
                </w:p>
              </w:tc>
              <w:tc>
                <w:tcPr>
                  <w:tcW w:w="860" w:type="pct"/>
                  <w:tcBorders>
                    <w:tl2br w:val="nil"/>
                    <w:tr2bl w:val="nil"/>
                  </w:tcBorders>
                  <w:vAlign w:val="center"/>
                </w:tcPr>
                <w:p w14:paraId="5BC44E68">
                  <w:pPr>
                    <w:spacing w:line="265" w:lineRule="auto"/>
                    <w:jc w:val="center"/>
                    <w:rPr>
                      <w:szCs w:val="21"/>
                    </w:rPr>
                  </w:pPr>
                  <w:r>
                    <w:rPr>
                      <w:spacing w:val="8"/>
                      <w:szCs w:val="21"/>
                    </w:rPr>
                    <w:t>环境管控单</w:t>
                  </w:r>
                  <w:r>
                    <w:rPr>
                      <w:szCs w:val="21"/>
                    </w:rPr>
                    <w:t>元</w:t>
                  </w:r>
                </w:p>
              </w:tc>
              <w:tc>
                <w:tcPr>
                  <w:tcW w:w="922" w:type="pct"/>
                  <w:tcBorders>
                    <w:tl2br w:val="nil"/>
                    <w:tr2bl w:val="nil"/>
                  </w:tcBorders>
                  <w:vAlign w:val="center"/>
                </w:tcPr>
                <w:p w14:paraId="1500C7B9">
                  <w:pPr>
                    <w:spacing w:line="228" w:lineRule="auto"/>
                    <w:jc w:val="center"/>
                    <w:rPr>
                      <w:szCs w:val="21"/>
                    </w:rPr>
                  </w:pPr>
                  <w:r>
                    <w:rPr>
                      <w:spacing w:val="9"/>
                      <w:szCs w:val="21"/>
                    </w:rPr>
                    <w:t>环</w:t>
                  </w:r>
                  <w:r>
                    <w:rPr>
                      <w:spacing w:val="8"/>
                      <w:szCs w:val="21"/>
                    </w:rPr>
                    <w:t>境综合管控单元城镇重</w:t>
                  </w:r>
                  <w:r>
                    <w:rPr>
                      <w:spacing w:val="7"/>
                      <w:szCs w:val="21"/>
                    </w:rPr>
                    <w:t>点管</w:t>
                  </w:r>
                  <w:r>
                    <w:rPr>
                      <w:spacing w:val="6"/>
                      <w:szCs w:val="21"/>
                    </w:rPr>
                    <w:t>控单元</w:t>
                  </w:r>
                </w:p>
              </w:tc>
            </w:tr>
            <w:tr w14:paraId="64759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jc w:val="center"/>
              </w:trPr>
              <w:tc>
                <w:tcPr>
                  <w:tcW w:w="1094" w:type="pct"/>
                  <w:tcBorders>
                    <w:tl2br w:val="nil"/>
                    <w:tr2bl w:val="nil"/>
                  </w:tcBorders>
                  <w:vAlign w:val="center"/>
                </w:tcPr>
                <w:p w14:paraId="01AAAEA8">
                  <w:pPr>
                    <w:spacing w:line="269" w:lineRule="auto"/>
                    <w:jc w:val="center"/>
                    <w:rPr>
                      <w:szCs w:val="21"/>
                    </w:rPr>
                  </w:pPr>
                  <w:r>
                    <w:rPr>
                      <w:szCs w:val="21"/>
                    </w:rPr>
                    <w:t>YS</w:t>
                  </w:r>
                  <w:r>
                    <w:rPr>
                      <w:spacing w:val="9"/>
                      <w:szCs w:val="21"/>
                    </w:rPr>
                    <w:t>5</w:t>
                  </w:r>
                  <w:r>
                    <w:rPr>
                      <w:spacing w:val="5"/>
                      <w:szCs w:val="21"/>
                    </w:rPr>
                    <w:t>11702</w:t>
                  </w:r>
                  <w:r>
                    <w:rPr>
                      <w:spacing w:val="7"/>
                      <w:szCs w:val="21"/>
                    </w:rPr>
                    <w:t>2</w:t>
                  </w:r>
                  <w:r>
                    <w:rPr>
                      <w:spacing w:val="4"/>
                      <w:szCs w:val="21"/>
                    </w:rPr>
                    <w:t>220001</w:t>
                  </w:r>
                </w:p>
              </w:tc>
              <w:tc>
                <w:tcPr>
                  <w:tcW w:w="900" w:type="pct"/>
                  <w:tcBorders>
                    <w:tl2br w:val="nil"/>
                    <w:tr2bl w:val="nil"/>
                  </w:tcBorders>
                  <w:vAlign w:val="center"/>
                </w:tcPr>
                <w:p w14:paraId="0BFB1563">
                  <w:pPr>
                    <w:spacing w:line="265" w:lineRule="auto"/>
                    <w:jc w:val="center"/>
                    <w:rPr>
                      <w:szCs w:val="21"/>
                    </w:rPr>
                  </w:pPr>
                  <w:r>
                    <w:rPr>
                      <w:spacing w:val="8"/>
                      <w:szCs w:val="21"/>
                    </w:rPr>
                    <w:t>州河通川区车</w:t>
                  </w:r>
                  <w:r>
                    <w:rPr>
                      <w:szCs w:val="21"/>
                    </w:rPr>
                    <w:t xml:space="preserve"> </w:t>
                  </w:r>
                  <w:r>
                    <w:rPr>
                      <w:spacing w:val="8"/>
                      <w:szCs w:val="21"/>
                    </w:rPr>
                    <w:t>家河控制单</w:t>
                  </w:r>
                  <w:r>
                    <w:rPr>
                      <w:spacing w:val="7"/>
                      <w:szCs w:val="21"/>
                    </w:rPr>
                    <w:t>元</w:t>
                  </w:r>
                </w:p>
              </w:tc>
              <w:tc>
                <w:tcPr>
                  <w:tcW w:w="695" w:type="pct"/>
                  <w:tcBorders>
                    <w:tl2br w:val="nil"/>
                    <w:tr2bl w:val="nil"/>
                  </w:tcBorders>
                  <w:vAlign w:val="center"/>
                </w:tcPr>
                <w:p w14:paraId="3A702CD7">
                  <w:pPr>
                    <w:spacing w:line="228" w:lineRule="auto"/>
                    <w:jc w:val="center"/>
                    <w:rPr>
                      <w:szCs w:val="21"/>
                    </w:rPr>
                  </w:pPr>
                  <w:r>
                    <w:rPr>
                      <w:spacing w:val="7"/>
                      <w:szCs w:val="21"/>
                    </w:rPr>
                    <w:t>达州市</w:t>
                  </w:r>
                </w:p>
              </w:tc>
              <w:tc>
                <w:tcPr>
                  <w:tcW w:w="526" w:type="pct"/>
                  <w:tcBorders>
                    <w:tl2br w:val="nil"/>
                    <w:tr2bl w:val="nil"/>
                  </w:tcBorders>
                  <w:vAlign w:val="center"/>
                </w:tcPr>
                <w:p w14:paraId="7C751593">
                  <w:pPr>
                    <w:spacing w:line="228" w:lineRule="auto"/>
                    <w:jc w:val="center"/>
                    <w:rPr>
                      <w:szCs w:val="21"/>
                    </w:rPr>
                  </w:pPr>
                  <w:r>
                    <w:rPr>
                      <w:spacing w:val="7"/>
                      <w:szCs w:val="21"/>
                    </w:rPr>
                    <w:t>通川</w:t>
                  </w:r>
                  <w:r>
                    <w:rPr>
                      <w:spacing w:val="6"/>
                      <w:szCs w:val="21"/>
                    </w:rPr>
                    <w:t>区</w:t>
                  </w:r>
                </w:p>
              </w:tc>
              <w:tc>
                <w:tcPr>
                  <w:tcW w:w="860" w:type="pct"/>
                  <w:tcBorders>
                    <w:tl2br w:val="nil"/>
                    <w:tr2bl w:val="nil"/>
                  </w:tcBorders>
                  <w:vAlign w:val="center"/>
                </w:tcPr>
                <w:p w14:paraId="32C9A562">
                  <w:pPr>
                    <w:spacing w:line="265" w:lineRule="auto"/>
                    <w:jc w:val="center"/>
                    <w:rPr>
                      <w:szCs w:val="21"/>
                    </w:rPr>
                  </w:pPr>
                  <w:r>
                    <w:rPr>
                      <w:spacing w:val="10"/>
                      <w:szCs w:val="21"/>
                    </w:rPr>
                    <w:t>水</w:t>
                  </w:r>
                  <w:r>
                    <w:rPr>
                      <w:spacing w:val="7"/>
                      <w:szCs w:val="21"/>
                    </w:rPr>
                    <w:t>环境管控</w:t>
                  </w:r>
                  <w:r>
                    <w:rPr>
                      <w:spacing w:val="4"/>
                      <w:szCs w:val="21"/>
                    </w:rPr>
                    <w:t>分</w:t>
                  </w:r>
                  <w:r>
                    <w:rPr>
                      <w:spacing w:val="3"/>
                      <w:szCs w:val="21"/>
                    </w:rPr>
                    <w:t>区</w:t>
                  </w:r>
                </w:p>
              </w:tc>
              <w:tc>
                <w:tcPr>
                  <w:tcW w:w="922" w:type="pct"/>
                  <w:tcBorders>
                    <w:tl2br w:val="nil"/>
                    <w:tr2bl w:val="nil"/>
                  </w:tcBorders>
                  <w:vAlign w:val="center"/>
                </w:tcPr>
                <w:p w14:paraId="7CDA798A">
                  <w:pPr>
                    <w:spacing w:line="228" w:lineRule="auto"/>
                    <w:jc w:val="center"/>
                    <w:rPr>
                      <w:szCs w:val="21"/>
                    </w:rPr>
                  </w:pPr>
                  <w:r>
                    <w:rPr>
                      <w:spacing w:val="8"/>
                      <w:szCs w:val="21"/>
                    </w:rPr>
                    <w:t>水环境城镇</w:t>
                  </w:r>
                  <w:r>
                    <w:rPr>
                      <w:spacing w:val="7"/>
                      <w:szCs w:val="21"/>
                    </w:rPr>
                    <w:t>生</w:t>
                  </w:r>
                  <w:r>
                    <w:rPr>
                      <w:spacing w:val="11"/>
                      <w:szCs w:val="21"/>
                    </w:rPr>
                    <w:t>活</w:t>
                  </w:r>
                  <w:r>
                    <w:rPr>
                      <w:spacing w:val="7"/>
                      <w:szCs w:val="21"/>
                    </w:rPr>
                    <w:t>污染重点管</w:t>
                  </w:r>
                  <w:r>
                    <w:rPr>
                      <w:spacing w:val="5"/>
                      <w:szCs w:val="21"/>
                    </w:rPr>
                    <w:t>控区</w:t>
                  </w:r>
                </w:p>
              </w:tc>
            </w:tr>
            <w:tr w14:paraId="74326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jc w:val="center"/>
              </w:trPr>
              <w:tc>
                <w:tcPr>
                  <w:tcW w:w="1094" w:type="pct"/>
                  <w:tcBorders>
                    <w:tl2br w:val="nil"/>
                    <w:tr2bl w:val="nil"/>
                  </w:tcBorders>
                  <w:vAlign w:val="center"/>
                </w:tcPr>
                <w:p w14:paraId="0DC62610">
                  <w:pPr>
                    <w:spacing w:line="267" w:lineRule="auto"/>
                    <w:jc w:val="center"/>
                    <w:rPr>
                      <w:szCs w:val="21"/>
                    </w:rPr>
                  </w:pPr>
                  <w:r>
                    <w:rPr>
                      <w:szCs w:val="21"/>
                    </w:rPr>
                    <w:t>YS</w:t>
                  </w:r>
                  <w:r>
                    <w:rPr>
                      <w:spacing w:val="9"/>
                      <w:szCs w:val="21"/>
                    </w:rPr>
                    <w:t>5</w:t>
                  </w:r>
                  <w:r>
                    <w:rPr>
                      <w:spacing w:val="5"/>
                      <w:szCs w:val="21"/>
                    </w:rPr>
                    <w:t>11702</w:t>
                  </w:r>
                  <w:r>
                    <w:rPr>
                      <w:spacing w:val="7"/>
                      <w:szCs w:val="21"/>
                    </w:rPr>
                    <w:t>2</w:t>
                  </w:r>
                  <w:r>
                    <w:rPr>
                      <w:spacing w:val="4"/>
                      <w:szCs w:val="21"/>
                    </w:rPr>
                    <w:t>340005</w:t>
                  </w:r>
                </w:p>
              </w:tc>
              <w:tc>
                <w:tcPr>
                  <w:tcW w:w="900" w:type="pct"/>
                  <w:tcBorders>
                    <w:tl2br w:val="nil"/>
                    <w:tr2bl w:val="nil"/>
                  </w:tcBorders>
                  <w:vAlign w:val="center"/>
                </w:tcPr>
                <w:p w14:paraId="05AEE51F">
                  <w:pPr>
                    <w:spacing w:line="270" w:lineRule="auto"/>
                    <w:jc w:val="center"/>
                    <w:rPr>
                      <w:szCs w:val="21"/>
                    </w:rPr>
                  </w:pPr>
                  <w:r>
                    <w:rPr>
                      <w:spacing w:val="9"/>
                      <w:szCs w:val="21"/>
                    </w:rPr>
                    <w:t>通</w:t>
                  </w:r>
                  <w:r>
                    <w:rPr>
                      <w:spacing w:val="8"/>
                      <w:szCs w:val="21"/>
                    </w:rPr>
                    <w:t>川区中心城</w:t>
                  </w:r>
                  <w:r>
                    <w:rPr>
                      <w:szCs w:val="21"/>
                    </w:rPr>
                    <w:t xml:space="preserve"> 区</w:t>
                  </w:r>
                </w:p>
              </w:tc>
              <w:tc>
                <w:tcPr>
                  <w:tcW w:w="695" w:type="pct"/>
                  <w:tcBorders>
                    <w:tl2br w:val="nil"/>
                    <w:tr2bl w:val="nil"/>
                  </w:tcBorders>
                  <w:vAlign w:val="center"/>
                </w:tcPr>
                <w:p w14:paraId="2198774F">
                  <w:pPr>
                    <w:spacing w:line="228" w:lineRule="auto"/>
                    <w:jc w:val="center"/>
                    <w:rPr>
                      <w:szCs w:val="21"/>
                    </w:rPr>
                  </w:pPr>
                  <w:r>
                    <w:rPr>
                      <w:spacing w:val="7"/>
                      <w:szCs w:val="21"/>
                    </w:rPr>
                    <w:t>达州市</w:t>
                  </w:r>
                </w:p>
              </w:tc>
              <w:tc>
                <w:tcPr>
                  <w:tcW w:w="526" w:type="pct"/>
                  <w:tcBorders>
                    <w:tl2br w:val="nil"/>
                    <w:tr2bl w:val="nil"/>
                  </w:tcBorders>
                  <w:vAlign w:val="center"/>
                </w:tcPr>
                <w:p w14:paraId="7125C925">
                  <w:pPr>
                    <w:jc w:val="center"/>
                    <w:rPr>
                      <w:szCs w:val="21"/>
                    </w:rPr>
                  </w:pPr>
                </w:p>
                <w:p w14:paraId="51A27A2A">
                  <w:pPr>
                    <w:spacing w:line="228" w:lineRule="auto"/>
                    <w:jc w:val="center"/>
                    <w:rPr>
                      <w:szCs w:val="21"/>
                    </w:rPr>
                  </w:pPr>
                  <w:r>
                    <w:rPr>
                      <w:spacing w:val="7"/>
                      <w:szCs w:val="21"/>
                    </w:rPr>
                    <w:t>通川</w:t>
                  </w:r>
                  <w:r>
                    <w:rPr>
                      <w:spacing w:val="6"/>
                      <w:szCs w:val="21"/>
                    </w:rPr>
                    <w:t>区</w:t>
                  </w:r>
                </w:p>
              </w:tc>
              <w:tc>
                <w:tcPr>
                  <w:tcW w:w="860" w:type="pct"/>
                  <w:tcBorders>
                    <w:tl2br w:val="nil"/>
                    <w:tr2bl w:val="nil"/>
                  </w:tcBorders>
                  <w:vAlign w:val="center"/>
                </w:tcPr>
                <w:p w14:paraId="6135827C">
                  <w:pPr>
                    <w:spacing w:line="267" w:lineRule="auto"/>
                    <w:jc w:val="center"/>
                    <w:rPr>
                      <w:szCs w:val="21"/>
                    </w:rPr>
                  </w:pPr>
                  <w:r>
                    <w:rPr>
                      <w:spacing w:val="10"/>
                      <w:szCs w:val="21"/>
                    </w:rPr>
                    <w:t>大</w:t>
                  </w:r>
                  <w:r>
                    <w:rPr>
                      <w:spacing w:val="7"/>
                      <w:szCs w:val="21"/>
                    </w:rPr>
                    <w:t>气环境管控分区</w:t>
                  </w:r>
                </w:p>
              </w:tc>
              <w:tc>
                <w:tcPr>
                  <w:tcW w:w="922" w:type="pct"/>
                  <w:tcBorders>
                    <w:tl2br w:val="nil"/>
                    <w:tr2bl w:val="nil"/>
                  </w:tcBorders>
                  <w:vAlign w:val="center"/>
                </w:tcPr>
                <w:p w14:paraId="5CDBB818">
                  <w:pPr>
                    <w:spacing w:line="229" w:lineRule="auto"/>
                    <w:jc w:val="center"/>
                    <w:rPr>
                      <w:szCs w:val="21"/>
                    </w:rPr>
                  </w:pPr>
                  <w:r>
                    <w:rPr>
                      <w:spacing w:val="8"/>
                      <w:szCs w:val="21"/>
                    </w:rPr>
                    <w:t>大气环境受</w:t>
                  </w:r>
                  <w:r>
                    <w:rPr>
                      <w:spacing w:val="7"/>
                      <w:szCs w:val="21"/>
                    </w:rPr>
                    <w:t>体</w:t>
                  </w:r>
                  <w:r>
                    <w:rPr>
                      <w:spacing w:val="8"/>
                      <w:szCs w:val="21"/>
                    </w:rPr>
                    <w:t>敏感重点管控</w:t>
                  </w:r>
                  <w:r>
                    <w:rPr>
                      <w:szCs w:val="21"/>
                    </w:rPr>
                    <w:t>区</w:t>
                  </w:r>
                </w:p>
              </w:tc>
            </w:tr>
          </w:tbl>
          <w:p w14:paraId="4C2EB5E9">
            <w:pPr>
              <w:widowControl/>
              <w:jc w:val="left"/>
              <w:rPr>
                <w:rFonts w:hint="eastAsia" w:ascii="宋体" w:hAnsi="宋体" w:cs="宋体"/>
                <w:kern w:val="0"/>
                <w:sz w:val="24"/>
                <w:lang w:bidi="ar"/>
              </w:rPr>
            </w:pPr>
          </w:p>
          <w:p w14:paraId="37057932">
            <w:pPr>
              <w:widowControl/>
              <w:spacing w:line="360" w:lineRule="auto"/>
              <w:jc w:val="center"/>
            </w:pPr>
            <w:r>
              <w:drawing>
                <wp:inline distT="0" distB="0" distL="114300" distR="114300">
                  <wp:extent cx="5275580" cy="2731135"/>
                  <wp:effectExtent l="0" t="0" r="1270" b="1206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8"/>
                          <a:stretch>
                            <a:fillRect/>
                          </a:stretch>
                        </pic:blipFill>
                        <pic:spPr>
                          <a:xfrm>
                            <a:off x="0" y="0"/>
                            <a:ext cx="5275580" cy="2731135"/>
                          </a:xfrm>
                          <a:prstGeom prst="rect">
                            <a:avLst/>
                          </a:prstGeom>
                          <a:noFill/>
                          <a:ln>
                            <a:noFill/>
                          </a:ln>
                        </pic:spPr>
                      </pic:pic>
                    </a:graphicData>
                  </a:graphic>
                </wp:inline>
              </w:drawing>
            </w:r>
          </w:p>
          <w:p w14:paraId="68074CED">
            <w:pPr>
              <w:spacing w:line="360" w:lineRule="auto"/>
              <w:jc w:val="center"/>
              <w:rPr>
                <w:rFonts w:eastAsia="黑体"/>
                <w:szCs w:val="21"/>
              </w:rPr>
            </w:pPr>
            <w:r>
              <w:rPr>
                <w:rFonts w:hint="eastAsia" w:eastAsia="黑体"/>
                <w:szCs w:val="21"/>
              </w:rPr>
              <w:t>图</w:t>
            </w:r>
            <w:r>
              <w:rPr>
                <w:rFonts w:eastAsia="黑体"/>
                <w:szCs w:val="21"/>
              </w:rPr>
              <w:t xml:space="preserve">1-1  </w:t>
            </w:r>
            <w:r>
              <w:rPr>
                <w:rFonts w:hint="eastAsia" w:eastAsia="黑体"/>
                <w:szCs w:val="21"/>
              </w:rPr>
              <w:t>项目“三线一单”符合性分析查询截图</w:t>
            </w:r>
          </w:p>
          <w:p w14:paraId="7B1F1129">
            <w:pPr>
              <w:spacing w:line="360" w:lineRule="auto"/>
              <w:jc w:val="center"/>
              <w:rPr>
                <w:rFonts w:eastAsia="黑体"/>
                <w:szCs w:val="21"/>
              </w:rPr>
            </w:pPr>
          </w:p>
          <w:p w14:paraId="71E255C4">
            <w:pPr>
              <w:spacing w:line="360" w:lineRule="auto"/>
              <w:jc w:val="center"/>
              <w:rPr>
                <w:rFonts w:eastAsia="黑体"/>
                <w:szCs w:val="21"/>
              </w:rPr>
            </w:pPr>
          </w:p>
          <w:p w14:paraId="1301346C">
            <w:pPr>
              <w:spacing w:line="360" w:lineRule="auto"/>
              <w:jc w:val="center"/>
              <w:rPr>
                <w:rFonts w:eastAsia="黑体"/>
                <w:szCs w:val="21"/>
              </w:rPr>
            </w:pPr>
          </w:p>
          <w:p w14:paraId="3044BC39">
            <w:pPr>
              <w:spacing w:line="360" w:lineRule="auto"/>
              <w:jc w:val="center"/>
              <w:rPr>
                <w:rFonts w:eastAsia="黑体"/>
                <w:szCs w:val="21"/>
              </w:rPr>
            </w:pPr>
          </w:p>
          <w:p w14:paraId="57F597E5">
            <w:pPr>
              <w:spacing w:line="360" w:lineRule="auto"/>
              <w:jc w:val="center"/>
              <w:rPr>
                <w:rFonts w:eastAsia="黑体"/>
                <w:szCs w:val="21"/>
              </w:rPr>
            </w:pPr>
          </w:p>
          <w:p w14:paraId="03D10715">
            <w:pPr>
              <w:spacing w:line="360" w:lineRule="auto"/>
              <w:jc w:val="center"/>
              <w:rPr>
                <w:rFonts w:eastAsia="黑体"/>
                <w:szCs w:val="21"/>
              </w:rPr>
            </w:pPr>
          </w:p>
          <w:p w14:paraId="050970C5">
            <w:pPr>
              <w:spacing w:line="360" w:lineRule="auto"/>
              <w:jc w:val="center"/>
              <w:rPr>
                <w:rFonts w:eastAsia="黑体"/>
                <w:szCs w:val="21"/>
              </w:rPr>
            </w:pPr>
          </w:p>
          <w:p w14:paraId="5637FBA0">
            <w:pPr>
              <w:spacing w:line="360" w:lineRule="auto"/>
              <w:jc w:val="center"/>
              <w:rPr>
                <w:rFonts w:eastAsia="黑体"/>
                <w:szCs w:val="21"/>
              </w:rPr>
            </w:pPr>
          </w:p>
          <w:p w14:paraId="3CBCFC98">
            <w:pPr>
              <w:spacing w:line="360" w:lineRule="auto"/>
              <w:jc w:val="center"/>
              <w:rPr>
                <w:rFonts w:eastAsia="黑体"/>
                <w:szCs w:val="21"/>
              </w:rPr>
            </w:pPr>
          </w:p>
          <w:p w14:paraId="39333A65">
            <w:pPr>
              <w:spacing w:line="360" w:lineRule="auto"/>
              <w:jc w:val="center"/>
              <w:rPr>
                <w:rFonts w:eastAsia="黑体"/>
                <w:szCs w:val="21"/>
              </w:rPr>
            </w:pPr>
          </w:p>
          <w:p w14:paraId="7D541319">
            <w:pPr>
              <w:widowControl/>
              <w:spacing w:line="360" w:lineRule="auto"/>
              <w:jc w:val="center"/>
              <w:rPr>
                <w:rFonts w:hint="eastAsia" w:ascii="宋体" w:hAnsi="宋体" w:cs="宋体"/>
                <w:color w:val="000000"/>
                <w:kern w:val="0"/>
                <w:sz w:val="24"/>
                <w:lang w:bidi="ar"/>
              </w:rPr>
            </w:pPr>
            <w:r>
              <w:rPr>
                <w:rFonts w:ascii="Helvetica" w:hAnsi="Helvetica" w:eastAsia="Helvetica"/>
                <w:sz w:val="28"/>
              </w:rPr>
              <w:drawing>
                <wp:inline distT="0" distB="0" distL="114300" distR="114300">
                  <wp:extent cx="5247640" cy="3711575"/>
                  <wp:effectExtent l="0" t="0" r="10160" b="317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9"/>
                          <a:stretch>
                            <a:fillRect/>
                          </a:stretch>
                        </pic:blipFill>
                        <pic:spPr>
                          <a:xfrm>
                            <a:off x="0" y="0"/>
                            <a:ext cx="5247640" cy="3711575"/>
                          </a:xfrm>
                          <a:prstGeom prst="rect">
                            <a:avLst/>
                          </a:prstGeom>
                          <a:noFill/>
                          <a:ln>
                            <a:noFill/>
                          </a:ln>
                        </pic:spPr>
                      </pic:pic>
                    </a:graphicData>
                  </a:graphic>
                </wp:inline>
              </w:drawing>
            </w:r>
            <w:r>
              <w:rPr>
                <w:rFonts w:hint="eastAsia" w:eastAsia="黑体"/>
                <w:szCs w:val="21"/>
              </w:rPr>
              <w:t>图图</w:t>
            </w:r>
            <w:r>
              <w:rPr>
                <w:rFonts w:eastAsia="黑体"/>
                <w:szCs w:val="21"/>
              </w:rPr>
              <w:t xml:space="preserve">1-2  </w:t>
            </w:r>
            <w:r>
              <w:rPr>
                <w:rFonts w:hint="eastAsia" w:eastAsia="黑体"/>
                <w:szCs w:val="21"/>
              </w:rPr>
              <w:t>项目与管控单元相对位置图（</w:t>
            </w:r>
            <w:r>
              <w:rPr>
                <w:rFonts w:hint="eastAsia" w:ascii="黑体" w:hAnsi="黑体" w:eastAsia="黑体" w:cs="黑体"/>
                <w:szCs w:val="20"/>
              </w:rPr>
              <w:t>图中</w:t>
            </w:r>
            <w:r>
              <w:rPr>
                <w:rFonts w:hint="eastAsia" w:ascii="黑体" w:hAnsi="黑体" w:eastAsia="黑体" w:cs="黑体"/>
                <w:color w:val="00FFFF"/>
                <w:szCs w:val="20"/>
              </w:rPr>
              <w:t>▼</w:t>
            </w:r>
            <w:r>
              <w:rPr>
                <w:rFonts w:hint="eastAsia" w:ascii="黑体" w:hAnsi="黑体" w:eastAsia="黑体" w:cs="黑体"/>
                <w:szCs w:val="20"/>
              </w:rPr>
              <w:t>表示项目位置</w:t>
            </w:r>
            <w:r>
              <w:rPr>
                <w:rFonts w:hint="eastAsia" w:eastAsia="黑体"/>
                <w:szCs w:val="21"/>
              </w:rPr>
              <w:t>）</w:t>
            </w:r>
          </w:p>
          <w:p w14:paraId="1D6DA131">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②</w:t>
            </w:r>
            <w:r>
              <w:rPr>
                <w:b/>
                <w:bCs/>
                <w:color w:val="000000"/>
                <w:kern w:val="0"/>
                <w:sz w:val="24"/>
                <w:lang w:bidi="ar"/>
              </w:rPr>
              <w:t>生态保护红线</w:t>
            </w:r>
          </w:p>
          <w:p w14:paraId="11CD9910">
            <w:pPr>
              <w:pStyle w:val="11"/>
              <w:widowControl w:val="0"/>
              <w:kinsoku w:val="0"/>
              <w:overflowPunct w:val="0"/>
              <w:spacing w:before="0" w:after="0" w:line="360" w:lineRule="auto"/>
              <w:ind w:firstLine="480" w:firstLineChars="200"/>
              <w:rPr>
                <w:sz w:val="24"/>
                <w:szCs w:val="24"/>
              </w:rPr>
            </w:pPr>
            <w:r>
              <w:rPr>
                <w:rFonts w:hint="eastAsia"/>
                <w:sz w:val="24"/>
                <w:szCs w:val="24"/>
              </w:rPr>
              <w:t>根据《长江经济带战略环境评价四川省达州市“三线一单”生态环境分区管控优化完善研究报告》，达州市生态保护红线面积1214.56km</w:t>
            </w:r>
            <w:r>
              <w:rPr>
                <w:rFonts w:hint="eastAsia"/>
                <w:sz w:val="24"/>
                <w:szCs w:val="24"/>
                <w:vertAlign w:val="superscript"/>
              </w:rPr>
              <w:t>2</w:t>
            </w:r>
            <w:r>
              <w:rPr>
                <w:rFonts w:hint="eastAsia"/>
                <w:sz w:val="24"/>
                <w:szCs w:val="24"/>
              </w:rPr>
              <w:t>，占达州市国土面积比例的7.33%，与原2018年相比，面积减少了42.40km</w:t>
            </w:r>
            <w:r>
              <w:rPr>
                <w:rFonts w:hint="eastAsia"/>
                <w:sz w:val="24"/>
                <w:szCs w:val="24"/>
                <w:vertAlign w:val="superscript"/>
              </w:rPr>
              <w:t>2</w:t>
            </w:r>
            <w:r>
              <w:rPr>
                <w:rFonts w:hint="eastAsia"/>
                <w:sz w:val="24"/>
                <w:szCs w:val="24"/>
              </w:rPr>
              <w:t>，其中调入红线287.98km</w:t>
            </w:r>
            <w:r>
              <w:rPr>
                <w:rFonts w:hint="eastAsia"/>
                <w:sz w:val="24"/>
                <w:szCs w:val="24"/>
                <w:vertAlign w:val="superscript"/>
              </w:rPr>
              <w:t>2</w:t>
            </w:r>
            <w:r>
              <w:rPr>
                <w:rFonts w:hint="eastAsia"/>
                <w:sz w:val="24"/>
                <w:szCs w:val="24"/>
              </w:rPr>
              <w:t>，调出红线330.38km</w:t>
            </w:r>
            <w:r>
              <w:rPr>
                <w:rFonts w:hint="eastAsia"/>
                <w:sz w:val="24"/>
                <w:szCs w:val="24"/>
                <w:vertAlign w:val="superscript"/>
              </w:rPr>
              <w:t>2</w:t>
            </w:r>
            <w:r>
              <w:rPr>
                <w:rFonts w:hint="eastAsia"/>
                <w:sz w:val="24"/>
                <w:szCs w:val="24"/>
              </w:rPr>
              <w:t>。达州市生态保护红线主要分布在大巴山和盆地区域，涉及大巴山生物多样性维护—水源涵养生态保护红线、盆中城市饮用水源—水土保持生态保护红线。达州市生态保护红线分布图见下图。</w:t>
            </w:r>
          </w:p>
          <w:p w14:paraId="1775C080">
            <w:pPr>
              <w:rPr>
                <w:sz w:val="24"/>
              </w:rPr>
            </w:pPr>
          </w:p>
          <w:p w14:paraId="1B669F22">
            <w:pPr>
              <w:rPr>
                <w:sz w:val="24"/>
              </w:rPr>
            </w:pPr>
          </w:p>
          <w:p w14:paraId="4AF38A68">
            <w:pPr>
              <w:rPr>
                <w:sz w:val="24"/>
              </w:rPr>
            </w:pPr>
          </w:p>
          <w:p w14:paraId="7C119450">
            <w:pPr>
              <w:rPr>
                <w:sz w:val="24"/>
              </w:rPr>
            </w:pPr>
          </w:p>
          <w:p w14:paraId="4973CDC7">
            <w:pPr>
              <w:rPr>
                <w:sz w:val="24"/>
              </w:rPr>
            </w:pPr>
          </w:p>
          <w:p w14:paraId="7AAA29ED">
            <w:pPr>
              <w:rPr>
                <w:sz w:val="24"/>
              </w:rPr>
            </w:pPr>
          </w:p>
          <w:p w14:paraId="6D1752BE">
            <w:pPr>
              <w:rPr>
                <w:sz w:val="24"/>
              </w:rPr>
            </w:pPr>
          </w:p>
          <w:p w14:paraId="32CE47B9">
            <w:pPr>
              <w:rPr>
                <w:sz w:val="24"/>
              </w:rPr>
            </w:pPr>
          </w:p>
          <w:p w14:paraId="2EA2520F">
            <w:pPr>
              <w:rPr>
                <w:sz w:val="24"/>
              </w:rPr>
            </w:pPr>
          </w:p>
          <w:p w14:paraId="2432D8BA">
            <w:pPr>
              <w:rPr>
                <w:sz w:val="24"/>
              </w:rPr>
            </w:pPr>
          </w:p>
          <w:p w14:paraId="4DB111CA">
            <w:pPr>
              <w:rPr>
                <w:sz w:val="24"/>
              </w:rPr>
            </w:pPr>
          </w:p>
          <w:p w14:paraId="1D045165">
            <w:pPr>
              <w:rPr>
                <w:sz w:val="24"/>
              </w:rPr>
            </w:pPr>
          </w:p>
          <w:p w14:paraId="49B34F75">
            <w:pPr>
              <w:rPr>
                <w:sz w:val="24"/>
              </w:rPr>
            </w:pPr>
          </w:p>
          <w:p w14:paraId="7EFC0514">
            <w:pPr>
              <w:widowControl/>
              <w:spacing w:before="120" w:beforeLines="50" w:line="360" w:lineRule="auto"/>
              <w:jc w:val="center"/>
              <w:rPr>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1168400</wp:posOffset>
                      </wp:positionH>
                      <wp:positionV relativeFrom="paragraph">
                        <wp:posOffset>948690</wp:posOffset>
                      </wp:positionV>
                      <wp:extent cx="725170" cy="325120"/>
                      <wp:effectExtent l="7620" t="7620" r="10160" b="715010"/>
                      <wp:wrapNone/>
                      <wp:docPr id="8" name="矩形标注 8"/>
                      <wp:cNvGraphicFramePr/>
                      <a:graphic xmlns:a="http://schemas.openxmlformats.org/drawingml/2006/main">
                        <a:graphicData uri="http://schemas.microsoft.com/office/word/2010/wordprocessingShape">
                          <wps:wsp>
                            <wps:cNvSpPr/>
                            <wps:spPr>
                              <a:xfrm>
                                <a:off x="2330450" y="2983230"/>
                                <a:ext cx="143002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14:paraId="523144E7">
                                  <w:pPr>
                                    <w:rPr>
                                      <w:color w:val="FF0000"/>
                                      <w:sz w:val="24"/>
                                    </w:rPr>
                                  </w:pPr>
                                  <w:r>
                                    <w:rPr>
                                      <w:rFonts w:hint="eastAsia"/>
                                      <w:color w:val="FF0000"/>
                                      <w:sz w:val="24"/>
                                    </w:rPr>
                                    <w:t>本项目</w:t>
                                  </w:r>
                                </w:p>
                              </w:txbxContent>
                            </wps:txbx>
                            <wps:bodyPr wrap="square" upright="1"/>
                          </wps:wsp>
                        </a:graphicData>
                      </a:graphic>
                    </wp:anchor>
                  </w:drawing>
                </mc:Choice>
                <mc:Fallback>
                  <w:pict>
                    <v:shape id="_x0000_s1026" o:spid="_x0000_s1026" o:spt="61" type="#_x0000_t61" style="position:absolute;left:0pt;margin-left:92pt;margin-top:74.7pt;height:25.6pt;width:57.1pt;z-index:251660288;mso-width-relative:page;mso-height-relative:page;" filled="f" stroked="t" coordsize="21600,21600" o:gfxdata="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8iutgAAAALAQAADwAA&#10;AAAAAAABACAAAAAiAAAAZHJzL2Rvd25yZXYueG1sUEsBAhQAFAAAAAgAh07iQIzrVL5PAgAAjQQA&#10;AA4AAAAAAAAAAQAgAAAAJwEAAGRycy9lMm9Eb2MueG1sUEsFBgAAAAAGAAYAWQEAAOgFAAAAAA==&#10;" adj="20670,64666">
                      <v:fill on="f" focussize="0,0"/>
                      <v:stroke weight="1.25pt" color="#FF0000" joinstyle="miter"/>
                      <v:imagedata o:title=""/>
                      <o:lock v:ext="edit" aspectratio="f"/>
                      <v:textbox>
                        <w:txbxContent>
                          <w:p w14:paraId="523144E7">
                            <w:pPr>
                              <w:rPr>
                                <w:color w:val="FF0000"/>
                                <w:sz w:val="24"/>
                              </w:rPr>
                            </w:pPr>
                            <w:r>
                              <w:rPr>
                                <w:rFonts w:hint="eastAsia"/>
                                <w:color w:val="FF0000"/>
                                <w:sz w:val="24"/>
                              </w:rPr>
                              <w:t>本项目</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1798320</wp:posOffset>
                      </wp:positionH>
                      <wp:positionV relativeFrom="paragraph">
                        <wp:posOffset>1877060</wp:posOffset>
                      </wp:positionV>
                      <wp:extent cx="171450" cy="180975"/>
                      <wp:effectExtent l="21590" t="24130" r="35560" b="23495"/>
                      <wp:wrapNone/>
                      <wp:docPr id="1" name="自选图形 15"/>
                      <wp:cNvGraphicFramePr/>
                      <a:graphic xmlns:a="http://schemas.openxmlformats.org/drawingml/2006/main">
                        <a:graphicData uri="http://schemas.microsoft.com/office/word/2010/wordprocessingShape">
                          <wps:wsp>
                            <wps:cNvSpPr/>
                            <wps:spPr>
                              <a:xfrm>
                                <a:off x="0" y="0"/>
                                <a:ext cx="171450" cy="180975"/>
                              </a:xfrm>
                              <a:prstGeom prst="star4">
                                <a:avLst>
                                  <a:gd name="adj" fmla="val 12500"/>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15" o:spid="_x0000_s1026" o:spt="187" type="#_x0000_t187" style="position:absolute;left:0pt;margin-left:141.6pt;margin-top:147.8pt;height:14.25pt;width:13.5pt;z-index:251659264;mso-width-relative:page;mso-height-relative:page;" fillcolor="#FFFFFF" filled="t" stroked="t" coordsize="21600,21600" o:gfxdata="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&#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9nz5toAAAALAQAADwAAAAAAAAABACAAAAAiAAAA&#10;ZHJzL2Rvd25yZXYueG1sUEsBAhQAFAAAAAgAh07iQD1pq+E+AgAAhAQAAA4AAAAAAAAAAQAgAAAA&#10;KQEAAGRycy9lMm9Eb2MueG1sUEsFBgAAAAAGAAYAWQEAANkFAAAAAA==&#10;" adj="8100">
                      <v:fill on="t" focussize="0,0"/>
                      <v:stroke color="#000000" joinstyle="miter"/>
                      <v:imagedata o:title=""/>
                      <o:lock v:ext="edit" aspectratio="f"/>
                    </v:shape>
                  </w:pict>
                </mc:Fallback>
              </mc:AlternateContent>
            </w:r>
            <w:r>
              <w:rPr>
                <w:rFonts w:eastAsia="仿宋_GB2312"/>
                <w:spacing w:val="-4"/>
                <w:sz w:val="28"/>
                <w:szCs w:val="28"/>
              </w:rPr>
              <w:drawing>
                <wp:inline distT="0" distB="0" distL="114300" distR="114300">
                  <wp:extent cx="5195570" cy="3670935"/>
                  <wp:effectExtent l="0" t="0" r="5080" b="5715"/>
                  <wp:docPr id="7" name="图片 27"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G:\1\达州成果\现阶段成果\达州5月出图\生态保护红线.jpg"/>
                          <pic:cNvPicPr>
                            <a:picLocks noChangeAspect="1"/>
                          </pic:cNvPicPr>
                        </pic:nvPicPr>
                        <pic:blipFill>
                          <a:blip r:embed="rId10"/>
                          <a:stretch>
                            <a:fillRect/>
                          </a:stretch>
                        </pic:blipFill>
                        <pic:spPr>
                          <a:xfrm>
                            <a:off x="0" y="0"/>
                            <a:ext cx="5195570" cy="3670935"/>
                          </a:xfrm>
                          <a:prstGeom prst="rect">
                            <a:avLst/>
                          </a:prstGeom>
                          <a:noFill/>
                          <a:ln>
                            <a:noFill/>
                          </a:ln>
                        </pic:spPr>
                      </pic:pic>
                    </a:graphicData>
                  </a:graphic>
                </wp:inline>
              </w:drawing>
            </w:r>
          </w:p>
          <w:p w14:paraId="255BDEB5">
            <w:pPr>
              <w:pStyle w:val="11"/>
              <w:widowControl w:val="0"/>
              <w:kinsoku w:val="0"/>
              <w:overflowPunct w:val="0"/>
              <w:spacing w:before="0" w:after="0" w:line="360" w:lineRule="auto"/>
              <w:jc w:val="center"/>
              <w:rPr>
                <w:rFonts w:eastAsia="黑体"/>
                <w:kern w:val="2"/>
                <w:sz w:val="21"/>
                <w:szCs w:val="21"/>
              </w:rPr>
            </w:pPr>
            <w:r>
              <w:rPr>
                <w:rFonts w:hint="eastAsia" w:eastAsia="黑体"/>
                <w:kern w:val="2"/>
                <w:sz w:val="21"/>
                <w:szCs w:val="21"/>
              </w:rPr>
              <w:t>图1-3  项目与达州市生态红线分布位置关系图</w:t>
            </w:r>
          </w:p>
          <w:p w14:paraId="507B84C5">
            <w:pPr>
              <w:spacing w:line="360" w:lineRule="auto"/>
              <w:ind w:firstLine="480" w:firstLineChars="200"/>
              <w:rPr>
                <w:bCs/>
                <w:sz w:val="24"/>
              </w:rPr>
            </w:pPr>
            <w:r>
              <w:rPr>
                <w:rFonts w:hint="eastAsia"/>
                <w:sz w:val="24"/>
              </w:rPr>
              <w:t>由上图可知，本项目</w:t>
            </w:r>
            <w:r>
              <w:rPr>
                <w:rFonts w:hint="eastAsia" w:ascii="宋体" w:hAnsi="宋体" w:cs="宋体"/>
                <w:color w:val="000000"/>
                <w:kern w:val="0"/>
                <w:sz w:val="24"/>
                <w:lang w:bidi="ar"/>
              </w:rPr>
              <w:t>不在饮用水源保护区、自然保护区、风景名胜区、湿地公园、地质公园等各类生态保护重要区域和已划定的达州市生态保护红线范围内。</w:t>
            </w:r>
            <w:r>
              <w:rPr>
                <w:sz w:val="24"/>
              </w:rPr>
              <w:t>选址与《</w:t>
            </w:r>
            <w:r>
              <w:rPr>
                <w:rFonts w:hint="eastAsia"/>
                <w:sz w:val="24"/>
              </w:rPr>
              <w:t>长江经济带战略环境评价四川省达州市“三线一单”生态环境分区管控优化完善研究报告</w:t>
            </w:r>
            <w:r>
              <w:rPr>
                <w:sz w:val="24"/>
              </w:rPr>
              <w:t>》是相协调的，项目不涉及生态红线。</w:t>
            </w:r>
          </w:p>
          <w:p w14:paraId="2DA14A31">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③</w:t>
            </w:r>
            <w:r>
              <w:rPr>
                <w:b/>
                <w:bCs/>
                <w:sz w:val="24"/>
              </w:rPr>
              <w:t>生态环境准入清单符合性分析</w:t>
            </w:r>
          </w:p>
          <w:p w14:paraId="1FA7FE5D">
            <w:pPr>
              <w:pStyle w:val="11"/>
              <w:widowControl w:val="0"/>
              <w:kinsoku w:val="0"/>
              <w:overflowPunct w:val="0"/>
              <w:spacing w:before="0" w:after="0" w:line="360" w:lineRule="auto"/>
              <w:ind w:firstLine="480" w:firstLineChars="200"/>
              <w:rPr>
                <w:sz w:val="24"/>
                <w:szCs w:val="24"/>
              </w:rPr>
            </w:pPr>
            <w:r>
              <w:rPr>
                <w:rFonts w:hint="eastAsia"/>
                <w:sz w:val="24"/>
                <w:szCs w:val="24"/>
              </w:rPr>
              <w:t>项目生态环境准入清单见下表。</w:t>
            </w:r>
          </w:p>
          <w:p w14:paraId="0AD5F0FB">
            <w:pPr>
              <w:jc w:val="center"/>
              <w:rPr>
                <w:b/>
                <w:bCs/>
                <w:szCs w:val="21"/>
              </w:rPr>
            </w:pPr>
            <w:r>
              <w:rPr>
                <w:b/>
                <w:bCs/>
                <w:szCs w:val="21"/>
              </w:rPr>
              <w:t>表1-</w:t>
            </w:r>
            <w:r>
              <w:rPr>
                <w:rFonts w:hint="eastAsia"/>
                <w:b/>
                <w:bCs/>
                <w:szCs w:val="21"/>
              </w:rPr>
              <w:t>5</w:t>
            </w:r>
            <w:r>
              <w:rPr>
                <w:b/>
                <w:bCs/>
                <w:szCs w:val="21"/>
              </w:rPr>
              <w:t xml:space="preserve">  生态环境准入清单</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521"/>
              <w:gridCol w:w="464"/>
              <w:gridCol w:w="449"/>
              <w:gridCol w:w="2564"/>
              <w:gridCol w:w="2163"/>
              <w:gridCol w:w="449"/>
            </w:tblGrid>
            <w:tr w14:paraId="44AF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blHeader/>
                <w:jc w:val="center"/>
              </w:trPr>
              <w:tc>
                <w:tcPr>
                  <w:tcW w:w="1167" w:type="pct"/>
                  <w:tcBorders>
                    <w:top w:val="single" w:color="auto" w:sz="4" w:space="0"/>
                    <w:left w:val="single" w:color="auto" w:sz="4" w:space="0"/>
                    <w:bottom w:val="single" w:color="auto" w:sz="4" w:space="0"/>
                    <w:right w:val="single" w:color="auto" w:sz="4" w:space="0"/>
                  </w:tcBorders>
                  <w:vAlign w:val="center"/>
                </w:tcPr>
                <w:p w14:paraId="4C8A93B1">
                  <w:pPr>
                    <w:jc w:val="center"/>
                    <w:rPr>
                      <w:b/>
                      <w:bCs/>
                      <w:szCs w:val="21"/>
                    </w:rPr>
                  </w:pPr>
                  <w:r>
                    <w:rPr>
                      <w:b/>
                      <w:bCs/>
                      <w:szCs w:val="21"/>
                    </w:rPr>
                    <w:t>环境管控单元编码</w:t>
                  </w:r>
                </w:p>
              </w:tc>
              <w:tc>
                <w:tcPr>
                  <w:tcW w:w="302" w:type="pct"/>
                  <w:tcBorders>
                    <w:top w:val="single" w:color="auto" w:sz="4" w:space="0"/>
                    <w:left w:val="nil"/>
                    <w:bottom w:val="single" w:color="auto" w:sz="4" w:space="0"/>
                    <w:right w:val="single" w:color="auto" w:sz="4" w:space="0"/>
                  </w:tcBorders>
                  <w:vAlign w:val="center"/>
                </w:tcPr>
                <w:p w14:paraId="7B50C437">
                  <w:pPr>
                    <w:jc w:val="center"/>
                    <w:rPr>
                      <w:b/>
                      <w:bCs/>
                      <w:szCs w:val="21"/>
                    </w:rPr>
                  </w:pPr>
                  <w:r>
                    <w:rPr>
                      <w:b/>
                      <w:bCs/>
                      <w:szCs w:val="21"/>
                    </w:rPr>
                    <w:t>环境管控单元名称</w:t>
                  </w:r>
                </w:p>
              </w:tc>
              <w:tc>
                <w:tcPr>
                  <w:tcW w:w="269" w:type="pct"/>
                  <w:tcBorders>
                    <w:top w:val="single" w:color="auto" w:sz="4" w:space="0"/>
                    <w:left w:val="nil"/>
                    <w:right w:val="single" w:color="auto" w:sz="4" w:space="0"/>
                  </w:tcBorders>
                  <w:vAlign w:val="center"/>
                </w:tcPr>
                <w:p w14:paraId="648466CB">
                  <w:pPr>
                    <w:jc w:val="center"/>
                    <w:rPr>
                      <w:b/>
                      <w:spacing w:val="-8"/>
                      <w:szCs w:val="21"/>
                    </w:rPr>
                  </w:pPr>
                  <w:r>
                    <w:rPr>
                      <w:b/>
                      <w:bCs/>
                      <w:kern w:val="0"/>
                      <w:szCs w:val="21"/>
                    </w:rPr>
                    <w:t>管控单元分类</w:t>
                  </w:r>
                </w:p>
              </w:tc>
              <w:tc>
                <w:tcPr>
                  <w:tcW w:w="260" w:type="pct"/>
                  <w:tcBorders>
                    <w:top w:val="single" w:color="auto" w:sz="4" w:space="0"/>
                    <w:left w:val="nil"/>
                    <w:bottom w:val="single" w:color="auto" w:sz="4" w:space="0"/>
                    <w:right w:val="single" w:color="auto" w:sz="4" w:space="0"/>
                  </w:tcBorders>
                  <w:vAlign w:val="center"/>
                </w:tcPr>
                <w:p w14:paraId="46685A7A">
                  <w:pPr>
                    <w:jc w:val="center"/>
                    <w:rPr>
                      <w:b/>
                      <w:bCs/>
                      <w:szCs w:val="21"/>
                    </w:rPr>
                  </w:pPr>
                  <w:r>
                    <w:rPr>
                      <w:b/>
                      <w:bCs/>
                      <w:szCs w:val="21"/>
                    </w:rPr>
                    <w:t>类别</w:t>
                  </w:r>
                </w:p>
              </w:tc>
              <w:tc>
                <w:tcPr>
                  <w:tcW w:w="1485" w:type="pct"/>
                  <w:tcBorders>
                    <w:top w:val="single" w:color="auto" w:sz="4" w:space="0"/>
                    <w:left w:val="nil"/>
                    <w:bottom w:val="single" w:color="auto" w:sz="4" w:space="0"/>
                    <w:right w:val="single" w:color="auto" w:sz="4" w:space="0"/>
                  </w:tcBorders>
                  <w:vAlign w:val="center"/>
                </w:tcPr>
                <w:p w14:paraId="2C63E744">
                  <w:pPr>
                    <w:jc w:val="center"/>
                    <w:rPr>
                      <w:b/>
                      <w:bCs/>
                      <w:szCs w:val="21"/>
                    </w:rPr>
                  </w:pPr>
                  <w:r>
                    <w:rPr>
                      <w:b/>
                      <w:bCs/>
                      <w:kern w:val="0"/>
                      <w:szCs w:val="21"/>
                    </w:rPr>
                    <w:t>管控要求</w:t>
                  </w:r>
                </w:p>
              </w:tc>
              <w:tc>
                <w:tcPr>
                  <w:tcW w:w="1253" w:type="pct"/>
                  <w:tcBorders>
                    <w:top w:val="single" w:color="auto" w:sz="4" w:space="0"/>
                    <w:left w:val="nil"/>
                    <w:right w:val="single" w:color="auto" w:sz="4" w:space="0"/>
                  </w:tcBorders>
                  <w:vAlign w:val="center"/>
                </w:tcPr>
                <w:p w14:paraId="0FABF997">
                  <w:pPr>
                    <w:jc w:val="center"/>
                    <w:rPr>
                      <w:b/>
                      <w:bCs/>
                      <w:kern w:val="0"/>
                      <w:szCs w:val="21"/>
                    </w:rPr>
                  </w:pPr>
                  <w:r>
                    <w:rPr>
                      <w:b/>
                      <w:bCs/>
                      <w:kern w:val="0"/>
                      <w:szCs w:val="21"/>
                    </w:rPr>
                    <w:t>项目对应情况介绍</w:t>
                  </w:r>
                </w:p>
              </w:tc>
              <w:tc>
                <w:tcPr>
                  <w:tcW w:w="260" w:type="pct"/>
                  <w:tcBorders>
                    <w:top w:val="single" w:color="auto" w:sz="4" w:space="0"/>
                    <w:left w:val="nil"/>
                    <w:bottom w:val="single" w:color="auto" w:sz="4" w:space="0"/>
                    <w:right w:val="single" w:color="auto" w:sz="4" w:space="0"/>
                  </w:tcBorders>
                  <w:vAlign w:val="center"/>
                </w:tcPr>
                <w:p w14:paraId="5392E02F">
                  <w:pPr>
                    <w:jc w:val="center"/>
                    <w:rPr>
                      <w:b/>
                      <w:bCs/>
                      <w:kern w:val="0"/>
                      <w:szCs w:val="21"/>
                    </w:rPr>
                  </w:pPr>
                  <w:r>
                    <w:rPr>
                      <w:b/>
                      <w:bCs/>
                      <w:kern w:val="0"/>
                      <w:szCs w:val="21"/>
                    </w:rPr>
                    <w:t>符合性分析</w:t>
                  </w:r>
                </w:p>
              </w:tc>
            </w:tr>
            <w:tr w14:paraId="784B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67" w:type="pct"/>
                  <w:vMerge w:val="restart"/>
                  <w:tcBorders>
                    <w:top w:val="nil"/>
                    <w:left w:val="single" w:color="auto" w:sz="4" w:space="0"/>
                    <w:right w:val="single" w:color="auto" w:sz="4" w:space="0"/>
                  </w:tcBorders>
                  <w:vAlign w:val="center"/>
                </w:tcPr>
                <w:p w14:paraId="14078A44">
                  <w:pPr>
                    <w:jc w:val="center"/>
                    <w:rPr>
                      <w:bCs/>
                      <w:szCs w:val="21"/>
                    </w:rPr>
                  </w:pPr>
                </w:p>
                <w:p w14:paraId="0050201C">
                  <w:pPr>
                    <w:jc w:val="center"/>
                    <w:rPr>
                      <w:bCs/>
                      <w:szCs w:val="21"/>
                    </w:rPr>
                  </w:pPr>
                  <w:r>
                    <w:rPr>
                      <w:szCs w:val="21"/>
                    </w:rPr>
                    <w:t>ZH</w:t>
                  </w:r>
                  <w:r>
                    <w:rPr>
                      <w:spacing w:val="9"/>
                      <w:szCs w:val="21"/>
                    </w:rPr>
                    <w:t>5</w:t>
                  </w:r>
                  <w:r>
                    <w:rPr>
                      <w:spacing w:val="5"/>
                      <w:szCs w:val="21"/>
                    </w:rPr>
                    <w:t>11702</w:t>
                  </w:r>
                  <w:r>
                    <w:rPr>
                      <w:rFonts w:hint="eastAsia"/>
                      <w:spacing w:val="5"/>
                      <w:szCs w:val="21"/>
                    </w:rPr>
                    <w:t>2</w:t>
                  </w:r>
                  <w:r>
                    <w:rPr>
                      <w:spacing w:val="4"/>
                      <w:szCs w:val="21"/>
                    </w:rPr>
                    <w:t>0001</w:t>
                  </w:r>
                </w:p>
              </w:tc>
              <w:tc>
                <w:tcPr>
                  <w:tcW w:w="302" w:type="pct"/>
                  <w:vMerge w:val="restart"/>
                  <w:tcBorders>
                    <w:top w:val="nil"/>
                    <w:left w:val="nil"/>
                    <w:right w:val="single" w:color="auto" w:sz="4" w:space="0"/>
                  </w:tcBorders>
                  <w:vAlign w:val="center"/>
                </w:tcPr>
                <w:p w14:paraId="1CEC77A3">
                  <w:pPr>
                    <w:jc w:val="center"/>
                    <w:rPr>
                      <w:bCs/>
                      <w:szCs w:val="21"/>
                    </w:rPr>
                  </w:pPr>
                  <w:r>
                    <w:rPr>
                      <w:spacing w:val="9"/>
                      <w:szCs w:val="21"/>
                    </w:rPr>
                    <w:t>通</w:t>
                  </w:r>
                  <w:r>
                    <w:rPr>
                      <w:spacing w:val="8"/>
                      <w:szCs w:val="21"/>
                    </w:rPr>
                    <w:t>川区中心城</w:t>
                  </w:r>
                  <w:r>
                    <w:rPr>
                      <w:szCs w:val="21"/>
                    </w:rPr>
                    <w:t xml:space="preserve"> 区</w:t>
                  </w:r>
                </w:p>
              </w:tc>
              <w:tc>
                <w:tcPr>
                  <w:tcW w:w="269" w:type="pct"/>
                  <w:vMerge w:val="restart"/>
                  <w:tcBorders>
                    <w:top w:val="nil"/>
                    <w:left w:val="nil"/>
                    <w:right w:val="single" w:color="auto" w:sz="4" w:space="0"/>
                  </w:tcBorders>
                  <w:vAlign w:val="center"/>
                </w:tcPr>
                <w:p w14:paraId="36B67B2A">
                  <w:pPr>
                    <w:jc w:val="center"/>
                    <w:rPr>
                      <w:bCs/>
                      <w:szCs w:val="21"/>
                    </w:rPr>
                  </w:pPr>
                  <w:r>
                    <w:rPr>
                      <w:bCs/>
                      <w:szCs w:val="21"/>
                    </w:rPr>
                    <w:t>普 适 性 清 单 管 控 要 求</w:t>
                  </w:r>
                </w:p>
              </w:tc>
              <w:tc>
                <w:tcPr>
                  <w:tcW w:w="260" w:type="pct"/>
                  <w:tcBorders>
                    <w:top w:val="nil"/>
                    <w:left w:val="nil"/>
                    <w:bottom w:val="single" w:color="auto" w:sz="4" w:space="0"/>
                    <w:right w:val="single" w:color="auto" w:sz="4" w:space="0"/>
                  </w:tcBorders>
                  <w:vAlign w:val="center"/>
                </w:tcPr>
                <w:p w14:paraId="119FBF0C">
                  <w:pPr>
                    <w:jc w:val="center"/>
                    <w:rPr>
                      <w:bCs/>
                      <w:szCs w:val="21"/>
                    </w:rPr>
                  </w:pPr>
                  <w:r>
                    <w:rPr>
                      <w:bCs/>
                      <w:szCs w:val="21"/>
                    </w:rPr>
                    <w:t>空间布局约束</w:t>
                  </w:r>
                </w:p>
              </w:tc>
              <w:tc>
                <w:tcPr>
                  <w:tcW w:w="1485" w:type="pct"/>
                  <w:tcBorders>
                    <w:top w:val="single" w:color="auto" w:sz="4" w:space="0"/>
                    <w:left w:val="nil"/>
                    <w:right w:val="single" w:color="auto" w:sz="4" w:space="0"/>
                  </w:tcBorders>
                  <w:vAlign w:val="center"/>
                </w:tcPr>
                <w:p w14:paraId="3870D918">
                  <w:pPr>
                    <w:widowControl/>
                    <w:kinsoku w:val="0"/>
                    <w:autoSpaceDE w:val="0"/>
                    <w:autoSpaceDN w:val="0"/>
                    <w:adjustRightInd w:val="0"/>
                    <w:snapToGrid w:val="0"/>
                    <w:spacing w:line="228" w:lineRule="auto"/>
                    <w:textAlignment w:val="baseline"/>
                    <w:rPr>
                      <w:b/>
                      <w:bCs/>
                      <w:szCs w:val="21"/>
                    </w:rPr>
                  </w:pPr>
                  <w:r>
                    <w:rPr>
                      <w:b/>
                      <w:bCs/>
                      <w:spacing w:val="15"/>
                      <w:szCs w:val="21"/>
                    </w:rPr>
                    <w:t>1</w:t>
                  </w:r>
                  <w:r>
                    <w:rPr>
                      <w:rFonts w:hint="eastAsia"/>
                      <w:b/>
                      <w:bCs/>
                      <w:spacing w:val="15"/>
                      <w:szCs w:val="21"/>
                    </w:rPr>
                    <w:t>）</w:t>
                  </w:r>
                  <w:r>
                    <w:rPr>
                      <w:b/>
                      <w:bCs/>
                      <w:spacing w:val="8"/>
                      <w:szCs w:val="21"/>
                    </w:rPr>
                    <w:t>禁止开发建设活动的要求</w:t>
                  </w:r>
                </w:p>
                <w:p w14:paraId="5C454E3A">
                  <w:pPr>
                    <w:widowControl/>
                    <w:kinsoku w:val="0"/>
                    <w:autoSpaceDE w:val="0"/>
                    <w:autoSpaceDN w:val="0"/>
                    <w:adjustRightInd w:val="0"/>
                    <w:snapToGrid w:val="0"/>
                    <w:spacing w:line="247" w:lineRule="auto"/>
                    <w:textAlignment w:val="baseline"/>
                    <w:rPr>
                      <w:szCs w:val="21"/>
                    </w:rPr>
                  </w:pPr>
                  <w:r>
                    <w:rPr>
                      <w:spacing w:val="16"/>
                      <w:szCs w:val="21"/>
                    </w:rPr>
                    <w:t>－</w:t>
                  </w:r>
                  <w:r>
                    <w:rPr>
                      <w:spacing w:val="14"/>
                      <w:szCs w:val="21"/>
                    </w:rPr>
                    <w:t>禁</w:t>
                  </w:r>
                  <w:r>
                    <w:rPr>
                      <w:spacing w:val="8"/>
                      <w:szCs w:val="21"/>
                    </w:rPr>
                    <w:t>止在长江干支流岸线一公里范围内新建、扩建</w:t>
                  </w:r>
                  <w:r>
                    <w:rPr>
                      <w:spacing w:val="18"/>
                      <w:szCs w:val="21"/>
                    </w:rPr>
                    <w:t>化</w:t>
                  </w:r>
                  <w:r>
                    <w:rPr>
                      <w:spacing w:val="11"/>
                      <w:szCs w:val="21"/>
                    </w:rPr>
                    <w:t>工</w:t>
                  </w:r>
                  <w:r>
                    <w:rPr>
                      <w:spacing w:val="9"/>
                      <w:szCs w:val="21"/>
                    </w:rPr>
                    <w:t>园区和化工项目。禁止在长江干流岸线三公里</w:t>
                  </w:r>
                  <w:r>
                    <w:rPr>
                      <w:spacing w:val="18"/>
                      <w:szCs w:val="21"/>
                    </w:rPr>
                    <w:t>范</w:t>
                  </w:r>
                  <w:r>
                    <w:rPr>
                      <w:spacing w:val="11"/>
                      <w:szCs w:val="21"/>
                    </w:rPr>
                    <w:t>围</w:t>
                  </w:r>
                  <w:r>
                    <w:rPr>
                      <w:spacing w:val="9"/>
                      <w:szCs w:val="21"/>
                    </w:rPr>
                    <w:t>内和重要支流岸线一公里范围内新建、改建、</w:t>
                  </w:r>
                  <w:r>
                    <w:rPr>
                      <w:spacing w:val="18"/>
                      <w:szCs w:val="21"/>
                    </w:rPr>
                    <w:t>扩</w:t>
                  </w:r>
                  <w:r>
                    <w:rPr>
                      <w:spacing w:val="11"/>
                      <w:szCs w:val="21"/>
                    </w:rPr>
                    <w:t>建</w:t>
                  </w:r>
                  <w:r>
                    <w:rPr>
                      <w:spacing w:val="9"/>
                      <w:szCs w:val="21"/>
                    </w:rPr>
                    <w:t>尾矿库；但是以提升安全、生态环境保护水平</w:t>
                  </w:r>
                  <w:r>
                    <w:rPr>
                      <w:spacing w:val="13"/>
                      <w:szCs w:val="21"/>
                    </w:rPr>
                    <w:t>为</w:t>
                  </w:r>
                  <w:r>
                    <w:rPr>
                      <w:spacing w:val="7"/>
                      <w:szCs w:val="21"/>
                    </w:rPr>
                    <w:t>目的的改建除外。</w:t>
                  </w:r>
                </w:p>
                <w:p w14:paraId="69D6DF1C">
                  <w:pPr>
                    <w:widowControl/>
                    <w:kinsoku w:val="0"/>
                    <w:autoSpaceDE w:val="0"/>
                    <w:autoSpaceDN w:val="0"/>
                    <w:adjustRightInd w:val="0"/>
                    <w:snapToGrid w:val="0"/>
                    <w:textAlignment w:val="baseline"/>
                    <w:rPr>
                      <w:szCs w:val="21"/>
                    </w:rPr>
                  </w:pPr>
                  <w:r>
                    <w:rPr>
                      <w:spacing w:val="14"/>
                      <w:szCs w:val="21"/>
                    </w:rPr>
                    <w:t>－</w:t>
                  </w:r>
                  <w:r>
                    <w:rPr>
                      <w:spacing w:val="8"/>
                      <w:szCs w:val="21"/>
                    </w:rPr>
                    <w:t>原则上禁止新建工业企业</w:t>
                  </w:r>
                  <w:r>
                    <w:rPr>
                      <w:rFonts w:hint="eastAsia"/>
                      <w:spacing w:val="8"/>
                      <w:szCs w:val="21"/>
                    </w:rPr>
                    <w:t>（</w:t>
                  </w:r>
                  <w:r>
                    <w:rPr>
                      <w:spacing w:val="8"/>
                      <w:szCs w:val="21"/>
                    </w:rPr>
                    <w:t>新建工业企业原则上</w:t>
                  </w:r>
                  <w:r>
                    <w:rPr>
                      <w:spacing w:val="14"/>
                      <w:szCs w:val="21"/>
                    </w:rPr>
                    <w:t>都</w:t>
                  </w:r>
                  <w:r>
                    <w:rPr>
                      <w:spacing w:val="7"/>
                      <w:szCs w:val="21"/>
                    </w:rPr>
                    <w:t>应在工业园区内建设</w:t>
                  </w:r>
                  <w:r>
                    <w:rPr>
                      <w:rFonts w:hint="eastAsia"/>
                      <w:spacing w:val="7"/>
                      <w:szCs w:val="21"/>
                    </w:rPr>
                    <w:t>）</w:t>
                  </w:r>
                  <w:r>
                    <w:rPr>
                      <w:spacing w:val="7"/>
                      <w:szCs w:val="21"/>
                    </w:rPr>
                    <w:t>。</w:t>
                  </w:r>
                </w:p>
                <w:p w14:paraId="733A1F6B">
                  <w:pPr>
                    <w:widowControl/>
                    <w:kinsoku w:val="0"/>
                    <w:autoSpaceDE w:val="0"/>
                    <w:autoSpaceDN w:val="0"/>
                    <w:adjustRightInd w:val="0"/>
                    <w:snapToGrid w:val="0"/>
                    <w:spacing w:line="246" w:lineRule="auto"/>
                    <w:ind w:firstLine="19"/>
                    <w:textAlignment w:val="baseline"/>
                    <w:rPr>
                      <w:szCs w:val="21"/>
                    </w:rPr>
                  </w:pPr>
                  <w:r>
                    <w:rPr>
                      <w:spacing w:val="16"/>
                      <w:szCs w:val="21"/>
                    </w:rPr>
                    <w:t>－</w:t>
                  </w:r>
                  <w:r>
                    <w:rPr>
                      <w:spacing w:val="14"/>
                      <w:szCs w:val="21"/>
                    </w:rPr>
                    <w:t>禁</w:t>
                  </w:r>
                  <w:r>
                    <w:rPr>
                      <w:spacing w:val="8"/>
                      <w:szCs w:val="21"/>
                    </w:rPr>
                    <w:t>止在居民区、学校、医疗和养老机构等周边新</w:t>
                  </w:r>
                  <w:r>
                    <w:rPr>
                      <w:spacing w:val="18"/>
                      <w:szCs w:val="21"/>
                    </w:rPr>
                    <w:t>建</w:t>
                  </w:r>
                  <w:r>
                    <w:rPr>
                      <w:spacing w:val="12"/>
                      <w:szCs w:val="21"/>
                    </w:rPr>
                    <w:t>有</w:t>
                  </w:r>
                  <w:r>
                    <w:rPr>
                      <w:spacing w:val="9"/>
                      <w:szCs w:val="21"/>
                    </w:rPr>
                    <w:t>色金属冶炼、焦化、化工、铅蓄电池制造等行</w:t>
                  </w:r>
                  <w:r>
                    <w:rPr>
                      <w:spacing w:val="18"/>
                      <w:szCs w:val="21"/>
                    </w:rPr>
                    <w:t>业</w:t>
                  </w:r>
                  <w:r>
                    <w:rPr>
                      <w:spacing w:val="12"/>
                      <w:szCs w:val="21"/>
                    </w:rPr>
                    <w:t>企</w:t>
                  </w:r>
                  <w:r>
                    <w:rPr>
                      <w:spacing w:val="9"/>
                      <w:szCs w:val="21"/>
                    </w:rPr>
                    <w:t>业，有序搬迁或依法关闭对土壤造成严重污染</w:t>
                  </w:r>
                  <w:r>
                    <w:rPr>
                      <w:spacing w:val="7"/>
                      <w:szCs w:val="21"/>
                    </w:rPr>
                    <w:t>的现有企业</w:t>
                  </w:r>
                  <w:r>
                    <w:rPr>
                      <w:spacing w:val="6"/>
                      <w:szCs w:val="21"/>
                    </w:rPr>
                    <w:t>。</w:t>
                  </w:r>
                </w:p>
                <w:p w14:paraId="17D43B71">
                  <w:pPr>
                    <w:widowControl/>
                    <w:kinsoku w:val="0"/>
                    <w:autoSpaceDE w:val="0"/>
                    <w:autoSpaceDN w:val="0"/>
                    <w:adjustRightInd w:val="0"/>
                    <w:snapToGrid w:val="0"/>
                    <w:spacing w:line="241" w:lineRule="auto"/>
                    <w:ind w:firstLine="18"/>
                    <w:textAlignment w:val="baseline"/>
                    <w:rPr>
                      <w:szCs w:val="21"/>
                    </w:rPr>
                  </w:pPr>
                  <w:r>
                    <w:rPr>
                      <w:spacing w:val="16"/>
                      <w:szCs w:val="21"/>
                    </w:rPr>
                    <w:t>－</w:t>
                  </w:r>
                  <w:r>
                    <w:rPr>
                      <w:spacing w:val="14"/>
                      <w:szCs w:val="21"/>
                    </w:rPr>
                    <w:t>禁</w:t>
                  </w:r>
                  <w:r>
                    <w:rPr>
                      <w:spacing w:val="8"/>
                      <w:szCs w:val="21"/>
                    </w:rPr>
                    <w:t>止在长江流域河湖管理范围内倾倒、填埋、堆</w:t>
                  </w:r>
                  <w:r>
                    <w:rPr>
                      <w:spacing w:val="12"/>
                      <w:szCs w:val="21"/>
                    </w:rPr>
                    <w:t>放</w:t>
                  </w:r>
                  <w:r>
                    <w:rPr>
                      <w:spacing w:val="8"/>
                      <w:szCs w:val="21"/>
                    </w:rPr>
                    <w:t>、弃置、处理固体废物。</w:t>
                  </w:r>
                </w:p>
                <w:p w14:paraId="43F9235C">
                  <w:pPr>
                    <w:widowControl/>
                    <w:kinsoku w:val="0"/>
                    <w:autoSpaceDE w:val="0"/>
                    <w:autoSpaceDN w:val="0"/>
                    <w:adjustRightInd w:val="0"/>
                    <w:snapToGrid w:val="0"/>
                    <w:spacing w:line="229" w:lineRule="auto"/>
                    <w:textAlignment w:val="baseline"/>
                    <w:rPr>
                      <w:b/>
                      <w:bCs/>
                      <w:szCs w:val="21"/>
                    </w:rPr>
                  </w:pPr>
                  <w:r>
                    <w:rPr>
                      <w:b/>
                      <w:bCs/>
                      <w:spacing w:val="10"/>
                      <w:szCs w:val="21"/>
                    </w:rPr>
                    <w:t>2</w:t>
                  </w:r>
                  <w:r>
                    <w:rPr>
                      <w:rFonts w:hint="eastAsia"/>
                      <w:b/>
                      <w:bCs/>
                      <w:spacing w:val="10"/>
                      <w:szCs w:val="21"/>
                    </w:rPr>
                    <w:t>）</w:t>
                  </w:r>
                  <w:r>
                    <w:rPr>
                      <w:b/>
                      <w:bCs/>
                      <w:spacing w:val="9"/>
                      <w:szCs w:val="21"/>
                    </w:rPr>
                    <w:t>限制开发建设活动的要求</w:t>
                  </w:r>
                </w:p>
                <w:p w14:paraId="47CE5AEF">
                  <w:pPr>
                    <w:widowControl/>
                    <w:kinsoku w:val="0"/>
                    <w:autoSpaceDE w:val="0"/>
                    <w:autoSpaceDN w:val="0"/>
                    <w:adjustRightInd w:val="0"/>
                    <w:snapToGrid w:val="0"/>
                    <w:spacing w:line="228" w:lineRule="auto"/>
                    <w:textAlignment w:val="baseline"/>
                    <w:rPr>
                      <w:szCs w:val="21"/>
                    </w:rPr>
                  </w:pPr>
                  <w:r>
                    <w:rPr>
                      <w:spacing w:val="14"/>
                      <w:szCs w:val="21"/>
                    </w:rPr>
                    <w:t>－</w:t>
                  </w:r>
                  <w:r>
                    <w:rPr>
                      <w:spacing w:val="11"/>
                      <w:szCs w:val="21"/>
                    </w:rPr>
                    <w:t>现</w:t>
                  </w:r>
                  <w:r>
                    <w:rPr>
                      <w:spacing w:val="7"/>
                      <w:szCs w:val="21"/>
                    </w:rPr>
                    <w:t>有工业企业不得新增污染物排放。</w:t>
                  </w:r>
                </w:p>
                <w:p w14:paraId="52836CD9">
                  <w:pPr>
                    <w:widowControl/>
                    <w:kinsoku w:val="0"/>
                    <w:autoSpaceDE w:val="0"/>
                    <w:autoSpaceDN w:val="0"/>
                    <w:adjustRightInd w:val="0"/>
                    <w:snapToGrid w:val="0"/>
                    <w:spacing w:line="244" w:lineRule="auto"/>
                    <w:ind w:firstLine="17"/>
                    <w:textAlignment w:val="baseline"/>
                    <w:rPr>
                      <w:szCs w:val="21"/>
                    </w:rPr>
                  </w:pPr>
                  <w:r>
                    <w:rPr>
                      <w:spacing w:val="16"/>
                      <w:szCs w:val="21"/>
                    </w:rPr>
                    <w:t>－</w:t>
                  </w:r>
                  <w:r>
                    <w:rPr>
                      <w:spacing w:val="14"/>
                      <w:szCs w:val="21"/>
                    </w:rPr>
                    <w:t>允</w:t>
                  </w:r>
                  <w:r>
                    <w:rPr>
                      <w:spacing w:val="8"/>
                      <w:szCs w:val="21"/>
                    </w:rPr>
                    <w:t>许企业以提升安全、生态环境保护水平为目的</w:t>
                  </w:r>
                  <w:r>
                    <w:rPr>
                      <w:spacing w:val="18"/>
                      <w:szCs w:val="21"/>
                    </w:rPr>
                    <w:t>的</w:t>
                  </w:r>
                  <w:r>
                    <w:rPr>
                      <w:spacing w:val="9"/>
                      <w:szCs w:val="21"/>
                    </w:rPr>
                    <w:t>改建，引导企业结合推进新型城镇化、产业结构调整和化解过剩产能等，退城入园，有序搬迁</w:t>
                  </w:r>
                  <w:r>
                    <w:rPr>
                      <w:spacing w:val="7"/>
                      <w:szCs w:val="21"/>
                    </w:rPr>
                    <w:t>。</w:t>
                  </w:r>
                </w:p>
                <w:p w14:paraId="16F39B80">
                  <w:pPr>
                    <w:widowControl/>
                    <w:kinsoku w:val="0"/>
                    <w:autoSpaceDE w:val="0"/>
                    <w:autoSpaceDN w:val="0"/>
                    <w:adjustRightInd w:val="0"/>
                    <w:snapToGrid w:val="0"/>
                    <w:spacing w:line="246" w:lineRule="auto"/>
                    <w:ind w:firstLine="17"/>
                    <w:textAlignment w:val="baseline"/>
                    <w:rPr>
                      <w:szCs w:val="21"/>
                    </w:rPr>
                  </w:pPr>
                  <w:r>
                    <w:rPr>
                      <w:spacing w:val="16"/>
                      <w:szCs w:val="21"/>
                    </w:rPr>
                    <w:t>－</w:t>
                  </w:r>
                  <w:r>
                    <w:rPr>
                      <w:spacing w:val="14"/>
                      <w:szCs w:val="21"/>
                    </w:rPr>
                    <w:t>严</w:t>
                  </w:r>
                  <w:r>
                    <w:rPr>
                      <w:spacing w:val="8"/>
                      <w:szCs w:val="21"/>
                    </w:rPr>
                    <w:t>格控制在城镇空间范围内新布设工业园区。若</w:t>
                  </w:r>
                  <w:r>
                    <w:rPr>
                      <w:spacing w:val="18"/>
                      <w:szCs w:val="21"/>
                    </w:rPr>
                    <w:t>新</w:t>
                  </w:r>
                  <w:r>
                    <w:rPr>
                      <w:spacing w:val="10"/>
                      <w:szCs w:val="21"/>
                    </w:rPr>
                    <w:t>布</w:t>
                  </w:r>
                  <w:r>
                    <w:rPr>
                      <w:spacing w:val="9"/>
                      <w:szCs w:val="21"/>
                    </w:rPr>
                    <w:t>局工业园区，应符合达州市国土空间规划，并</w:t>
                  </w:r>
                  <w:r>
                    <w:rPr>
                      <w:spacing w:val="18"/>
                      <w:szCs w:val="21"/>
                    </w:rPr>
                    <w:t>结</w:t>
                  </w:r>
                  <w:r>
                    <w:rPr>
                      <w:spacing w:val="10"/>
                      <w:szCs w:val="21"/>
                    </w:rPr>
                    <w:t>合</w:t>
                  </w:r>
                  <w:r>
                    <w:rPr>
                      <w:spacing w:val="9"/>
                      <w:szCs w:val="21"/>
                    </w:rPr>
                    <w:t>区域环境特点、三线成果、园区产业类别，充</w:t>
                  </w:r>
                  <w:r>
                    <w:rPr>
                      <w:spacing w:val="11"/>
                      <w:szCs w:val="21"/>
                    </w:rPr>
                    <w:t>分</w:t>
                  </w:r>
                  <w:r>
                    <w:rPr>
                      <w:spacing w:val="8"/>
                      <w:szCs w:val="21"/>
                    </w:rPr>
                    <w:t>论证选址的环境合理性。</w:t>
                  </w:r>
                </w:p>
                <w:p w14:paraId="1AA128BC">
                  <w:pPr>
                    <w:widowControl/>
                    <w:kinsoku w:val="0"/>
                    <w:autoSpaceDE w:val="0"/>
                    <w:autoSpaceDN w:val="0"/>
                    <w:adjustRightInd w:val="0"/>
                    <w:snapToGrid w:val="0"/>
                    <w:spacing w:line="228" w:lineRule="auto"/>
                    <w:textAlignment w:val="baseline"/>
                    <w:rPr>
                      <w:szCs w:val="21"/>
                    </w:rPr>
                  </w:pPr>
                  <w:r>
                    <w:rPr>
                      <w:spacing w:val="6"/>
                      <w:szCs w:val="21"/>
                    </w:rPr>
                    <w:t>－严格控制</w:t>
                  </w:r>
                  <w:r>
                    <w:rPr>
                      <w:spacing w:val="4"/>
                      <w:szCs w:val="21"/>
                    </w:rPr>
                    <w:t>新</w:t>
                  </w:r>
                  <w:r>
                    <w:rPr>
                      <w:spacing w:val="3"/>
                      <w:szCs w:val="21"/>
                    </w:rPr>
                    <w:t>增建设用地规模，法定城乡规划除外。</w:t>
                  </w:r>
                </w:p>
                <w:p w14:paraId="33A486B8">
                  <w:pPr>
                    <w:widowControl/>
                    <w:kinsoku w:val="0"/>
                    <w:autoSpaceDE w:val="0"/>
                    <w:autoSpaceDN w:val="0"/>
                    <w:adjustRightInd w:val="0"/>
                    <w:snapToGrid w:val="0"/>
                    <w:spacing w:line="228" w:lineRule="auto"/>
                    <w:textAlignment w:val="baseline"/>
                    <w:rPr>
                      <w:b/>
                      <w:bCs/>
                      <w:szCs w:val="21"/>
                    </w:rPr>
                  </w:pPr>
                  <w:r>
                    <w:rPr>
                      <w:b/>
                      <w:bCs/>
                      <w:spacing w:val="18"/>
                      <w:szCs w:val="21"/>
                    </w:rPr>
                    <w:t>3</w:t>
                  </w:r>
                  <w:r>
                    <w:rPr>
                      <w:rFonts w:hint="eastAsia"/>
                      <w:b/>
                      <w:bCs/>
                      <w:spacing w:val="18"/>
                      <w:szCs w:val="21"/>
                    </w:rPr>
                    <w:t>）</w:t>
                  </w:r>
                  <w:r>
                    <w:rPr>
                      <w:b/>
                      <w:bCs/>
                      <w:spacing w:val="9"/>
                      <w:szCs w:val="21"/>
                    </w:rPr>
                    <w:t>不符合空间布局要求活动的退出要求</w:t>
                  </w:r>
                </w:p>
                <w:p w14:paraId="49D11331">
                  <w:pPr>
                    <w:widowControl/>
                    <w:kinsoku w:val="0"/>
                    <w:autoSpaceDE w:val="0"/>
                    <w:autoSpaceDN w:val="0"/>
                    <w:adjustRightInd w:val="0"/>
                    <w:snapToGrid w:val="0"/>
                    <w:spacing w:line="229" w:lineRule="auto"/>
                    <w:textAlignment w:val="baseline"/>
                    <w:rPr>
                      <w:szCs w:val="21"/>
                    </w:rPr>
                  </w:pPr>
                  <w:r>
                    <w:rPr>
                      <w:spacing w:val="14"/>
                      <w:szCs w:val="21"/>
                    </w:rPr>
                    <w:t>－</w:t>
                  </w:r>
                  <w:r>
                    <w:rPr>
                      <w:spacing w:val="7"/>
                      <w:szCs w:val="21"/>
                    </w:rPr>
                    <w:t>现有工业企业适时进行有序退出。</w:t>
                  </w:r>
                </w:p>
                <w:p w14:paraId="74DA0A2D">
                  <w:pPr>
                    <w:widowControl/>
                    <w:kinsoku w:val="0"/>
                    <w:autoSpaceDE w:val="0"/>
                    <w:autoSpaceDN w:val="0"/>
                    <w:adjustRightInd w:val="0"/>
                    <w:snapToGrid w:val="0"/>
                    <w:spacing w:line="239" w:lineRule="auto"/>
                    <w:ind w:firstLine="19"/>
                    <w:textAlignment w:val="baseline"/>
                    <w:rPr>
                      <w:szCs w:val="21"/>
                    </w:rPr>
                  </w:pPr>
                  <w:r>
                    <w:rPr>
                      <w:spacing w:val="16"/>
                      <w:szCs w:val="21"/>
                    </w:rPr>
                    <w:t>－</w:t>
                  </w:r>
                  <w:r>
                    <w:rPr>
                      <w:spacing w:val="14"/>
                      <w:szCs w:val="21"/>
                    </w:rPr>
                    <w:t>按</w:t>
                  </w:r>
                  <w:r>
                    <w:rPr>
                      <w:spacing w:val="8"/>
                      <w:szCs w:val="21"/>
                    </w:rPr>
                    <w:t>照相关规划和要求，清理整顿非法采砂、非法</w:t>
                  </w:r>
                  <w:r>
                    <w:rPr>
                      <w:spacing w:val="14"/>
                      <w:szCs w:val="21"/>
                    </w:rPr>
                    <w:t>码</w:t>
                  </w:r>
                  <w:r>
                    <w:rPr>
                      <w:spacing w:val="8"/>
                      <w:szCs w:val="21"/>
                    </w:rPr>
                    <w:t>头，全面清除不合规码头。</w:t>
                  </w:r>
                </w:p>
                <w:p w14:paraId="6BC55635">
                  <w:pPr>
                    <w:widowControl/>
                    <w:kinsoku w:val="0"/>
                    <w:autoSpaceDE w:val="0"/>
                    <w:autoSpaceDN w:val="0"/>
                    <w:adjustRightInd w:val="0"/>
                    <w:snapToGrid w:val="0"/>
                    <w:spacing w:line="244" w:lineRule="auto"/>
                    <w:ind w:firstLine="19"/>
                    <w:textAlignment w:val="baseline"/>
                    <w:rPr>
                      <w:szCs w:val="21"/>
                    </w:rPr>
                  </w:pPr>
                  <w:r>
                    <w:rPr>
                      <w:spacing w:val="16"/>
                      <w:szCs w:val="21"/>
                    </w:rPr>
                    <w:t>－</w:t>
                  </w:r>
                  <w:r>
                    <w:rPr>
                      <w:spacing w:val="14"/>
                      <w:szCs w:val="21"/>
                    </w:rPr>
                    <w:t>在</w:t>
                  </w:r>
                  <w:r>
                    <w:rPr>
                      <w:spacing w:val="8"/>
                      <w:szCs w:val="21"/>
                    </w:rPr>
                    <w:t>全市范围深入开展集中整治“散乱污”工业企</w:t>
                  </w:r>
                  <w:r>
                    <w:rPr>
                      <w:spacing w:val="18"/>
                      <w:szCs w:val="21"/>
                    </w:rPr>
                    <w:t>业</w:t>
                  </w:r>
                  <w:r>
                    <w:rPr>
                      <w:spacing w:val="12"/>
                      <w:szCs w:val="21"/>
                    </w:rPr>
                    <w:t>，</w:t>
                  </w:r>
                  <w:r>
                    <w:rPr>
                      <w:spacing w:val="9"/>
                      <w:szCs w:val="21"/>
                    </w:rPr>
                    <w:t>对不符合产业政策和规划布局的，一律责令停产</w:t>
                  </w:r>
                  <w:r>
                    <w:rPr>
                      <w:spacing w:val="8"/>
                      <w:szCs w:val="21"/>
                    </w:rPr>
                    <w:t>、限期搬迁或关停。</w:t>
                  </w:r>
                </w:p>
                <w:p w14:paraId="0C8924D2">
                  <w:pPr>
                    <w:widowControl/>
                    <w:kinsoku w:val="0"/>
                    <w:autoSpaceDE w:val="0"/>
                    <w:autoSpaceDN w:val="0"/>
                    <w:adjustRightInd w:val="0"/>
                    <w:snapToGrid w:val="0"/>
                    <w:spacing w:line="246" w:lineRule="auto"/>
                    <w:ind w:firstLine="15"/>
                    <w:textAlignment w:val="baseline"/>
                    <w:rPr>
                      <w:szCs w:val="21"/>
                    </w:rPr>
                  </w:pPr>
                  <w:r>
                    <w:rPr>
                      <w:spacing w:val="16"/>
                      <w:szCs w:val="21"/>
                    </w:rPr>
                    <w:t>－</w:t>
                  </w:r>
                  <w:r>
                    <w:rPr>
                      <w:spacing w:val="14"/>
                      <w:szCs w:val="21"/>
                    </w:rPr>
                    <w:t>有</w:t>
                  </w:r>
                  <w:r>
                    <w:rPr>
                      <w:spacing w:val="8"/>
                      <w:szCs w:val="21"/>
                    </w:rPr>
                    <w:t>序搬迁或依法关闭对土壤造成严重污染的现有</w:t>
                  </w:r>
                  <w:r>
                    <w:rPr>
                      <w:spacing w:val="2"/>
                      <w:szCs w:val="21"/>
                    </w:rPr>
                    <w:t>企业。</w:t>
                  </w:r>
                </w:p>
                <w:p w14:paraId="04563F9E">
                  <w:pPr>
                    <w:widowControl/>
                    <w:kinsoku w:val="0"/>
                    <w:autoSpaceDE w:val="0"/>
                    <w:autoSpaceDN w:val="0"/>
                    <w:adjustRightInd w:val="0"/>
                    <w:snapToGrid w:val="0"/>
                    <w:spacing w:line="244" w:lineRule="auto"/>
                    <w:ind w:firstLine="17"/>
                    <w:textAlignment w:val="baseline"/>
                    <w:rPr>
                      <w:szCs w:val="21"/>
                    </w:rPr>
                  </w:pPr>
                  <w:r>
                    <w:rPr>
                      <w:spacing w:val="2"/>
                      <w:szCs w:val="21"/>
                    </w:rPr>
                    <w:t>－到2025年，城镇人口</w:t>
                  </w:r>
                  <w:r>
                    <w:rPr>
                      <w:spacing w:val="1"/>
                      <w:szCs w:val="21"/>
                    </w:rPr>
                    <w:t>密集区现有不符合安全和卫</w:t>
                  </w:r>
                  <w:r>
                    <w:rPr>
                      <w:spacing w:val="18"/>
                      <w:szCs w:val="21"/>
                    </w:rPr>
                    <w:t>生</w:t>
                  </w:r>
                  <w:r>
                    <w:rPr>
                      <w:spacing w:val="9"/>
                      <w:szCs w:val="21"/>
                    </w:rPr>
                    <w:t>防护距离要求的危险化学品生产企业搬迁进入规</w:t>
                  </w:r>
                  <w:r>
                    <w:rPr>
                      <w:spacing w:val="8"/>
                      <w:szCs w:val="21"/>
                    </w:rPr>
                    <w:t>范化工园区或关闭退出</w:t>
                  </w:r>
                  <w:r>
                    <w:rPr>
                      <w:spacing w:val="7"/>
                      <w:szCs w:val="21"/>
                    </w:rPr>
                    <w:t>。</w:t>
                  </w:r>
                </w:p>
                <w:p w14:paraId="7BD35421">
                  <w:pPr>
                    <w:widowControl/>
                    <w:kinsoku w:val="0"/>
                    <w:autoSpaceDE w:val="0"/>
                    <w:autoSpaceDN w:val="0"/>
                    <w:adjustRightInd w:val="0"/>
                    <w:snapToGrid w:val="0"/>
                    <w:spacing w:line="244" w:lineRule="auto"/>
                    <w:ind w:firstLine="17"/>
                    <w:textAlignment w:val="baseline"/>
                    <w:rPr>
                      <w:szCs w:val="21"/>
                    </w:rPr>
                  </w:pPr>
                  <w:r>
                    <w:rPr>
                      <w:spacing w:val="16"/>
                      <w:szCs w:val="21"/>
                    </w:rPr>
                    <w:t>－</w:t>
                  </w:r>
                  <w:r>
                    <w:rPr>
                      <w:spacing w:val="14"/>
                      <w:szCs w:val="21"/>
                    </w:rPr>
                    <w:t>不</w:t>
                  </w:r>
                  <w:r>
                    <w:rPr>
                      <w:spacing w:val="8"/>
                      <w:szCs w:val="21"/>
                    </w:rPr>
                    <w:t>断优化长江经济带化工行业空间布局，有效控</w:t>
                  </w:r>
                  <w:r>
                    <w:rPr>
                      <w:spacing w:val="18"/>
                      <w:szCs w:val="21"/>
                    </w:rPr>
                    <w:t>制</w:t>
                  </w:r>
                  <w:r>
                    <w:rPr>
                      <w:spacing w:val="10"/>
                      <w:szCs w:val="21"/>
                    </w:rPr>
                    <w:t>化</w:t>
                  </w:r>
                  <w:r>
                    <w:rPr>
                      <w:spacing w:val="9"/>
                      <w:szCs w:val="21"/>
                    </w:rPr>
                    <w:t>工污染。推进化工企业搬迁入园，加强化工园</w:t>
                  </w:r>
                  <w:r>
                    <w:rPr>
                      <w:spacing w:val="10"/>
                      <w:szCs w:val="21"/>
                    </w:rPr>
                    <w:t>区</w:t>
                  </w:r>
                  <w:r>
                    <w:rPr>
                      <w:spacing w:val="7"/>
                      <w:szCs w:val="21"/>
                    </w:rPr>
                    <w:t>基础设施建设。</w:t>
                  </w:r>
                </w:p>
                <w:p w14:paraId="754F7DFB">
                  <w:pPr>
                    <w:widowControl/>
                    <w:kinsoku w:val="0"/>
                    <w:autoSpaceDE w:val="0"/>
                    <w:autoSpaceDN w:val="0"/>
                    <w:adjustRightInd w:val="0"/>
                    <w:snapToGrid w:val="0"/>
                    <w:spacing w:line="228" w:lineRule="auto"/>
                    <w:textAlignment w:val="baseline"/>
                    <w:rPr>
                      <w:b/>
                      <w:bCs/>
                      <w:szCs w:val="21"/>
                    </w:rPr>
                  </w:pPr>
                  <w:r>
                    <w:rPr>
                      <w:b/>
                      <w:bCs/>
                      <w:spacing w:val="9"/>
                      <w:szCs w:val="21"/>
                    </w:rPr>
                    <w:t>4</w:t>
                  </w:r>
                  <w:r>
                    <w:rPr>
                      <w:rFonts w:hint="eastAsia"/>
                      <w:b/>
                      <w:bCs/>
                      <w:spacing w:val="9"/>
                      <w:szCs w:val="21"/>
                    </w:rPr>
                    <w:t>）</w:t>
                  </w:r>
                  <w:r>
                    <w:rPr>
                      <w:b/>
                      <w:bCs/>
                      <w:spacing w:val="9"/>
                      <w:szCs w:val="21"/>
                    </w:rPr>
                    <w:t>其他空间布局约束要</w:t>
                  </w:r>
                  <w:r>
                    <w:rPr>
                      <w:b/>
                      <w:bCs/>
                      <w:spacing w:val="8"/>
                      <w:szCs w:val="21"/>
                    </w:rPr>
                    <w:t>求</w:t>
                  </w:r>
                </w:p>
                <w:p w14:paraId="05A0FA1A">
                  <w:pPr>
                    <w:textAlignment w:val="bottom"/>
                    <w:rPr>
                      <w:bCs/>
                      <w:szCs w:val="21"/>
                    </w:rPr>
                  </w:pPr>
                  <w:r>
                    <w:rPr>
                      <w:spacing w:val="2"/>
                      <w:szCs w:val="21"/>
                    </w:rPr>
                    <w:t>暂</w:t>
                  </w:r>
                  <w:r>
                    <w:rPr>
                      <w:spacing w:val="1"/>
                      <w:szCs w:val="21"/>
                    </w:rPr>
                    <w:t>无</w:t>
                  </w:r>
                  <w:r>
                    <w:rPr>
                      <w:rFonts w:hint="eastAsia"/>
                      <w:spacing w:val="1"/>
                      <w:szCs w:val="21"/>
                    </w:rPr>
                    <w:t>。</w:t>
                  </w:r>
                </w:p>
              </w:tc>
              <w:tc>
                <w:tcPr>
                  <w:tcW w:w="1253" w:type="pct"/>
                  <w:tcBorders>
                    <w:top w:val="single" w:color="auto" w:sz="4" w:space="0"/>
                    <w:left w:val="nil"/>
                    <w:right w:val="single" w:color="auto" w:sz="4" w:space="0"/>
                  </w:tcBorders>
                  <w:vAlign w:val="center"/>
                </w:tcPr>
                <w:p w14:paraId="0BA76AED">
                  <w:pPr>
                    <w:rPr>
                      <w:bCs/>
                      <w:szCs w:val="21"/>
                    </w:rPr>
                  </w:pPr>
                  <w:r>
                    <w:rPr>
                      <w:bCs/>
                      <w:szCs w:val="21"/>
                    </w:rPr>
                    <w:t>本项目</w:t>
                  </w:r>
                  <w:r>
                    <w:rPr>
                      <w:szCs w:val="21"/>
                    </w:rPr>
                    <w:t>为</w:t>
                  </w:r>
                  <w:r>
                    <w:rPr>
                      <w:rFonts w:hint="eastAsia"/>
                      <w:spacing w:val="-14"/>
                      <w:szCs w:val="21"/>
                    </w:rPr>
                    <w:t>生活垃圾中转站</w:t>
                  </w:r>
                  <w:r>
                    <w:rPr>
                      <w:rFonts w:hint="eastAsia"/>
                      <w:bCs/>
                      <w:szCs w:val="21"/>
                    </w:rPr>
                    <w:t>，</w:t>
                  </w:r>
                  <w:r>
                    <w:rPr>
                      <w:bCs/>
                      <w:szCs w:val="21"/>
                    </w:rPr>
                    <w:t>不属于禁止开发、限制开发、不符合空间布局要求等建设活动</w:t>
                  </w:r>
                  <w:r>
                    <w:rPr>
                      <w:rFonts w:hint="eastAsia"/>
                      <w:bCs/>
                      <w:szCs w:val="21"/>
                    </w:rPr>
                    <w:t>。</w:t>
                  </w:r>
                </w:p>
              </w:tc>
              <w:tc>
                <w:tcPr>
                  <w:tcW w:w="260" w:type="pct"/>
                  <w:tcBorders>
                    <w:top w:val="single" w:color="auto" w:sz="4" w:space="0"/>
                    <w:left w:val="nil"/>
                    <w:right w:val="single" w:color="auto" w:sz="4" w:space="0"/>
                  </w:tcBorders>
                  <w:vAlign w:val="center"/>
                </w:tcPr>
                <w:p w14:paraId="30BDB168">
                  <w:pPr>
                    <w:jc w:val="center"/>
                    <w:rPr>
                      <w:bCs/>
                      <w:szCs w:val="21"/>
                    </w:rPr>
                  </w:pPr>
                  <w:r>
                    <w:rPr>
                      <w:bCs/>
                      <w:szCs w:val="21"/>
                    </w:rPr>
                    <w:t>符合</w:t>
                  </w:r>
                </w:p>
              </w:tc>
            </w:tr>
            <w:tr w14:paraId="178F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0C7EB237">
                  <w:pPr>
                    <w:jc w:val="center"/>
                    <w:rPr>
                      <w:bCs/>
                      <w:szCs w:val="21"/>
                    </w:rPr>
                  </w:pPr>
                </w:p>
              </w:tc>
              <w:tc>
                <w:tcPr>
                  <w:tcW w:w="302" w:type="pct"/>
                  <w:vMerge w:val="continue"/>
                  <w:tcBorders>
                    <w:left w:val="nil"/>
                    <w:right w:val="single" w:color="auto" w:sz="4" w:space="0"/>
                  </w:tcBorders>
                  <w:vAlign w:val="center"/>
                </w:tcPr>
                <w:p w14:paraId="73878D5E">
                  <w:pPr>
                    <w:jc w:val="center"/>
                    <w:rPr>
                      <w:bCs/>
                      <w:szCs w:val="21"/>
                    </w:rPr>
                  </w:pPr>
                </w:p>
              </w:tc>
              <w:tc>
                <w:tcPr>
                  <w:tcW w:w="269" w:type="pct"/>
                  <w:vMerge w:val="continue"/>
                  <w:tcBorders>
                    <w:left w:val="nil"/>
                    <w:right w:val="single" w:color="auto" w:sz="4" w:space="0"/>
                  </w:tcBorders>
                  <w:vAlign w:val="center"/>
                </w:tcPr>
                <w:p w14:paraId="3247417D">
                  <w:pPr>
                    <w:jc w:val="center"/>
                    <w:rPr>
                      <w:bCs/>
                      <w:szCs w:val="21"/>
                    </w:rPr>
                  </w:pPr>
                </w:p>
              </w:tc>
              <w:tc>
                <w:tcPr>
                  <w:tcW w:w="260" w:type="pct"/>
                  <w:tcBorders>
                    <w:left w:val="nil"/>
                    <w:right w:val="single" w:color="auto" w:sz="4" w:space="0"/>
                  </w:tcBorders>
                  <w:vAlign w:val="center"/>
                </w:tcPr>
                <w:p w14:paraId="72A83971">
                  <w:pPr>
                    <w:jc w:val="center"/>
                    <w:rPr>
                      <w:bCs/>
                      <w:szCs w:val="21"/>
                    </w:rPr>
                  </w:pPr>
                  <w:r>
                    <w:rPr>
                      <w:bCs/>
                      <w:szCs w:val="21"/>
                    </w:rPr>
                    <w:t>污染物排放管控</w:t>
                  </w:r>
                </w:p>
              </w:tc>
              <w:tc>
                <w:tcPr>
                  <w:tcW w:w="1485" w:type="pct"/>
                  <w:tcBorders>
                    <w:top w:val="single" w:color="auto" w:sz="4" w:space="0"/>
                    <w:left w:val="nil"/>
                    <w:right w:val="single" w:color="auto" w:sz="4" w:space="0"/>
                  </w:tcBorders>
                  <w:vAlign w:val="center"/>
                </w:tcPr>
                <w:p w14:paraId="3AB08682">
                  <w:pPr>
                    <w:widowControl/>
                    <w:kinsoku w:val="0"/>
                    <w:autoSpaceDE w:val="0"/>
                    <w:autoSpaceDN w:val="0"/>
                    <w:adjustRightInd w:val="0"/>
                    <w:snapToGrid w:val="0"/>
                    <w:spacing w:line="228" w:lineRule="auto"/>
                    <w:textAlignment w:val="baseline"/>
                    <w:rPr>
                      <w:b/>
                      <w:bCs/>
                      <w:szCs w:val="21"/>
                    </w:rPr>
                  </w:pPr>
                  <w:r>
                    <w:rPr>
                      <w:b/>
                      <w:bCs/>
                      <w:spacing w:val="13"/>
                      <w:szCs w:val="21"/>
                    </w:rPr>
                    <w:t>1</w:t>
                  </w:r>
                  <w:r>
                    <w:rPr>
                      <w:rFonts w:hint="eastAsia"/>
                      <w:b/>
                      <w:bCs/>
                      <w:spacing w:val="13"/>
                      <w:szCs w:val="21"/>
                    </w:rPr>
                    <w:t>）</w:t>
                  </w:r>
                  <w:r>
                    <w:rPr>
                      <w:b/>
                      <w:bCs/>
                      <w:spacing w:val="7"/>
                      <w:szCs w:val="21"/>
                    </w:rPr>
                    <w:t>允许排放量要求</w:t>
                  </w:r>
                </w:p>
                <w:p w14:paraId="2124F6C8">
                  <w:pPr>
                    <w:widowControl/>
                    <w:kinsoku w:val="0"/>
                    <w:wordWrap w:val="0"/>
                    <w:autoSpaceDE w:val="0"/>
                    <w:autoSpaceDN w:val="0"/>
                    <w:adjustRightInd w:val="0"/>
                    <w:snapToGrid w:val="0"/>
                    <w:spacing w:line="252" w:lineRule="auto"/>
                    <w:textAlignment w:val="baseline"/>
                    <w:rPr>
                      <w:szCs w:val="21"/>
                    </w:rPr>
                  </w:pPr>
                  <w:r>
                    <w:rPr>
                      <w:spacing w:val="7"/>
                      <w:szCs w:val="21"/>
                    </w:rPr>
                    <w:t>达</w:t>
                  </w:r>
                  <w:r>
                    <w:rPr>
                      <w:spacing w:val="5"/>
                      <w:szCs w:val="21"/>
                    </w:rPr>
                    <w:t>州市2025年水污染物允许排放量</w:t>
                  </w:r>
                  <w:r>
                    <w:rPr>
                      <w:spacing w:val="-2"/>
                      <w:szCs w:val="21"/>
                    </w:rPr>
                    <w:t>COD33136.93t氨氮2055. 16t</w:t>
                  </w:r>
                  <w:r>
                    <w:rPr>
                      <w:rFonts w:hint="eastAsia"/>
                      <w:spacing w:val="-2"/>
                      <w:szCs w:val="21"/>
                    </w:rPr>
                    <w:t>，</w:t>
                  </w:r>
                  <w:r>
                    <w:rPr>
                      <w:spacing w:val="-2"/>
                      <w:szCs w:val="21"/>
                    </w:rPr>
                    <w:t>T</w:t>
                  </w:r>
                  <w:r>
                    <w:rPr>
                      <w:szCs w:val="21"/>
                    </w:rPr>
                    <w:t>P</w:t>
                  </w:r>
                  <w:r>
                    <w:rPr>
                      <w:spacing w:val="-2"/>
                      <w:szCs w:val="21"/>
                    </w:rPr>
                    <w:t>252.53</w:t>
                  </w:r>
                  <w:r>
                    <w:rPr>
                      <w:szCs w:val="21"/>
                    </w:rPr>
                    <w:t>t</w:t>
                  </w:r>
                  <w:r>
                    <w:rPr>
                      <w:rFonts w:hint="eastAsia"/>
                      <w:spacing w:val="-2"/>
                      <w:szCs w:val="21"/>
                    </w:rPr>
                    <w:t>。</w:t>
                  </w:r>
                </w:p>
                <w:p w14:paraId="221C0A0F">
                  <w:pPr>
                    <w:widowControl/>
                    <w:kinsoku w:val="0"/>
                    <w:autoSpaceDE w:val="0"/>
                    <w:autoSpaceDN w:val="0"/>
                    <w:adjustRightInd w:val="0"/>
                    <w:snapToGrid w:val="0"/>
                    <w:spacing w:line="228" w:lineRule="auto"/>
                    <w:textAlignment w:val="baseline"/>
                    <w:rPr>
                      <w:b/>
                      <w:bCs/>
                      <w:szCs w:val="21"/>
                    </w:rPr>
                  </w:pPr>
                  <w:r>
                    <w:rPr>
                      <w:b/>
                      <w:bCs/>
                      <w:spacing w:val="9"/>
                      <w:szCs w:val="21"/>
                    </w:rPr>
                    <w:t>2</w:t>
                  </w:r>
                  <w:r>
                    <w:rPr>
                      <w:rFonts w:hint="eastAsia"/>
                      <w:b/>
                      <w:bCs/>
                      <w:spacing w:val="9"/>
                      <w:szCs w:val="21"/>
                    </w:rPr>
                    <w:t>）</w:t>
                  </w:r>
                  <w:r>
                    <w:rPr>
                      <w:b/>
                      <w:bCs/>
                      <w:spacing w:val="9"/>
                      <w:szCs w:val="21"/>
                    </w:rPr>
                    <w:t>现有源提标升级改</w:t>
                  </w:r>
                  <w:r>
                    <w:rPr>
                      <w:b/>
                      <w:bCs/>
                      <w:spacing w:val="8"/>
                      <w:szCs w:val="21"/>
                    </w:rPr>
                    <w:t>造</w:t>
                  </w:r>
                </w:p>
                <w:p w14:paraId="28BAAC28">
                  <w:pPr>
                    <w:widowControl/>
                    <w:kinsoku w:val="0"/>
                    <w:wordWrap w:val="0"/>
                    <w:autoSpaceDE w:val="0"/>
                    <w:autoSpaceDN w:val="0"/>
                    <w:adjustRightInd w:val="0"/>
                    <w:snapToGrid w:val="0"/>
                    <w:ind w:firstLine="15"/>
                    <w:textAlignment w:val="baseline"/>
                    <w:rPr>
                      <w:szCs w:val="21"/>
                    </w:rPr>
                  </w:pPr>
                  <w:r>
                    <w:rPr>
                      <w:spacing w:val="2"/>
                      <w:szCs w:val="21"/>
                    </w:rPr>
                    <w:t>－到2025年，水环境敏</w:t>
                  </w:r>
                  <w:r>
                    <w:rPr>
                      <w:spacing w:val="1"/>
                      <w:szCs w:val="21"/>
                    </w:rPr>
                    <w:t>感地区污水处理基本达到一</w:t>
                  </w:r>
                  <w:r>
                    <w:rPr>
                      <w:spacing w:val="-1"/>
                      <w:szCs w:val="21"/>
                    </w:rPr>
                    <w:t>级</w:t>
                  </w:r>
                  <w:r>
                    <w:rPr>
                      <w:szCs w:val="21"/>
                    </w:rPr>
                    <w:t>A排放标准。</w:t>
                  </w:r>
                </w:p>
                <w:p w14:paraId="1C6B31AE">
                  <w:pPr>
                    <w:widowControl/>
                    <w:kinsoku w:val="0"/>
                    <w:wordWrap w:val="0"/>
                    <w:autoSpaceDE w:val="0"/>
                    <w:autoSpaceDN w:val="0"/>
                    <w:adjustRightInd w:val="0"/>
                    <w:snapToGrid w:val="0"/>
                    <w:spacing w:line="228" w:lineRule="auto"/>
                    <w:textAlignment w:val="baseline"/>
                    <w:rPr>
                      <w:szCs w:val="21"/>
                    </w:rPr>
                  </w:pPr>
                  <w:r>
                    <w:rPr>
                      <w:spacing w:val="8"/>
                      <w:szCs w:val="21"/>
                    </w:rPr>
                    <w:t>－燃气锅炉升级改造</w:t>
                  </w:r>
                  <w:r>
                    <w:rPr>
                      <w:rFonts w:hint="eastAsia"/>
                      <w:spacing w:val="8"/>
                      <w:szCs w:val="21"/>
                    </w:rPr>
                    <w:t>，</w:t>
                  </w:r>
                  <w:r>
                    <w:rPr>
                      <w:spacing w:val="8"/>
                      <w:szCs w:val="21"/>
                    </w:rPr>
                    <w:t>达到特别排放限值</w:t>
                  </w:r>
                  <w:r>
                    <w:rPr>
                      <w:spacing w:val="6"/>
                      <w:szCs w:val="21"/>
                    </w:rPr>
                    <w:t>。</w:t>
                  </w:r>
                </w:p>
                <w:p w14:paraId="575DAE0F">
                  <w:pPr>
                    <w:widowControl/>
                    <w:kinsoku w:val="0"/>
                    <w:wordWrap w:val="0"/>
                    <w:autoSpaceDE w:val="0"/>
                    <w:autoSpaceDN w:val="0"/>
                    <w:adjustRightInd w:val="0"/>
                    <w:snapToGrid w:val="0"/>
                    <w:spacing w:line="247" w:lineRule="auto"/>
                    <w:ind w:firstLine="16"/>
                    <w:textAlignment w:val="baseline"/>
                    <w:rPr>
                      <w:szCs w:val="21"/>
                    </w:rPr>
                  </w:pPr>
                  <w:r>
                    <w:rPr>
                      <w:spacing w:val="14"/>
                      <w:szCs w:val="21"/>
                    </w:rPr>
                    <w:t>－城</w:t>
                  </w:r>
                  <w:r>
                    <w:rPr>
                      <w:spacing w:val="9"/>
                      <w:szCs w:val="21"/>
                    </w:rPr>
                    <w:t>市</w:t>
                  </w:r>
                  <w:r>
                    <w:rPr>
                      <w:spacing w:val="7"/>
                      <w:szCs w:val="21"/>
                    </w:rPr>
                    <w:t>污水处理厂进水生化需氧量</w:t>
                  </w:r>
                  <w:r>
                    <w:rPr>
                      <w:rFonts w:hint="eastAsia"/>
                      <w:spacing w:val="7"/>
                      <w:szCs w:val="21"/>
                    </w:rPr>
                    <w:t>（</w:t>
                  </w:r>
                  <w:r>
                    <w:rPr>
                      <w:szCs w:val="21"/>
                    </w:rPr>
                    <w:t>BOD</w:t>
                  </w:r>
                  <w:r>
                    <w:rPr>
                      <w:rFonts w:hint="eastAsia"/>
                      <w:spacing w:val="7"/>
                      <w:szCs w:val="21"/>
                    </w:rPr>
                    <w:t>）</w:t>
                  </w:r>
                  <w:r>
                    <w:rPr>
                      <w:spacing w:val="7"/>
                      <w:szCs w:val="21"/>
                    </w:rPr>
                    <w:t xml:space="preserve"> 浓度低</w:t>
                  </w:r>
                  <w:r>
                    <w:rPr>
                      <w:spacing w:val="12"/>
                      <w:szCs w:val="21"/>
                    </w:rPr>
                    <w:t>于</w:t>
                  </w:r>
                  <w:r>
                    <w:rPr>
                      <w:spacing w:val="11"/>
                      <w:szCs w:val="21"/>
                    </w:rPr>
                    <w:t>1</w:t>
                  </w:r>
                  <w:r>
                    <w:rPr>
                      <w:spacing w:val="6"/>
                      <w:szCs w:val="21"/>
                    </w:rPr>
                    <w:t>00</w:t>
                  </w:r>
                  <w:r>
                    <w:rPr>
                      <w:szCs w:val="21"/>
                    </w:rPr>
                    <w:t>mgL</w:t>
                  </w:r>
                  <w:r>
                    <w:rPr>
                      <w:spacing w:val="6"/>
                      <w:szCs w:val="21"/>
                    </w:rPr>
                    <w:t>的，要围绕服务片区管网，系统排查进</w:t>
                  </w:r>
                  <w:r>
                    <w:rPr>
                      <w:spacing w:val="17"/>
                      <w:szCs w:val="21"/>
                    </w:rPr>
                    <w:t>水</w:t>
                  </w:r>
                  <w:r>
                    <w:rPr>
                      <w:spacing w:val="9"/>
                      <w:szCs w:val="21"/>
                    </w:rPr>
                    <w:t>浓度偏低的原因，科学确定水质提升目标，制定</w:t>
                  </w:r>
                  <w:r>
                    <w:rPr>
                      <w:spacing w:val="18"/>
                      <w:szCs w:val="21"/>
                    </w:rPr>
                    <w:t>并</w:t>
                  </w:r>
                  <w:r>
                    <w:rPr>
                      <w:spacing w:val="9"/>
                      <w:szCs w:val="21"/>
                    </w:rPr>
                    <w:t>实施“一厂一策”系统化整治方案，稳步提升污</w:t>
                  </w:r>
                  <w:r>
                    <w:rPr>
                      <w:spacing w:val="8"/>
                      <w:szCs w:val="21"/>
                    </w:rPr>
                    <w:t>水收集处理设施效能</w:t>
                  </w:r>
                  <w:r>
                    <w:rPr>
                      <w:spacing w:val="6"/>
                      <w:szCs w:val="21"/>
                    </w:rPr>
                    <w:t>。</w:t>
                  </w:r>
                </w:p>
                <w:p w14:paraId="3FEB6B16">
                  <w:pPr>
                    <w:widowControl/>
                    <w:kinsoku w:val="0"/>
                    <w:autoSpaceDE w:val="0"/>
                    <w:autoSpaceDN w:val="0"/>
                    <w:adjustRightInd w:val="0"/>
                    <w:snapToGrid w:val="0"/>
                    <w:spacing w:line="228" w:lineRule="auto"/>
                    <w:textAlignment w:val="baseline"/>
                    <w:rPr>
                      <w:b/>
                      <w:bCs/>
                      <w:szCs w:val="21"/>
                    </w:rPr>
                  </w:pPr>
                  <w:r>
                    <w:rPr>
                      <w:b/>
                      <w:bCs/>
                      <w:spacing w:val="12"/>
                      <w:szCs w:val="21"/>
                    </w:rPr>
                    <w:t>3</w:t>
                  </w:r>
                  <w:r>
                    <w:rPr>
                      <w:rFonts w:hint="eastAsia"/>
                      <w:b/>
                      <w:bCs/>
                      <w:spacing w:val="12"/>
                      <w:szCs w:val="21"/>
                    </w:rPr>
                    <w:t>）</w:t>
                  </w:r>
                  <w:r>
                    <w:rPr>
                      <w:b/>
                      <w:bCs/>
                      <w:spacing w:val="9"/>
                      <w:szCs w:val="21"/>
                    </w:rPr>
                    <w:t>其他污染物排放管控要求</w:t>
                  </w:r>
                </w:p>
                <w:p w14:paraId="45780B93">
                  <w:pPr>
                    <w:widowControl/>
                    <w:kinsoku w:val="0"/>
                    <w:autoSpaceDE w:val="0"/>
                    <w:autoSpaceDN w:val="0"/>
                    <w:adjustRightInd w:val="0"/>
                    <w:snapToGrid w:val="0"/>
                    <w:spacing w:line="228" w:lineRule="auto"/>
                    <w:textAlignment w:val="baseline"/>
                    <w:rPr>
                      <w:szCs w:val="21"/>
                    </w:rPr>
                  </w:pPr>
                  <w:r>
                    <w:rPr>
                      <w:spacing w:val="8"/>
                      <w:szCs w:val="21"/>
                    </w:rPr>
                    <w:t>新增源等量或倍量替代：</w:t>
                  </w:r>
                </w:p>
                <w:p w14:paraId="2960E56A">
                  <w:pPr>
                    <w:widowControl/>
                    <w:kinsoku w:val="0"/>
                    <w:autoSpaceDE w:val="0"/>
                    <w:autoSpaceDN w:val="0"/>
                    <w:adjustRightInd w:val="0"/>
                    <w:snapToGrid w:val="0"/>
                    <w:spacing w:line="244" w:lineRule="auto"/>
                    <w:ind w:firstLine="19"/>
                    <w:textAlignment w:val="baseline"/>
                    <w:rPr>
                      <w:szCs w:val="21"/>
                    </w:rPr>
                  </w:pPr>
                  <w:r>
                    <w:rPr>
                      <w:spacing w:val="16"/>
                      <w:szCs w:val="21"/>
                    </w:rPr>
                    <w:t>－</w:t>
                  </w:r>
                  <w:r>
                    <w:rPr>
                      <w:spacing w:val="14"/>
                      <w:szCs w:val="21"/>
                    </w:rPr>
                    <w:t>上</w:t>
                  </w:r>
                  <w:r>
                    <w:rPr>
                      <w:spacing w:val="8"/>
                      <w:szCs w:val="21"/>
                    </w:rPr>
                    <w:t>一年度水环境质量未完成目标的，新建排放水</w:t>
                  </w:r>
                  <w:r>
                    <w:rPr>
                      <w:spacing w:val="18"/>
                      <w:szCs w:val="21"/>
                    </w:rPr>
                    <w:t>污</w:t>
                  </w:r>
                  <w:r>
                    <w:rPr>
                      <w:spacing w:val="12"/>
                      <w:szCs w:val="21"/>
                    </w:rPr>
                    <w:t>染</w:t>
                  </w:r>
                  <w:r>
                    <w:rPr>
                      <w:spacing w:val="9"/>
                      <w:szCs w:val="21"/>
                    </w:rPr>
                    <w:t>的建设项目按照总量管控要求进行倍量削减替</w:t>
                  </w:r>
                  <w:r>
                    <w:rPr>
                      <w:spacing w:val="1"/>
                      <w:szCs w:val="21"/>
                    </w:rPr>
                    <w:t>代</w:t>
                  </w:r>
                  <w:r>
                    <w:rPr>
                      <w:szCs w:val="21"/>
                    </w:rPr>
                    <w:t>。</w:t>
                  </w:r>
                </w:p>
                <w:p w14:paraId="054DD347">
                  <w:pPr>
                    <w:widowControl/>
                    <w:kinsoku w:val="0"/>
                    <w:autoSpaceDE w:val="0"/>
                    <w:autoSpaceDN w:val="0"/>
                    <w:adjustRightInd w:val="0"/>
                    <w:snapToGrid w:val="0"/>
                    <w:spacing w:line="247" w:lineRule="auto"/>
                    <w:ind w:firstLine="16"/>
                    <w:textAlignment w:val="baseline"/>
                    <w:rPr>
                      <w:szCs w:val="21"/>
                    </w:rPr>
                  </w:pPr>
                  <w:r>
                    <w:rPr>
                      <w:spacing w:val="16"/>
                      <w:szCs w:val="21"/>
                    </w:rPr>
                    <w:t>－</w:t>
                  </w:r>
                  <w:r>
                    <w:rPr>
                      <w:spacing w:val="14"/>
                      <w:szCs w:val="21"/>
                    </w:rPr>
                    <w:t>上</w:t>
                  </w:r>
                  <w:r>
                    <w:rPr>
                      <w:spacing w:val="8"/>
                      <w:szCs w:val="21"/>
                    </w:rPr>
                    <w:t>一年度空气质量年平均浓度不达标的城市，建</w:t>
                  </w:r>
                  <w:r>
                    <w:rPr>
                      <w:spacing w:val="17"/>
                      <w:szCs w:val="21"/>
                    </w:rPr>
                    <w:t>设</w:t>
                  </w:r>
                  <w:r>
                    <w:rPr>
                      <w:spacing w:val="9"/>
                      <w:szCs w:val="21"/>
                    </w:rPr>
                    <w:t>项目新增相关污染物按照总量管控要求进行倍量</w:t>
                  </w:r>
                  <w:r>
                    <w:rPr>
                      <w:spacing w:val="17"/>
                      <w:szCs w:val="21"/>
                    </w:rPr>
                    <w:t>削</w:t>
                  </w:r>
                  <w:r>
                    <w:rPr>
                      <w:spacing w:val="9"/>
                      <w:szCs w:val="21"/>
                    </w:rPr>
                    <w:t>减替代。加快城市天然气利用，增加天然气对煤</w:t>
                  </w:r>
                  <w:r>
                    <w:rPr>
                      <w:szCs w:val="21"/>
                    </w:rPr>
                    <w:t xml:space="preserve"> </w:t>
                  </w:r>
                  <w:r>
                    <w:rPr>
                      <w:spacing w:val="17"/>
                      <w:szCs w:val="21"/>
                    </w:rPr>
                    <w:t>炭</w:t>
                  </w:r>
                  <w:r>
                    <w:rPr>
                      <w:spacing w:val="9"/>
                      <w:szCs w:val="21"/>
                    </w:rPr>
                    <w:t>和石油的替代，提高天然气民用、交通、发电、</w:t>
                  </w:r>
                  <w:r>
                    <w:rPr>
                      <w:spacing w:val="10"/>
                      <w:szCs w:val="21"/>
                    </w:rPr>
                    <w:t>工</w:t>
                  </w:r>
                  <w:r>
                    <w:rPr>
                      <w:spacing w:val="8"/>
                      <w:szCs w:val="21"/>
                    </w:rPr>
                    <w:t>业领域天然气消费比重。</w:t>
                  </w:r>
                </w:p>
                <w:p w14:paraId="15AEEE03">
                  <w:pPr>
                    <w:widowControl/>
                    <w:kinsoku w:val="0"/>
                    <w:autoSpaceDE w:val="0"/>
                    <w:autoSpaceDN w:val="0"/>
                    <w:adjustRightInd w:val="0"/>
                    <w:snapToGrid w:val="0"/>
                    <w:spacing w:line="228" w:lineRule="auto"/>
                    <w:textAlignment w:val="baseline"/>
                    <w:rPr>
                      <w:b/>
                      <w:bCs/>
                      <w:szCs w:val="21"/>
                    </w:rPr>
                  </w:pPr>
                  <w:r>
                    <w:rPr>
                      <w:b/>
                      <w:bCs/>
                      <w:spacing w:val="16"/>
                      <w:szCs w:val="21"/>
                    </w:rPr>
                    <w:t>4</w:t>
                  </w:r>
                  <w:r>
                    <w:rPr>
                      <w:rFonts w:hint="eastAsia"/>
                      <w:b/>
                      <w:bCs/>
                      <w:spacing w:val="11"/>
                      <w:szCs w:val="21"/>
                    </w:rPr>
                    <w:t>）</w:t>
                  </w:r>
                  <w:r>
                    <w:rPr>
                      <w:b/>
                      <w:bCs/>
                      <w:spacing w:val="8"/>
                      <w:szCs w:val="21"/>
                    </w:rPr>
                    <w:t>污染物排放绩效水平准入要求</w:t>
                  </w:r>
                </w:p>
                <w:p w14:paraId="72EDAACD">
                  <w:pPr>
                    <w:widowControl/>
                    <w:kinsoku w:val="0"/>
                    <w:autoSpaceDE w:val="0"/>
                    <w:autoSpaceDN w:val="0"/>
                    <w:adjustRightInd w:val="0"/>
                    <w:snapToGrid w:val="0"/>
                    <w:spacing w:line="253" w:lineRule="auto"/>
                    <w:textAlignment w:val="baseline"/>
                    <w:rPr>
                      <w:szCs w:val="21"/>
                    </w:rPr>
                  </w:pPr>
                  <w:r>
                    <w:rPr>
                      <w:spacing w:val="18"/>
                      <w:szCs w:val="21"/>
                    </w:rPr>
                    <w:t>严</w:t>
                  </w:r>
                  <w:r>
                    <w:rPr>
                      <w:spacing w:val="10"/>
                      <w:szCs w:val="21"/>
                    </w:rPr>
                    <w:t>格</w:t>
                  </w:r>
                  <w:r>
                    <w:rPr>
                      <w:spacing w:val="9"/>
                      <w:szCs w:val="21"/>
                    </w:rPr>
                    <w:t>落实建设工地管理要求，做好扬尘污染管控工</w:t>
                  </w:r>
                  <w:r>
                    <w:rPr>
                      <w:szCs w:val="21"/>
                    </w:rPr>
                    <w:t>作。</w:t>
                  </w:r>
                </w:p>
                <w:p w14:paraId="22BE5FC7">
                  <w:pPr>
                    <w:widowControl/>
                    <w:kinsoku w:val="0"/>
                    <w:autoSpaceDE w:val="0"/>
                    <w:autoSpaceDN w:val="0"/>
                    <w:adjustRightInd w:val="0"/>
                    <w:snapToGrid w:val="0"/>
                    <w:spacing w:line="251" w:lineRule="auto"/>
                    <w:ind w:firstLine="19"/>
                    <w:textAlignment w:val="baseline"/>
                    <w:rPr>
                      <w:szCs w:val="21"/>
                    </w:rPr>
                  </w:pPr>
                  <w:r>
                    <w:rPr>
                      <w:spacing w:val="16"/>
                      <w:szCs w:val="21"/>
                    </w:rPr>
                    <w:t>－</w:t>
                  </w:r>
                  <w:r>
                    <w:rPr>
                      <w:spacing w:val="14"/>
                      <w:szCs w:val="21"/>
                    </w:rPr>
                    <w:t>从</w:t>
                  </w:r>
                  <w:r>
                    <w:rPr>
                      <w:spacing w:val="8"/>
                      <w:szCs w:val="21"/>
                    </w:rPr>
                    <w:t>事机动车修理、印刷、服装干洗、研发等排放</w:t>
                  </w:r>
                  <w:r>
                    <w:rPr>
                      <w:spacing w:val="18"/>
                      <w:szCs w:val="21"/>
                    </w:rPr>
                    <w:t>挥</w:t>
                  </w:r>
                  <w:r>
                    <w:rPr>
                      <w:spacing w:val="12"/>
                      <w:szCs w:val="21"/>
                    </w:rPr>
                    <w:t>发</w:t>
                  </w:r>
                  <w:r>
                    <w:rPr>
                      <w:spacing w:val="9"/>
                      <w:szCs w:val="21"/>
                    </w:rPr>
                    <w:t>性有机污染物的生产作业，应当按照有关技术</w:t>
                  </w:r>
                  <w:r>
                    <w:rPr>
                      <w:spacing w:val="12"/>
                      <w:szCs w:val="21"/>
                    </w:rPr>
                    <w:t>规</w:t>
                  </w:r>
                  <w:r>
                    <w:rPr>
                      <w:spacing w:val="9"/>
                      <w:szCs w:val="21"/>
                    </w:rPr>
                    <w:t>范进行综合治理。禁止露天和敞开式喷漆作业；</w:t>
                  </w:r>
                  <w:r>
                    <w:rPr>
                      <w:szCs w:val="21"/>
                    </w:rPr>
                    <w:t xml:space="preserve"> </w:t>
                  </w:r>
                  <w:r>
                    <w:rPr>
                      <w:spacing w:val="18"/>
                      <w:szCs w:val="21"/>
                    </w:rPr>
                    <w:t>包</w:t>
                  </w:r>
                  <w:r>
                    <w:rPr>
                      <w:spacing w:val="12"/>
                      <w:szCs w:val="21"/>
                    </w:rPr>
                    <w:t>装</w:t>
                  </w:r>
                  <w:r>
                    <w:rPr>
                      <w:spacing w:val="9"/>
                      <w:szCs w:val="21"/>
                    </w:rPr>
                    <w:t>印刷业必须使用符合环保要求的油墨；餐饮服</w:t>
                  </w:r>
                  <w:r>
                    <w:rPr>
                      <w:spacing w:val="18"/>
                      <w:szCs w:val="21"/>
                    </w:rPr>
                    <w:t>务</w:t>
                  </w:r>
                  <w:r>
                    <w:rPr>
                      <w:spacing w:val="12"/>
                      <w:szCs w:val="21"/>
                    </w:rPr>
                    <w:t>业</w:t>
                  </w:r>
                  <w:r>
                    <w:rPr>
                      <w:spacing w:val="9"/>
                      <w:szCs w:val="21"/>
                    </w:rPr>
                    <w:t>油烟和废水必须经处理达到相应排放标准要</w:t>
                  </w:r>
                  <w:r>
                    <w:rPr>
                      <w:spacing w:val="1"/>
                      <w:szCs w:val="21"/>
                    </w:rPr>
                    <w:t>求</w:t>
                  </w:r>
                  <w:r>
                    <w:rPr>
                      <w:szCs w:val="21"/>
                    </w:rPr>
                    <w:t>。</w:t>
                  </w:r>
                </w:p>
                <w:p w14:paraId="7C6D1EF2">
                  <w:pPr>
                    <w:widowControl/>
                    <w:kinsoku w:val="0"/>
                    <w:autoSpaceDE w:val="0"/>
                    <w:autoSpaceDN w:val="0"/>
                    <w:adjustRightInd w:val="0"/>
                    <w:snapToGrid w:val="0"/>
                    <w:spacing w:line="251" w:lineRule="auto"/>
                    <w:ind w:firstLine="20"/>
                    <w:textAlignment w:val="baseline"/>
                    <w:rPr>
                      <w:spacing w:val="7"/>
                      <w:szCs w:val="21"/>
                    </w:rPr>
                  </w:pPr>
                  <w:r>
                    <w:rPr>
                      <w:spacing w:val="8"/>
                      <w:szCs w:val="21"/>
                    </w:rPr>
                    <w:t>－</w:t>
                  </w:r>
                  <w:r>
                    <w:rPr>
                      <w:spacing w:val="6"/>
                      <w:szCs w:val="21"/>
                    </w:rPr>
                    <w:t>建材行业原料破碎、生产、运输、装卸等各环节</w:t>
                  </w:r>
                  <w:r>
                    <w:rPr>
                      <w:szCs w:val="21"/>
                    </w:rPr>
                    <w:t xml:space="preserve"> </w:t>
                  </w:r>
                  <w:r>
                    <w:rPr>
                      <w:spacing w:val="7"/>
                      <w:szCs w:val="21"/>
                    </w:rPr>
                    <w:t>严格落实抑尘措施，有效控制粉尘无组织排放。</w:t>
                  </w:r>
                </w:p>
                <w:p w14:paraId="014918F6">
                  <w:pPr>
                    <w:widowControl/>
                    <w:kinsoku w:val="0"/>
                    <w:autoSpaceDE w:val="0"/>
                    <w:autoSpaceDN w:val="0"/>
                    <w:adjustRightInd w:val="0"/>
                    <w:snapToGrid w:val="0"/>
                    <w:spacing w:line="251" w:lineRule="auto"/>
                    <w:ind w:firstLine="20"/>
                    <w:textAlignment w:val="baseline"/>
                    <w:rPr>
                      <w:spacing w:val="-2"/>
                      <w:szCs w:val="21"/>
                    </w:rPr>
                  </w:pPr>
                  <w:r>
                    <w:rPr>
                      <w:spacing w:val="6"/>
                      <w:szCs w:val="21"/>
                    </w:rPr>
                    <w:t>－</w:t>
                  </w:r>
                  <w:r>
                    <w:rPr>
                      <w:spacing w:val="1"/>
                      <w:szCs w:val="21"/>
                    </w:rPr>
                    <w:t>到2023</w:t>
                  </w:r>
                  <w:r>
                    <w:rPr>
                      <w:szCs w:val="21"/>
                    </w:rPr>
                    <w:t xml:space="preserve">年，城市污泥无害化处置率和资源化利用率 </w:t>
                  </w:r>
                  <w:r>
                    <w:rPr>
                      <w:spacing w:val="7"/>
                      <w:szCs w:val="21"/>
                    </w:rPr>
                    <w:t>进一步提高，力争达州市鲜家坝、周家坝城市生活</w:t>
                  </w:r>
                  <w:r>
                    <w:rPr>
                      <w:spacing w:val="2"/>
                      <w:szCs w:val="21"/>
                    </w:rPr>
                    <w:t>污水处理厂污泥无害化处</w:t>
                  </w:r>
                  <w:r>
                    <w:rPr>
                      <w:spacing w:val="1"/>
                      <w:szCs w:val="21"/>
                    </w:rPr>
                    <w:t>置率达92% 、各县</w:t>
                  </w:r>
                  <w:r>
                    <w:rPr>
                      <w:rFonts w:hint="eastAsia"/>
                      <w:spacing w:val="1"/>
                      <w:szCs w:val="21"/>
                    </w:rPr>
                    <w:t>（</w:t>
                  </w:r>
                  <w:r>
                    <w:rPr>
                      <w:spacing w:val="1"/>
                      <w:szCs w:val="21"/>
                    </w:rPr>
                    <w:t>市</w:t>
                  </w:r>
                  <w:r>
                    <w:rPr>
                      <w:rFonts w:hint="eastAsia"/>
                      <w:spacing w:val="1"/>
                      <w:szCs w:val="21"/>
                    </w:rPr>
                    <w:t>）</w:t>
                  </w:r>
                  <w:r>
                    <w:rPr>
                      <w:spacing w:val="6"/>
                      <w:szCs w:val="21"/>
                    </w:rPr>
                    <w:t>城市达8</w:t>
                  </w:r>
                  <w:r>
                    <w:rPr>
                      <w:spacing w:val="4"/>
                      <w:szCs w:val="21"/>
                    </w:rPr>
                    <w:t>5</w:t>
                  </w:r>
                  <w:r>
                    <w:rPr>
                      <w:spacing w:val="3"/>
                      <w:szCs w:val="21"/>
                    </w:rPr>
                    <w:t>%；城市生活污水资源化利用水平明显提</w:t>
                  </w:r>
                  <w:r>
                    <w:rPr>
                      <w:spacing w:val="-2"/>
                      <w:szCs w:val="21"/>
                    </w:rPr>
                    <w:t>升。</w:t>
                  </w:r>
                </w:p>
                <w:p w14:paraId="6C4F5055">
                  <w:pPr>
                    <w:widowControl/>
                    <w:kinsoku w:val="0"/>
                    <w:autoSpaceDE w:val="0"/>
                    <w:autoSpaceDN w:val="0"/>
                    <w:adjustRightInd w:val="0"/>
                    <w:snapToGrid w:val="0"/>
                    <w:spacing w:line="251" w:lineRule="auto"/>
                    <w:ind w:firstLine="20"/>
                    <w:textAlignment w:val="baseline"/>
                    <w:rPr>
                      <w:szCs w:val="21"/>
                    </w:rPr>
                  </w:pPr>
                  <w:r>
                    <w:rPr>
                      <w:spacing w:val="-2"/>
                      <w:szCs w:val="21"/>
                    </w:rPr>
                    <w:t>－到2023</w:t>
                  </w:r>
                  <w:r>
                    <w:rPr>
                      <w:spacing w:val="-1"/>
                      <w:szCs w:val="21"/>
                    </w:rPr>
                    <w:t>年基本实现原生生活垃圾“零填埋”，</w:t>
                  </w:r>
                  <w:r>
                    <w:rPr>
                      <w:spacing w:val="7"/>
                      <w:szCs w:val="21"/>
                    </w:rPr>
                    <w:t>鼓励跨区域统筹建设焚烧处理设</w:t>
                  </w:r>
                  <w:r>
                    <w:rPr>
                      <w:spacing w:val="-1"/>
                      <w:szCs w:val="21"/>
                    </w:rPr>
                    <w:t>施，在生活垃圾日清运量不足300吨的地区探索开展小型生活垃圾焚烧设施试点；生活垃圾回收利用率力争</w:t>
                  </w:r>
                  <w:r>
                    <w:rPr>
                      <w:szCs w:val="21"/>
                    </w:rPr>
                    <w:t>达30%以上。</w:t>
                  </w:r>
                </w:p>
                <w:p w14:paraId="39C9CB36">
                  <w:pPr>
                    <w:widowControl/>
                    <w:kinsoku w:val="0"/>
                    <w:autoSpaceDE w:val="0"/>
                    <w:autoSpaceDN w:val="0"/>
                    <w:adjustRightInd w:val="0"/>
                    <w:snapToGrid w:val="0"/>
                    <w:spacing w:line="251" w:lineRule="auto"/>
                    <w:textAlignment w:val="baseline"/>
                    <w:rPr>
                      <w:szCs w:val="21"/>
                    </w:rPr>
                  </w:pPr>
                  <w:r>
                    <w:rPr>
                      <w:spacing w:val="16"/>
                      <w:szCs w:val="21"/>
                    </w:rPr>
                    <w:t>－</w:t>
                  </w:r>
                  <w:r>
                    <w:rPr>
                      <w:spacing w:val="14"/>
                      <w:szCs w:val="21"/>
                    </w:rPr>
                    <w:t>实</w:t>
                  </w:r>
                  <w:r>
                    <w:rPr>
                      <w:spacing w:val="8"/>
                      <w:szCs w:val="21"/>
                    </w:rPr>
                    <w:t>施密闭化收运，推广干湿分类收运。强化垃圾</w:t>
                  </w:r>
                  <w:r>
                    <w:rPr>
                      <w:spacing w:val="18"/>
                      <w:szCs w:val="21"/>
                    </w:rPr>
                    <w:t>渗</w:t>
                  </w:r>
                  <w:r>
                    <w:rPr>
                      <w:spacing w:val="10"/>
                      <w:szCs w:val="21"/>
                    </w:rPr>
                    <w:t>滤</w:t>
                  </w:r>
                  <w:r>
                    <w:rPr>
                      <w:spacing w:val="9"/>
                      <w:szCs w:val="21"/>
                    </w:rPr>
                    <w:t>液、焚烧飞灰安全处置，城市生活垃圾无害化</w:t>
                  </w:r>
                  <w:r>
                    <w:rPr>
                      <w:spacing w:val="2"/>
                      <w:szCs w:val="21"/>
                    </w:rPr>
                    <w:t>处理率保持</w:t>
                  </w:r>
                  <w:r>
                    <w:rPr>
                      <w:spacing w:val="1"/>
                      <w:szCs w:val="21"/>
                    </w:rPr>
                    <w:t xml:space="preserve"> 100%。</w:t>
                  </w:r>
                </w:p>
                <w:p w14:paraId="0D859F14">
                  <w:pPr>
                    <w:rPr>
                      <w:spacing w:val="5"/>
                      <w:szCs w:val="21"/>
                    </w:rPr>
                  </w:pPr>
                  <w:r>
                    <w:rPr>
                      <w:spacing w:val="2"/>
                      <w:szCs w:val="21"/>
                    </w:rPr>
                    <w:t>－到2023年</w:t>
                  </w:r>
                  <w:r>
                    <w:rPr>
                      <w:rFonts w:hint="eastAsia"/>
                      <w:spacing w:val="2"/>
                      <w:szCs w:val="21"/>
                    </w:rPr>
                    <w:t>，</w:t>
                  </w:r>
                  <w:r>
                    <w:rPr>
                      <w:spacing w:val="2"/>
                      <w:szCs w:val="21"/>
                    </w:rPr>
                    <w:t>力争全省</w:t>
                  </w:r>
                  <w:r>
                    <w:rPr>
                      <w:spacing w:val="1"/>
                      <w:szCs w:val="21"/>
                    </w:rPr>
                    <w:t>生活垃圾焚烧处理能力占比</w:t>
                  </w:r>
                  <w:r>
                    <w:rPr>
                      <w:spacing w:val="6"/>
                      <w:szCs w:val="21"/>
                    </w:rPr>
                    <w:t>达60%以上，地级以上城市具备餐厨垃圾集中处</w:t>
                  </w:r>
                  <w:r>
                    <w:rPr>
                      <w:spacing w:val="5"/>
                      <w:szCs w:val="21"/>
                    </w:rPr>
                    <w:t>理</w:t>
                  </w:r>
                  <w:r>
                    <w:rPr>
                      <w:spacing w:val="6"/>
                      <w:szCs w:val="21"/>
                    </w:rPr>
                    <w:t>能力；县城生活垃圾无害化处理率保持95%以上</w:t>
                  </w:r>
                  <w:r>
                    <w:rPr>
                      <w:spacing w:val="5"/>
                      <w:szCs w:val="21"/>
                    </w:rPr>
                    <w:t>，</w:t>
                  </w:r>
                  <w:r>
                    <w:rPr>
                      <w:spacing w:val="18"/>
                      <w:szCs w:val="21"/>
                    </w:rPr>
                    <w:t>乡</w:t>
                  </w:r>
                  <w:r>
                    <w:rPr>
                      <w:spacing w:val="12"/>
                      <w:szCs w:val="21"/>
                    </w:rPr>
                    <w:t>镇</w:t>
                  </w:r>
                  <w:r>
                    <w:rPr>
                      <w:spacing w:val="9"/>
                      <w:szCs w:val="21"/>
                    </w:rPr>
                    <w:t>及行政村生活垃圾收集转运处置体系基本实现</w:t>
                  </w:r>
                  <w:r>
                    <w:rPr>
                      <w:spacing w:val="6"/>
                      <w:szCs w:val="21"/>
                    </w:rPr>
                    <w:t>全</w:t>
                  </w:r>
                  <w:r>
                    <w:rPr>
                      <w:spacing w:val="5"/>
                      <w:szCs w:val="21"/>
                    </w:rPr>
                    <w:t>覆盖</w:t>
                  </w:r>
                  <w:r>
                    <w:rPr>
                      <w:rFonts w:hint="eastAsia"/>
                      <w:spacing w:val="5"/>
                      <w:szCs w:val="21"/>
                    </w:rPr>
                    <w:t>。</w:t>
                  </w:r>
                </w:p>
                <w:p w14:paraId="5A34682E">
                  <w:pPr>
                    <w:rPr>
                      <w:spacing w:val="5"/>
                      <w:szCs w:val="21"/>
                    </w:rPr>
                  </w:pPr>
                  <w:r>
                    <w:rPr>
                      <w:spacing w:val="3"/>
                      <w:szCs w:val="21"/>
                    </w:rPr>
                    <w:t>-2030年，渠江流域用水总量控制在31.61亿</w:t>
                  </w:r>
                  <w:r>
                    <w:rPr>
                      <w:szCs w:val="21"/>
                    </w:rPr>
                    <w:t>m</w:t>
                  </w:r>
                  <w:r>
                    <w:rPr>
                      <w:spacing w:val="3"/>
                      <w:szCs w:val="21"/>
                      <w:vertAlign w:val="superscript"/>
                    </w:rPr>
                    <w:t>3</w:t>
                  </w:r>
                  <w:r>
                    <w:rPr>
                      <w:spacing w:val="2"/>
                      <w:szCs w:val="21"/>
                    </w:rPr>
                    <w:t xml:space="preserve"> </w:t>
                  </w:r>
                  <w:r>
                    <w:rPr>
                      <w:szCs w:val="21"/>
                    </w:rPr>
                    <w:t>以</w:t>
                  </w:r>
                  <w:r>
                    <w:rPr>
                      <w:spacing w:val="6"/>
                      <w:szCs w:val="21"/>
                    </w:rPr>
                    <w:t>内，</w:t>
                  </w:r>
                  <w:r>
                    <w:rPr>
                      <w:spacing w:val="3"/>
                      <w:szCs w:val="21"/>
                    </w:rPr>
                    <w:t>渠江干流</w:t>
                  </w:r>
                  <w:r>
                    <w:rPr>
                      <w:szCs w:val="21"/>
                    </w:rPr>
                    <w:t>COD</w:t>
                  </w:r>
                  <w:r>
                    <w:rPr>
                      <w:spacing w:val="3"/>
                      <w:szCs w:val="21"/>
                    </w:rPr>
                    <w:t xml:space="preserve"> 排放总量限制在4.89万</w:t>
                  </w:r>
                  <w:r>
                    <w:rPr>
                      <w:szCs w:val="21"/>
                    </w:rPr>
                    <w:t>ta</w:t>
                  </w:r>
                  <w:r>
                    <w:rPr>
                      <w:spacing w:val="3"/>
                      <w:szCs w:val="21"/>
                    </w:rPr>
                    <w:t xml:space="preserve"> 内、</w:t>
                  </w:r>
                  <w:r>
                    <w:rPr>
                      <w:szCs w:val="21"/>
                    </w:rPr>
                    <w:t>NH</w:t>
                  </w:r>
                  <w:r>
                    <w:rPr>
                      <w:spacing w:val="8"/>
                      <w:szCs w:val="21"/>
                      <w:vertAlign w:val="subscript"/>
                    </w:rPr>
                    <w:t>3</w:t>
                  </w:r>
                  <w:r>
                    <w:rPr>
                      <w:spacing w:val="8"/>
                      <w:szCs w:val="21"/>
                    </w:rPr>
                    <w:t>-</w:t>
                  </w:r>
                  <w:r>
                    <w:rPr>
                      <w:szCs w:val="21"/>
                    </w:rPr>
                    <w:t>N</w:t>
                  </w:r>
                  <w:r>
                    <w:rPr>
                      <w:spacing w:val="6"/>
                      <w:szCs w:val="21"/>
                    </w:rPr>
                    <w:t>排</w:t>
                  </w:r>
                  <w:r>
                    <w:rPr>
                      <w:spacing w:val="4"/>
                      <w:szCs w:val="21"/>
                    </w:rPr>
                    <w:t>放总量限制在0.54万</w:t>
                  </w:r>
                  <w:r>
                    <w:rPr>
                      <w:szCs w:val="21"/>
                    </w:rPr>
                    <w:t>ta</w:t>
                  </w:r>
                  <w:r>
                    <w:rPr>
                      <w:spacing w:val="4"/>
                      <w:szCs w:val="21"/>
                    </w:rPr>
                    <w:t>内。全面推进节</w:t>
                  </w:r>
                  <w:r>
                    <w:rPr>
                      <w:spacing w:val="13"/>
                      <w:szCs w:val="21"/>
                    </w:rPr>
                    <w:t>水</w:t>
                  </w:r>
                  <w:r>
                    <w:rPr>
                      <w:spacing w:val="9"/>
                      <w:szCs w:val="21"/>
                    </w:rPr>
                    <w:t>型社会建设，加强河湖</w:t>
                  </w:r>
                  <w:r>
                    <w:rPr>
                      <w:rFonts w:hint="eastAsia"/>
                      <w:spacing w:val="9"/>
                      <w:szCs w:val="21"/>
                    </w:rPr>
                    <w:t>（</w:t>
                  </w:r>
                  <w:r>
                    <w:rPr>
                      <w:spacing w:val="9"/>
                      <w:szCs w:val="21"/>
                    </w:rPr>
                    <w:t>库</w:t>
                  </w:r>
                  <w:r>
                    <w:rPr>
                      <w:rFonts w:hint="eastAsia"/>
                      <w:spacing w:val="9"/>
                      <w:szCs w:val="21"/>
                    </w:rPr>
                    <w:t>）</w:t>
                  </w:r>
                  <w:r>
                    <w:rPr>
                      <w:spacing w:val="9"/>
                      <w:szCs w:val="21"/>
                    </w:rPr>
                    <w:t>水域岸线保护及管</w:t>
                  </w:r>
                  <w:r>
                    <w:rPr>
                      <w:spacing w:val="20"/>
                      <w:szCs w:val="21"/>
                    </w:rPr>
                    <w:t>理</w:t>
                  </w:r>
                  <w:r>
                    <w:rPr>
                      <w:spacing w:val="13"/>
                      <w:szCs w:val="21"/>
                    </w:rPr>
                    <w:t>，</w:t>
                  </w:r>
                  <w:r>
                    <w:rPr>
                      <w:spacing w:val="10"/>
                      <w:szCs w:val="21"/>
                    </w:rPr>
                    <w:t>加强入河排污口规范化建设，加强工业污染、农业农村污染、船舶港口污染防治。对流域内饮用</w:t>
                  </w:r>
                  <w:r>
                    <w:rPr>
                      <w:spacing w:val="5"/>
                      <w:szCs w:val="21"/>
                    </w:rPr>
                    <w:t>水源地进行有效保护及规范化建设。</w:t>
                  </w:r>
                </w:p>
                <w:p w14:paraId="278D831B">
                  <w:pPr>
                    <w:rPr>
                      <w:bCs/>
                      <w:szCs w:val="21"/>
                    </w:rPr>
                  </w:pPr>
                  <w:r>
                    <w:rPr>
                      <w:spacing w:val="5"/>
                      <w:szCs w:val="21"/>
                    </w:rPr>
                    <w:t>－到2025年</w:t>
                  </w:r>
                  <w:r>
                    <w:rPr>
                      <w:spacing w:val="1"/>
                      <w:szCs w:val="21"/>
                    </w:rPr>
                    <w:t>，</w:t>
                  </w:r>
                  <w:r>
                    <w:rPr>
                      <w:szCs w:val="21"/>
                    </w:rPr>
                    <w:t xml:space="preserve"> </w:t>
                  </w:r>
                  <w:r>
                    <w:rPr>
                      <w:spacing w:val="10"/>
                      <w:szCs w:val="21"/>
                    </w:rPr>
                    <w:t>基本消除城市建成区生活污水直排口和收集</w:t>
                  </w:r>
                  <w:r>
                    <w:rPr>
                      <w:rFonts w:hint="eastAsia"/>
                      <w:spacing w:val="10"/>
                      <w:szCs w:val="21"/>
                      <w:lang w:eastAsia="zh-CN"/>
                    </w:rPr>
                    <w:t>处理</w:t>
                  </w:r>
                  <w:r>
                    <w:rPr>
                      <w:spacing w:val="11"/>
                      <w:szCs w:val="21"/>
                    </w:rPr>
                    <w:t>设</w:t>
                  </w:r>
                  <w:r>
                    <w:rPr>
                      <w:spacing w:val="10"/>
                      <w:szCs w:val="21"/>
                    </w:rPr>
                    <w:t>施空白区，城市生活污水集中收集率力争达到</w:t>
                  </w:r>
                  <w:r>
                    <w:rPr>
                      <w:spacing w:val="18"/>
                      <w:szCs w:val="21"/>
                    </w:rPr>
                    <w:t>7</w:t>
                  </w:r>
                  <w:r>
                    <w:rPr>
                      <w:spacing w:val="10"/>
                      <w:szCs w:val="21"/>
                    </w:rPr>
                    <w:t>0</w:t>
                  </w:r>
                  <w:r>
                    <w:rPr>
                      <w:spacing w:val="9"/>
                      <w:szCs w:val="21"/>
                    </w:rPr>
                    <w:t>%以上；城市和县城水处理能力基本满足经济社</w:t>
                  </w:r>
                  <w:r>
                    <w:rPr>
                      <w:spacing w:val="10"/>
                      <w:szCs w:val="21"/>
                    </w:rPr>
                    <w:t>会</w:t>
                  </w:r>
                  <w:r>
                    <w:rPr>
                      <w:spacing w:val="6"/>
                      <w:szCs w:val="21"/>
                    </w:rPr>
                    <w:t>发展需要，县城污水处理达到95%以上。</w:t>
                  </w:r>
                </w:p>
              </w:tc>
              <w:tc>
                <w:tcPr>
                  <w:tcW w:w="1253" w:type="pct"/>
                  <w:tcBorders>
                    <w:top w:val="single" w:color="auto" w:sz="4" w:space="0"/>
                    <w:left w:val="nil"/>
                    <w:right w:val="single" w:color="auto" w:sz="4" w:space="0"/>
                  </w:tcBorders>
                  <w:vAlign w:val="center"/>
                </w:tcPr>
                <w:p w14:paraId="7AEB66D7">
                  <w:pPr>
                    <w:rPr>
                      <w:bCs/>
                      <w:szCs w:val="21"/>
                    </w:rPr>
                  </w:pPr>
                  <w:r>
                    <w:rPr>
                      <w:bCs/>
                      <w:szCs w:val="21"/>
                    </w:rPr>
                    <w:t>项目施工期严格落实“六必须、六不准”的管控要求，减少施工扬尘的产生；施工废水回用，施工期</w:t>
                  </w:r>
                  <w:r>
                    <w:rPr>
                      <w:rFonts w:hint="eastAsia"/>
                      <w:szCs w:val="21"/>
                    </w:rPr>
                    <w:t>生活污水</w:t>
                  </w:r>
                  <w:r>
                    <w:rPr>
                      <w:szCs w:val="21"/>
                    </w:rPr>
                    <w:t>利用周边公共生活设施</w:t>
                  </w:r>
                  <w:r>
                    <w:rPr>
                      <w:rFonts w:hint="eastAsia" w:ascii="宋体" w:hAnsi="宋体" w:cs="宋体"/>
                      <w:kern w:val="0"/>
                      <w:szCs w:val="21"/>
                      <w:lang w:bidi="ar"/>
                    </w:rPr>
                    <w:t>处理。</w:t>
                  </w:r>
                  <w:r>
                    <w:rPr>
                      <w:spacing w:val="9"/>
                      <w:szCs w:val="21"/>
                    </w:rPr>
                    <w:t>项目</w:t>
                  </w:r>
                  <w:r>
                    <w:rPr>
                      <w:rFonts w:hint="eastAsia"/>
                      <w:spacing w:val="9"/>
                      <w:szCs w:val="21"/>
                    </w:rPr>
                    <w:t>运营期渗滤液经自建污水处理站处理达《污水综合排放标准》（GB8978-1996）中三级排放标准“表4”中标准限值后经市政污水管网排入</w:t>
                  </w:r>
                  <w:r>
                    <w:rPr>
                      <w:spacing w:val="9"/>
                      <w:szCs w:val="21"/>
                    </w:rPr>
                    <w:t>最终</w:t>
                  </w:r>
                  <w:r>
                    <w:rPr>
                      <w:szCs w:val="21"/>
                    </w:rPr>
                    <w:t>经达州市第二</w:t>
                  </w:r>
                  <w:r>
                    <w:rPr>
                      <w:rFonts w:hint="eastAsia"/>
                      <w:szCs w:val="21"/>
                    </w:rPr>
                    <w:t>城市生活</w:t>
                  </w:r>
                  <w:r>
                    <w:rPr>
                      <w:szCs w:val="21"/>
                    </w:rPr>
                    <w:t>污水处理厂处</w:t>
                  </w:r>
                  <w:r>
                    <w:rPr>
                      <w:kern w:val="0"/>
                      <w:szCs w:val="21"/>
                      <w:lang w:bidi="ar"/>
                    </w:rPr>
                    <w:t>理</w:t>
                  </w:r>
                  <w:r>
                    <w:rPr>
                      <w:szCs w:val="21"/>
                    </w:rPr>
                    <w:t>达</w:t>
                  </w:r>
                  <w:r>
                    <w:rPr>
                      <w:rFonts w:ascii="宋体" w:hAnsi="宋体" w:cs="宋体"/>
                      <w:spacing w:val="8"/>
                      <w:szCs w:val="21"/>
                    </w:rPr>
                    <w:t>《城镇污水处理厂污</w:t>
                  </w:r>
                  <w:r>
                    <w:rPr>
                      <w:rFonts w:ascii="宋体" w:hAnsi="宋体" w:cs="宋体"/>
                      <w:spacing w:val="11"/>
                      <w:szCs w:val="21"/>
                    </w:rPr>
                    <w:t>染</w:t>
                  </w:r>
                  <w:r>
                    <w:rPr>
                      <w:rFonts w:ascii="宋体" w:hAnsi="宋体" w:cs="宋体"/>
                      <w:spacing w:val="6"/>
                      <w:szCs w:val="21"/>
                    </w:rPr>
                    <w:t>物排放标准》一级</w:t>
                  </w:r>
                  <w:r>
                    <w:rPr>
                      <w:rFonts w:eastAsia="Times New Roman"/>
                      <w:szCs w:val="21"/>
                    </w:rPr>
                    <w:t>A</w:t>
                  </w:r>
                  <w:r>
                    <w:rPr>
                      <w:rFonts w:ascii="宋体" w:hAnsi="宋体" w:cs="宋体"/>
                      <w:spacing w:val="6"/>
                      <w:szCs w:val="21"/>
                    </w:rPr>
                    <w:t>标</w:t>
                  </w:r>
                  <w:r>
                    <w:rPr>
                      <w:szCs w:val="21"/>
                    </w:rPr>
                    <w:t>后</w:t>
                  </w:r>
                  <w:r>
                    <w:rPr>
                      <w:color w:val="000000"/>
                      <w:kern w:val="0"/>
                      <w:szCs w:val="21"/>
                      <w:lang w:bidi="ar"/>
                    </w:rPr>
                    <w:t>排入</w:t>
                  </w:r>
                  <w:r>
                    <w:rPr>
                      <w:rFonts w:hint="eastAsia"/>
                      <w:color w:val="000000"/>
                      <w:kern w:val="0"/>
                      <w:szCs w:val="21"/>
                      <w:lang w:bidi="ar"/>
                    </w:rPr>
                    <w:t>州河渗滤液无害化处置达100%</w:t>
                  </w:r>
                  <w:r>
                    <w:rPr>
                      <w:szCs w:val="21"/>
                    </w:rPr>
                    <w:t>。通川区为</w:t>
                  </w:r>
                  <w:r>
                    <w:rPr>
                      <w:spacing w:val="8"/>
                      <w:szCs w:val="21"/>
                    </w:rPr>
                    <w:t>空气质量</w:t>
                  </w:r>
                  <w:r>
                    <w:rPr>
                      <w:szCs w:val="21"/>
                    </w:rPr>
                    <w:t>达标城市</w:t>
                  </w:r>
                  <w:r>
                    <w:rPr>
                      <w:rFonts w:hint="eastAsia"/>
                      <w:spacing w:val="9"/>
                      <w:szCs w:val="21"/>
                    </w:rPr>
                    <w:t>。本项目为生活垃圾中转站，建成后日转运能力240t，可实现西南职教园区</w:t>
                  </w:r>
                  <w:r>
                    <w:rPr>
                      <w:spacing w:val="9"/>
                      <w:szCs w:val="21"/>
                    </w:rPr>
                    <w:t>生活垃圾收集转运处置体系全覆盖</w:t>
                  </w:r>
                  <w:r>
                    <w:rPr>
                      <w:rFonts w:hint="eastAsia"/>
                      <w:spacing w:val="9"/>
                      <w:szCs w:val="21"/>
                    </w:rPr>
                    <w:t>。</w:t>
                  </w:r>
                  <w:r>
                    <w:rPr>
                      <w:spacing w:val="9"/>
                      <w:szCs w:val="21"/>
                    </w:rPr>
                    <w:t>生活垃圾无害化处理率达100%；危险废物</w:t>
                  </w:r>
                  <w:r>
                    <w:rPr>
                      <w:rFonts w:hint="eastAsia"/>
                      <w:spacing w:val="9"/>
                      <w:szCs w:val="21"/>
                    </w:rPr>
                    <w:t>收集后定期交有资质单位进行处置，</w:t>
                  </w:r>
                  <w:r>
                    <w:rPr>
                      <w:spacing w:val="9"/>
                      <w:szCs w:val="21"/>
                    </w:rPr>
                    <w:t>处置率达100%。</w:t>
                  </w:r>
                </w:p>
              </w:tc>
              <w:tc>
                <w:tcPr>
                  <w:tcW w:w="260" w:type="pct"/>
                  <w:tcBorders>
                    <w:top w:val="single" w:color="auto" w:sz="4" w:space="0"/>
                    <w:left w:val="nil"/>
                    <w:right w:val="single" w:color="auto" w:sz="4" w:space="0"/>
                  </w:tcBorders>
                  <w:vAlign w:val="center"/>
                </w:tcPr>
                <w:p w14:paraId="33D5439D">
                  <w:pPr>
                    <w:jc w:val="center"/>
                    <w:rPr>
                      <w:bCs/>
                      <w:szCs w:val="21"/>
                    </w:rPr>
                  </w:pPr>
                  <w:r>
                    <w:rPr>
                      <w:bCs/>
                      <w:szCs w:val="21"/>
                    </w:rPr>
                    <w:t>符合</w:t>
                  </w:r>
                </w:p>
              </w:tc>
            </w:tr>
            <w:tr w14:paraId="7C2A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7B3E0FB4">
                  <w:pPr>
                    <w:jc w:val="center"/>
                    <w:rPr>
                      <w:bCs/>
                      <w:szCs w:val="21"/>
                    </w:rPr>
                  </w:pPr>
                </w:p>
              </w:tc>
              <w:tc>
                <w:tcPr>
                  <w:tcW w:w="302" w:type="pct"/>
                  <w:vMerge w:val="continue"/>
                  <w:tcBorders>
                    <w:left w:val="nil"/>
                    <w:right w:val="single" w:color="auto" w:sz="4" w:space="0"/>
                  </w:tcBorders>
                  <w:vAlign w:val="center"/>
                </w:tcPr>
                <w:p w14:paraId="16ED75BD">
                  <w:pPr>
                    <w:jc w:val="center"/>
                    <w:rPr>
                      <w:bCs/>
                      <w:szCs w:val="21"/>
                    </w:rPr>
                  </w:pPr>
                </w:p>
              </w:tc>
              <w:tc>
                <w:tcPr>
                  <w:tcW w:w="269" w:type="pct"/>
                  <w:vMerge w:val="continue"/>
                  <w:tcBorders>
                    <w:left w:val="nil"/>
                    <w:right w:val="single" w:color="auto" w:sz="4" w:space="0"/>
                  </w:tcBorders>
                  <w:vAlign w:val="center"/>
                </w:tcPr>
                <w:p w14:paraId="2ECA8530">
                  <w:pPr>
                    <w:jc w:val="center"/>
                    <w:rPr>
                      <w:bCs/>
                      <w:szCs w:val="21"/>
                    </w:rPr>
                  </w:pPr>
                </w:p>
              </w:tc>
              <w:tc>
                <w:tcPr>
                  <w:tcW w:w="260" w:type="pct"/>
                  <w:tcBorders>
                    <w:top w:val="single" w:color="auto" w:sz="4" w:space="0"/>
                    <w:left w:val="nil"/>
                    <w:right w:val="single" w:color="auto" w:sz="4" w:space="0"/>
                  </w:tcBorders>
                  <w:vAlign w:val="center"/>
                </w:tcPr>
                <w:p w14:paraId="2A645EC0">
                  <w:pPr>
                    <w:jc w:val="center"/>
                    <w:rPr>
                      <w:bCs/>
                      <w:szCs w:val="21"/>
                    </w:rPr>
                  </w:pPr>
                  <w:r>
                    <w:rPr>
                      <w:bCs/>
                      <w:szCs w:val="21"/>
                    </w:rPr>
                    <w:t>环境风险防控</w:t>
                  </w:r>
                </w:p>
              </w:tc>
              <w:tc>
                <w:tcPr>
                  <w:tcW w:w="1485" w:type="pct"/>
                  <w:tcBorders>
                    <w:top w:val="single" w:color="auto" w:sz="4" w:space="0"/>
                    <w:left w:val="nil"/>
                    <w:right w:val="single" w:color="auto" w:sz="4" w:space="0"/>
                  </w:tcBorders>
                  <w:vAlign w:val="center"/>
                </w:tcPr>
                <w:p w14:paraId="6793BD32">
                  <w:pPr>
                    <w:widowControl/>
                    <w:kinsoku w:val="0"/>
                    <w:autoSpaceDE w:val="0"/>
                    <w:autoSpaceDN w:val="0"/>
                    <w:adjustRightInd w:val="0"/>
                    <w:snapToGrid w:val="0"/>
                    <w:spacing w:line="229" w:lineRule="auto"/>
                    <w:textAlignment w:val="baseline"/>
                    <w:rPr>
                      <w:b/>
                      <w:bCs/>
                      <w:szCs w:val="21"/>
                    </w:rPr>
                  </w:pPr>
                  <w:r>
                    <w:rPr>
                      <w:b/>
                      <w:bCs/>
                      <w:spacing w:val="9"/>
                      <w:szCs w:val="21"/>
                    </w:rPr>
                    <w:t>1</w:t>
                  </w:r>
                  <w:r>
                    <w:rPr>
                      <w:rFonts w:hint="eastAsia"/>
                      <w:b/>
                      <w:bCs/>
                      <w:spacing w:val="9"/>
                      <w:szCs w:val="21"/>
                    </w:rPr>
                    <w:t>）</w:t>
                  </w:r>
                  <w:r>
                    <w:rPr>
                      <w:b/>
                      <w:bCs/>
                      <w:spacing w:val="7"/>
                      <w:szCs w:val="21"/>
                    </w:rPr>
                    <w:t>联防联控要求</w:t>
                  </w:r>
                </w:p>
                <w:p w14:paraId="29CE1203">
                  <w:pPr>
                    <w:widowControl/>
                    <w:kinsoku w:val="0"/>
                    <w:autoSpaceDE w:val="0"/>
                    <w:autoSpaceDN w:val="0"/>
                    <w:adjustRightInd w:val="0"/>
                    <w:snapToGrid w:val="0"/>
                    <w:spacing w:line="251" w:lineRule="auto"/>
                    <w:ind w:firstLine="5"/>
                    <w:textAlignment w:val="baseline"/>
                    <w:rPr>
                      <w:szCs w:val="21"/>
                    </w:rPr>
                  </w:pPr>
                  <w:r>
                    <w:rPr>
                      <w:spacing w:val="15"/>
                      <w:szCs w:val="21"/>
                    </w:rPr>
                    <w:t>强</w:t>
                  </w:r>
                  <w:r>
                    <w:rPr>
                      <w:spacing w:val="9"/>
                      <w:szCs w:val="21"/>
                    </w:rPr>
                    <w:t>化区域联防联控，严格落实《关于建立跨省流域</w:t>
                  </w:r>
                  <w:r>
                    <w:rPr>
                      <w:spacing w:val="3"/>
                      <w:szCs w:val="21"/>
                    </w:rPr>
                    <w:t>上下游突发水污染事件联防联控机制的指导意见</w:t>
                  </w:r>
                  <w:r>
                    <w:rPr>
                      <w:spacing w:val="2"/>
                      <w:szCs w:val="21"/>
                    </w:rPr>
                    <w:t>》</w:t>
                  </w:r>
                  <w:r>
                    <w:rPr>
                      <w:szCs w:val="21"/>
                    </w:rPr>
                    <w:t>；</w:t>
                  </w:r>
                  <w:r>
                    <w:rPr>
                      <w:spacing w:val="18"/>
                      <w:szCs w:val="21"/>
                    </w:rPr>
                    <w:t>定</w:t>
                  </w:r>
                  <w:r>
                    <w:rPr>
                      <w:spacing w:val="11"/>
                      <w:szCs w:val="21"/>
                    </w:rPr>
                    <w:t>期</w:t>
                  </w:r>
                  <w:r>
                    <w:rPr>
                      <w:spacing w:val="9"/>
                      <w:szCs w:val="21"/>
                    </w:rPr>
                    <w:t>召开区域大气环境</w:t>
                  </w:r>
                  <w:r>
                    <w:rPr>
                      <w:rFonts w:hint="eastAsia"/>
                      <w:spacing w:val="9"/>
                      <w:szCs w:val="21"/>
                      <w:lang w:eastAsia="zh-CN"/>
                    </w:rPr>
                    <w:t>形势</w:t>
                  </w:r>
                  <w:r>
                    <w:rPr>
                      <w:spacing w:val="9"/>
                      <w:szCs w:val="21"/>
                    </w:rPr>
                    <w:t>分析会，强化信息共享</w:t>
                  </w:r>
                  <w:r>
                    <w:rPr>
                      <w:spacing w:val="13"/>
                      <w:szCs w:val="21"/>
                    </w:rPr>
                    <w:t>和</w:t>
                  </w:r>
                  <w:r>
                    <w:rPr>
                      <w:spacing w:val="10"/>
                      <w:szCs w:val="21"/>
                    </w:rPr>
                    <w:t>联动合作，实行环境规划，标准，环评，执法，</w:t>
                  </w:r>
                  <w:r>
                    <w:rPr>
                      <w:spacing w:val="3"/>
                      <w:szCs w:val="21"/>
                    </w:rPr>
                    <w:t>信息公开“六统一”，协力推进大气污染源头防</w:t>
                  </w:r>
                  <w:r>
                    <w:rPr>
                      <w:spacing w:val="2"/>
                      <w:szCs w:val="21"/>
                    </w:rPr>
                    <w:t>控</w:t>
                  </w:r>
                  <w:r>
                    <w:rPr>
                      <w:szCs w:val="21"/>
                    </w:rPr>
                    <w:t>，</w:t>
                  </w:r>
                  <w:r>
                    <w:rPr>
                      <w:spacing w:val="16"/>
                      <w:szCs w:val="21"/>
                    </w:rPr>
                    <w:t>加</w:t>
                  </w:r>
                  <w:r>
                    <w:rPr>
                      <w:spacing w:val="10"/>
                      <w:szCs w:val="21"/>
                    </w:rPr>
                    <w:t>强</w:t>
                  </w:r>
                  <w:r>
                    <w:rPr>
                      <w:spacing w:val="8"/>
                      <w:szCs w:val="21"/>
                    </w:rPr>
                    <w:t>川东北区域大气污染防治合作。</w:t>
                  </w:r>
                </w:p>
                <w:p w14:paraId="6195D7AD">
                  <w:pPr>
                    <w:widowControl/>
                    <w:kinsoku w:val="0"/>
                    <w:autoSpaceDE w:val="0"/>
                    <w:autoSpaceDN w:val="0"/>
                    <w:adjustRightInd w:val="0"/>
                    <w:snapToGrid w:val="0"/>
                    <w:spacing w:line="229" w:lineRule="auto"/>
                    <w:textAlignment w:val="baseline"/>
                    <w:rPr>
                      <w:b/>
                      <w:bCs/>
                      <w:szCs w:val="21"/>
                    </w:rPr>
                  </w:pPr>
                  <w:r>
                    <w:rPr>
                      <w:b/>
                      <w:bCs/>
                      <w:spacing w:val="9"/>
                      <w:szCs w:val="21"/>
                    </w:rPr>
                    <w:t>2</w:t>
                  </w:r>
                  <w:r>
                    <w:rPr>
                      <w:rFonts w:hint="eastAsia"/>
                      <w:b/>
                      <w:bCs/>
                      <w:spacing w:val="9"/>
                      <w:szCs w:val="21"/>
                    </w:rPr>
                    <w:t>）</w:t>
                  </w:r>
                  <w:r>
                    <w:rPr>
                      <w:b/>
                      <w:bCs/>
                      <w:spacing w:val="9"/>
                      <w:szCs w:val="21"/>
                    </w:rPr>
                    <w:t>其他环境风险防控要</w:t>
                  </w:r>
                  <w:r>
                    <w:rPr>
                      <w:b/>
                      <w:bCs/>
                      <w:spacing w:val="8"/>
                      <w:szCs w:val="21"/>
                    </w:rPr>
                    <w:t>求</w:t>
                  </w:r>
                </w:p>
                <w:p w14:paraId="4C7FF8D7">
                  <w:pPr>
                    <w:textAlignment w:val="bottom"/>
                    <w:rPr>
                      <w:bCs/>
                      <w:szCs w:val="21"/>
                    </w:rPr>
                  </w:pPr>
                  <w:r>
                    <w:rPr>
                      <w:spacing w:val="17"/>
                      <w:szCs w:val="21"/>
                    </w:rPr>
                    <w:t>企</w:t>
                  </w:r>
                  <w:r>
                    <w:rPr>
                      <w:spacing w:val="9"/>
                      <w:szCs w:val="21"/>
                    </w:rPr>
                    <w:t>业环境风险防控要求：现有涉及五类重金属的企</w:t>
                  </w:r>
                  <w:r>
                    <w:rPr>
                      <w:spacing w:val="18"/>
                      <w:szCs w:val="21"/>
                    </w:rPr>
                    <w:t>业</w:t>
                  </w:r>
                  <w:r>
                    <w:rPr>
                      <w:spacing w:val="12"/>
                      <w:szCs w:val="21"/>
                    </w:rPr>
                    <w:t>，</w:t>
                  </w:r>
                  <w:r>
                    <w:rPr>
                      <w:spacing w:val="9"/>
                      <w:szCs w:val="21"/>
                    </w:rPr>
                    <w:t>不得新增污染物排放，限期退城入园或关停。</w:t>
                  </w:r>
                  <w:r>
                    <w:rPr>
                      <w:spacing w:val="18"/>
                      <w:szCs w:val="21"/>
                    </w:rPr>
                    <w:t>用</w:t>
                  </w:r>
                  <w:r>
                    <w:rPr>
                      <w:spacing w:val="12"/>
                      <w:szCs w:val="21"/>
                    </w:rPr>
                    <w:t>地</w:t>
                  </w:r>
                  <w:r>
                    <w:rPr>
                      <w:spacing w:val="9"/>
                      <w:szCs w:val="21"/>
                    </w:rPr>
                    <w:t>环境风险防控要求：工业企业退出用地，须经</w:t>
                  </w:r>
                  <w:r>
                    <w:rPr>
                      <w:spacing w:val="12"/>
                      <w:szCs w:val="21"/>
                    </w:rPr>
                    <w:t>评</w:t>
                  </w:r>
                  <w:r>
                    <w:rPr>
                      <w:spacing w:val="9"/>
                      <w:szCs w:val="21"/>
                    </w:rPr>
                    <w:t>估、修复满足相应用地功能后，方可改变用途。</w:t>
                  </w:r>
                </w:p>
              </w:tc>
              <w:tc>
                <w:tcPr>
                  <w:tcW w:w="1253" w:type="pct"/>
                  <w:tcBorders>
                    <w:top w:val="single" w:color="auto" w:sz="4" w:space="0"/>
                    <w:left w:val="nil"/>
                    <w:right w:val="single" w:color="auto" w:sz="4" w:space="0"/>
                  </w:tcBorders>
                  <w:vAlign w:val="center"/>
                </w:tcPr>
                <w:p w14:paraId="647A26A5">
                  <w:pPr>
                    <w:widowControl/>
                    <w:rPr>
                      <w:bCs/>
                      <w:szCs w:val="21"/>
                    </w:rPr>
                  </w:pPr>
                  <w:r>
                    <w:rPr>
                      <w:color w:val="000000"/>
                      <w:kern w:val="0"/>
                      <w:szCs w:val="21"/>
                      <w:lang w:bidi="ar"/>
                    </w:rPr>
                    <w:t>本项目不涉及五类重金属，</w:t>
                  </w:r>
                  <w:r>
                    <w:rPr>
                      <w:kern w:val="0"/>
                      <w:sz w:val="18"/>
                      <w:szCs w:val="18"/>
                      <w:lang w:bidi="ar"/>
                    </w:rPr>
                    <w:t>用地类型为</w:t>
                  </w:r>
                  <w:r>
                    <w:rPr>
                      <w:rFonts w:hint="eastAsia"/>
                      <w:sz w:val="18"/>
                      <w:szCs w:val="18"/>
                    </w:rPr>
                    <w:t>规划的公共</w:t>
                  </w:r>
                  <w:r>
                    <w:rPr>
                      <w:rFonts w:hint="eastAsia"/>
                      <w:szCs w:val="21"/>
                    </w:rPr>
                    <w:t>设施用地（环卫用地）。</w:t>
                  </w:r>
                  <w:r>
                    <w:rPr>
                      <w:color w:val="000000"/>
                      <w:kern w:val="0"/>
                      <w:szCs w:val="21"/>
                      <w:lang w:bidi="ar"/>
                    </w:rPr>
                    <w:t>不改变土地用途。</w:t>
                  </w:r>
                </w:p>
              </w:tc>
              <w:tc>
                <w:tcPr>
                  <w:tcW w:w="260" w:type="pct"/>
                  <w:tcBorders>
                    <w:top w:val="single" w:color="auto" w:sz="4" w:space="0"/>
                    <w:left w:val="nil"/>
                    <w:right w:val="single" w:color="auto" w:sz="4" w:space="0"/>
                  </w:tcBorders>
                  <w:vAlign w:val="center"/>
                </w:tcPr>
                <w:p w14:paraId="3D298047">
                  <w:pPr>
                    <w:jc w:val="center"/>
                    <w:rPr>
                      <w:bCs/>
                      <w:szCs w:val="21"/>
                    </w:rPr>
                  </w:pPr>
                  <w:r>
                    <w:rPr>
                      <w:bCs/>
                      <w:szCs w:val="21"/>
                    </w:rPr>
                    <w:t>符合</w:t>
                  </w:r>
                </w:p>
              </w:tc>
            </w:tr>
            <w:tr w14:paraId="04A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16AD5468">
                  <w:pPr>
                    <w:jc w:val="center"/>
                    <w:rPr>
                      <w:bCs/>
                      <w:szCs w:val="21"/>
                    </w:rPr>
                  </w:pPr>
                </w:p>
              </w:tc>
              <w:tc>
                <w:tcPr>
                  <w:tcW w:w="302" w:type="pct"/>
                  <w:vMerge w:val="continue"/>
                  <w:tcBorders>
                    <w:left w:val="nil"/>
                    <w:right w:val="single" w:color="auto" w:sz="4" w:space="0"/>
                  </w:tcBorders>
                  <w:vAlign w:val="center"/>
                </w:tcPr>
                <w:p w14:paraId="128BE709">
                  <w:pPr>
                    <w:jc w:val="center"/>
                    <w:rPr>
                      <w:bCs/>
                      <w:szCs w:val="21"/>
                    </w:rPr>
                  </w:pPr>
                </w:p>
              </w:tc>
              <w:tc>
                <w:tcPr>
                  <w:tcW w:w="269" w:type="pct"/>
                  <w:vMerge w:val="continue"/>
                  <w:tcBorders>
                    <w:left w:val="nil"/>
                    <w:right w:val="single" w:color="auto" w:sz="4" w:space="0"/>
                  </w:tcBorders>
                  <w:vAlign w:val="center"/>
                </w:tcPr>
                <w:p w14:paraId="1C2B022A">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38FEBA15">
                  <w:pPr>
                    <w:jc w:val="center"/>
                    <w:rPr>
                      <w:bCs/>
                      <w:szCs w:val="21"/>
                    </w:rPr>
                  </w:pPr>
                  <w:r>
                    <w:rPr>
                      <w:bCs/>
                      <w:szCs w:val="21"/>
                    </w:rPr>
                    <w:t>资源开发效率</w:t>
                  </w:r>
                </w:p>
              </w:tc>
              <w:tc>
                <w:tcPr>
                  <w:tcW w:w="1485" w:type="pct"/>
                  <w:tcBorders>
                    <w:top w:val="single" w:color="auto" w:sz="4" w:space="0"/>
                    <w:left w:val="nil"/>
                    <w:bottom w:val="single" w:color="auto" w:sz="4" w:space="0"/>
                    <w:right w:val="single" w:color="auto" w:sz="4" w:space="0"/>
                  </w:tcBorders>
                  <w:vAlign w:val="center"/>
                </w:tcPr>
                <w:p w14:paraId="1F3593A5">
                  <w:pPr>
                    <w:widowControl/>
                    <w:kinsoku w:val="0"/>
                    <w:autoSpaceDE w:val="0"/>
                    <w:autoSpaceDN w:val="0"/>
                    <w:adjustRightInd w:val="0"/>
                    <w:snapToGrid w:val="0"/>
                    <w:spacing w:line="228" w:lineRule="auto"/>
                    <w:textAlignment w:val="baseline"/>
                    <w:rPr>
                      <w:b/>
                      <w:bCs/>
                      <w:szCs w:val="21"/>
                    </w:rPr>
                  </w:pPr>
                  <w:r>
                    <w:rPr>
                      <w:b/>
                      <w:bCs/>
                      <w:spacing w:val="11"/>
                      <w:szCs w:val="21"/>
                    </w:rPr>
                    <w:t>1</w:t>
                  </w:r>
                  <w:r>
                    <w:rPr>
                      <w:rFonts w:hint="eastAsia"/>
                      <w:b/>
                      <w:bCs/>
                      <w:spacing w:val="11"/>
                      <w:szCs w:val="21"/>
                    </w:rPr>
                    <w:t>）</w:t>
                  </w:r>
                  <w:r>
                    <w:rPr>
                      <w:b/>
                      <w:bCs/>
                      <w:spacing w:val="8"/>
                      <w:szCs w:val="21"/>
                    </w:rPr>
                    <w:t>水资源利用总量要求</w:t>
                  </w:r>
                </w:p>
                <w:p w14:paraId="656DD683">
                  <w:pPr>
                    <w:widowControl/>
                    <w:kinsoku w:val="0"/>
                    <w:autoSpaceDE w:val="0"/>
                    <w:autoSpaceDN w:val="0"/>
                    <w:adjustRightInd w:val="0"/>
                    <w:snapToGrid w:val="0"/>
                    <w:spacing w:line="251" w:lineRule="auto"/>
                    <w:ind w:firstLine="18"/>
                    <w:textAlignment w:val="baseline"/>
                    <w:rPr>
                      <w:szCs w:val="21"/>
                    </w:rPr>
                  </w:pPr>
                  <w:r>
                    <w:rPr>
                      <w:spacing w:val="2"/>
                      <w:szCs w:val="21"/>
                    </w:rPr>
                    <w:t>－到2025年，全国污水收集效</w:t>
                  </w:r>
                  <w:r>
                    <w:rPr>
                      <w:spacing w:val="1"/>
                      <w:szCs w:val="21"/>
                    </w:rPr>
                    <w:t>能显著提升，县城及</w:t>
                  </w:r>
                  <w:r>
                    <w:rPr>
                      <w:spacing w:val="18"/>
                      <w:szCs w:val="21"/>
                    </w:rPr>
                    <w:t>城</w:t>
                  </w:r>
                  <w:r>
                    <w:rPr>
                      <w:spacing w:val="11"/>
                      <w:szCs w:val="21"/>
                    </w:rPr>
                    <w:t>市</w:t>
                  </w:r>
                  <w:r>
                    <w:rPr>
                      <w:spacing w:val="9"/>
                      <w:szCs w:val="21"/>
                    </w:rPr>
                    <w:t>污水处理能力基本满足当地经济社会发展需</w:t>
                  </w:r>
                  <w:r>
                    <w:rPr>
                      <w:spacing w:val="11"/>
                      <w:szCs w:val="21"/>
                    </w:rPr>
                    <w:t>要</w:t>
                  </w:r>
                  <w:r>
                    <w:rPr>
                      <w:spacing w:val="9"/>
                      <w:szCs w:val="21"/>
                    </w:rPr>
                    <w:t>，水环境敏感地区污水处理基本实现提标升级；</w:t>
                  </w:r>
                  <w:r>
                    <w:rPr>
                      <w:spacing w:val="7"/>
                      <w:szCs w:val="21"/>
                    </w:rPr>
                    <w:t>全</w:t>
                  </w:r>
                  <w:r>
                    <w:rPr>
                      <w:spacing w:val="6"/>
                      <w:szCs w:val="21"/>
                    </w:rPr>
                    <w:t>国地级及以上缺水城市再生水利用率达到25%以</w:t>
                  </w:r>
                  <w:r>
                    <w:rPr>
                      <w:rFonts w:hint="eastAsia"/>
                      <w:spacing w:val="6"/>
                      <w:szCs w:val="21"/>
                    </w:rPr>
                    <w:t>上</w:t>
                  </w:r>
                  <w:r>
                    <w:rPr>
                      <w:position w:val="1"/>
                      <w:szCs w:val="21"/>
                    </w:rPr>
                    <w:t>。</w:t>
                  </w:r>
                </w:p>
                <w:p w14:paraId="41CB5AEC">
                  <w:pPr>
                    <w:widowControl/>
                    <w:kinsoku w:val="0"/>
                    <w:autoSpaceDE w:val="0"/>
                    <w:autoSpaceDN w:val="0"/>
                    <w:adjustRightInd w:val="0"/>
                    <w:snapToGrid w:val="0"/>
                    <w:spacing w:line="228" w:lineRule="auto"/>
                    <w:textAlignment w:val="baseline"/>
                    <w:rPr>
                      <w:szCs w:val="21"/>
                    </w:rPr>
                  </w:pPr>
                  <w:r>
                    <w:rPr>
                      <w:b/>
                      <w:bCs/>
                      <w:spacing w:val="13"/>
                      <w:szCs w:val="21"/>
                    </w:rPr>
                    <w:t>2</w:t>
                  </w:r>
                  <w:r>
                    <w:rPr>
                      <w:rFonts w:hint="eastAsia"/>
                      <w:b/>
                      <w:bCs/>
                      <w:spacing w:val="13"/>
                      <w:szCs w:val="21"/>
                    </w:rPr>
                    <w:t>）</w:t>
                  </w:r>
                  <w:r>
                    <w:rPr>
                      <w:b/>
                      <w:bCs/>
                      <w:spacing w:val="8"/>
                      <w:szCs w:val="21"/>
                    </w:rPr>
                    <w:t>地下水开采要求</w:t>
                  </w:r>
                </w:p>
                <w:p w14:paraId="316BE8D3">
                  <w:pPr>
                    <w:widowControl/>
                    <w:kinsoku w:val="0"/>
                    <w:autoSpaceDE w:val="0"/>
                    <w:autoSpaceDN w:val="0"/>
                    <w:adjustRightInd w:val="0"/>
                    <w:snapToGrid w:val="0"/>
                    <w:spacing w:line="228" w:lineRule="auto"/>
                    <w:textAlignment w:val="baseline"/>
                    <w:rPr>
                      <w:szCs w:val="21"/>
                    </w:rPr>
                  </w:pPr>
                  <w:r>
                    <w:rPr>
                      <w:spacing w:val="9"/>
                      <w:szCs w:val="21"/>
                    </w:rPr>
                    <w:t>以</w:t>
                  </w:r>
                  <w:r>
                    <w:rPr>
                      <w:spacing w:val="6"/>
                      <w:szCs w:val="21"/>
                    </w:rPr>
                    <w:t>省市下发指标为准</w:t>
                  </w:r>
                  <w:r>
                    <w:rPr>
                      <w:rFonts w:hint="eastAsia"/>
                      <w:spacing w:val="6"/>
                      <w:szCs w:val="21"/>
                    </w:rPr>
                    <w:t>。</w:t>
                  </w:r>
                </w:p>
                <w:p w14:paraId="13CFBF5F">
                  <w:pPr>
                    <w:widowControl/>
                    <w:kinsoku w:val="0"/>
                    <w:autoSpaceDE w:val="0"/>
                    <w:autoSpaceDN w:val="0"/>
                    <w:adjustRightInd w:val="0"/>
                    <w:snapToGrid w:val="0"/>
                    <w:spacing w:line="228" w:lineRule="auto"/>
                    <w:textAlignment w:val="baseline"/>
                    <w:rPr>
                      <w:szCs w:val="21"/>
                    </w:rPr>
                  </w:pPr>
                  <w:r>
                    <w:rPr>
                      <w:b/>
                      <w:bCs/>
                      <w:spacing w:val="12"/>
                      <w:szCs w:val="21"/>
                    </w:rPr>
                    <w:t>3</w:t>
                  </w:r>
                  <w:r>
                    <w:rPr>
                      <w:rFonts w:hint="eastAsia"/>
                      <w:b/>
                      <w:bCs/>
                      <w:spacing w:val="12"/>
                      <w:szCs w:val="21"/>
                    </w:rPr>
                    <w:t>）</w:t>
                  </w:r>
                  <w:r>
                    <w:rPr>
                      <w:b/>
                      <w:bCs/>
                      <w:spacing w:val="9"/>
                      <w:szCs w:val="21"/>
                    </w:rPr>
                    <w:t>能源利用总量及效率要求</w:t>
                  </w:r>
                </w:p>
                <w:p w14:paraId="23ED5563">
                  <w:pPr>
                    <w:widowControl/>
                    <w:kinsoku w:val="0"/>
                    <w:autoSpaceDE w:val="0"/>
                    <w:autoSpaceDN w:val="0"/>
                    <w:adjustRightInd w:val="0"/>
                    <w:snapToGrid w:val="0"/>
                    <w:spacing w:line="228" w:lineRule="auto"/>
                    <w:textAlignment w:val="baseline"/>
                    <w:rPr>
                      <w:szCs w:val="21"/>
                    </w:rPr>
                  </w:pPr>
                  <w:r>
                    <w:rPr>
                      <w:spacing w:val="10"/>
                      <w:szCs w:val="21"/>
                    </w:rPr>
                    <w:t>－</w:t>
                  </w:r>
                  <w:r>
                    <w:rPr>
                      <w:spacing w:val="8"/>
                      <w:szCs w:val="21"/>
                    </w:rPr>
                    <w:t>严控使用燃煤等高污染燃料，禁止焚烧垃圾。</w:t>
                  </w:r>
                </w:p>
                <w:p w14:paraId="62F18171">
                  <w:pPr>
                    <w:widowControl/>
                    <w:kinsoku w:val="0"/>
                    <w:autoSpaceDE w:val="0"/>
                    <w:autoSpaceDN w:val="0"/>
                    <w:adjustRightInd w:val="0"/>
                    <w:snapToGrid w:val="0"/>
                    <w:spacing w:line="244" w:lineRule="auto"/>
                    <w:ind w:firstLine="19"/>
                    <w:textAlignment w:val="baseline"/>
                    <w:rPr>
                      <w:szCs w:val="21"/>
                    </w:rPr>
                  </w:pPr>
                  <w:r>
                    <w:rPr>
                      <w:spacing w:val="2"/>
                      <w:szCs w:val="21"/>
                    </w:rPr>
                    <w:t>－全面淘汰每小时10蒸吨以下的燃</w:t>
                  </w:r>
                  <w:r>
                    <w:rPr>
                      <w:spacing w:val="1"/>
                      <w:szCs w:val="21"/>
                    </w:rPr>
                    <w:t>煤锅炉；在供气</w:t>
                  </w:r>
                  <w:r>
                    <w:rPr>
                      <w:spacing w:val="18"/>
                      <w:szCs w:val="21"/>
                    </w:rPr>
                    <w:t>管</w:t>
                  </w:r>
                  <w:r>
                    <w:rPr>
                      <w:spacing w:val="12"/>
                      <w:szCs w:val="21"/>
                    </w:rPr>
                    <w:t>网</w:t>
                  </w:r>
                  <w:r>
                    <w:rPr>
                      <w:spacing w:val="9"/>
                      <w:szCs w:val="21"/>
                    </w:rPr>
                    <w:t>覆盖不到的其他地区，改用电、新能源或洁净</w:t>
                  </w:r>
                  <w:r>
                    <w:rPr>
                      <w:spacing w:val="1"/>
                      <w:szCs w:val="21"/>
                    </w:rPr>
                    <w:t>煤</w:t>
                  </w:r>
                  <w:r>
                    <w:rPr>
                      <w:szCs w:val="21"/>
                    </w:rPr>
                    <w:t>。</w:t>
                  </w:r>
                </w:p>
                <w:p w14:paraId="65FFBB05">
                  <w:pPr>
                    <w:widowControl/>
                    <w:kinsoku w:val="0"/>
                    <w:autoSpaceDE w:val="0"/>
                    <w:autoSpaceDN w:val="0"/>
                    <w:adjustRightInd w:val="0"/>
                    <w:snapToGrid w:val="0"/>
                    <w:spacing w:line="247" w:lineRule="auto"/>
                    <w:ind w:firstLine="19"/>
                    <w:textAlignment w:val="baseline"/>
                    <w:rPr>
                      <w:szCs w:val="21"/>
                    </w:rPr>
                  </w:pPr>
                  <w:r>
                    <w:rPr>
                      <w:spacing w:val="10"/>
                      <w:szCs w:val="21"/>
                    </w:rPr>
                    <w:t>－地级</w:t>
                  </w:r>
                  <w:r>
                    <w:rPr>
                      <w:spacing w:val="7"/>
                      <w:szCs w:val="21"/>
                    </w:rPr>
                    <w:t>以</w:t>
                  </w:r>
                  <w:r>
                    <w:rPr>
                      <w:spacing w:val="5"/>
                      <w:szCs w:val="21"/>
                    </w:rPr>
                    <w:t>上城市建成区禁止新建每小时20蒸吨以</w:t>
                  </w:r>
                  <w:r>
                    <w:rPr>
                      <w:spacing w:val="4"/>
                      <w:szCs w:val="21"/>
                    </w:rPr>
                    <w:t>下燃煤锅炉</w:t>
                  </w:r>
                  <w:r>
                    <w:rPr>
                      <w:spacing w:val="2"/>
                      <w:szCs w:val="21"/>
                    </w:rPr>
                    <w:t>；对20蒸吨及以上燃煤锅炉实施脱硫改</w:t>
                  </w:r>
                  <w:r>
                    <w:rPr>
                      <w:spacing w:val="18"/>
                      <w:szCs w:val="21"/>
                    </w:rPr>
                    <w:t>造</w:t>
                  </w:r>
                  <w:r>
                    <w:rPr>
                      <w:spacing w:val="12"/>
                      <w:szCs w:val="21"/>
                    </w:rPr>
                    <w:t>，</w:t>
                  </w:r>
                  <w:r>
                    <w:rPr>
                      <w:spacing w:val="9"/>
                      <w:szCs w:val="21"/>
                    </w:rPr>
                    <w:t>建设高效脱硫设施；对循环流化床锅炉以外的</w:t>
                  </w:r>
                  <w:r>
                    <w:rPr>
                      <w:spacing w:val="18"/>
                      <w:szCs w:val="21"/>
                    </w:rPr>
                    <w:t>燃</w:t>
                  </w:r>
                  <w:r>
                    <w:rPr>
                      <w:spacing w:val="12"/>
                      <w:szCs w:val="21"/>
                    </w:rPr>
                    <w:t>煤</w:t>
                  </w:r>
                  <w:r>
                    <w:rPr>
                      <w:spacing w:val="9"/>
                      <w:szCs w:val="21"/>
                    </w:rPr>
                    <w:t>发电机组一律安装脱硫设施，对燃煤锅炉和工</w:t>
                  </w:r>
                  <w:r>
                    <w:rPr>
                      <w:spacing w:val="18"/>
                      <w:szCs w:val="21"/>
                    </w:rPr>
                    <w:t>业</w:t>
                  </w:r>
                  <w:r>
                    <w:rPr>
                      <w:spacing w:val="12"/>
                      <w:szCs w:val="21"/>
                    </w:rPr>
                    <w:t>锅</w:t>
                  </w:r>
                  <w:r>
                    <w:rPr>
                      <w:spacing w:val="9"/>
                      <w:szCs w:val="21"/>
                    </w:rPr>
                    <w:t>炉现有除尘设施实施升级改造，确保达到新的</w:t>
                  </w:r>
                  <w:r>
                    <w:rPr>
                      <w:spacing w:val="13"/>
                      <w:szCs w:val="21"/>
                    </w:rPr>
                    <w:t>排</w:t>
                  </w:r>
                  <w:r>
                    <w:rPr>
                      <w:spacing w:val="8"/>
                      <w:szCs w:val="21"/>
                    </w:rPr>
                    <w:t>放标准和特别排放限值。</w:t>
                  </w:r>
                </w:p>
                <w:p w14:paraId="1EB68908">
                  <w:pPr>
                    <w:widowControl/>
                    <w:kinsoku w:val="0"/>
                    <w:autoSpaceDE w:val="0"/>
                    <w:autoSpaceDN w:val="0"/>
                    <w:adjustRightInd w:val="0"/>
                    <w:snapToGrid w:val="0"/>
                    <w:spacing w:line="228" w:lineRule="auto"/>
                    <w:textAlignment w:val="baseline"/>
                    <w:rPr>
                      <w:szCs w:val="21"/>
                    </w:rPr>
                  </w:pPr>
                  <w:r>
                    <w:rPr>
                      <w:b/>
                      <w:bCs/>
                      <w:spacing w:val="8"/>
                      <w:szCs w:val="21"/>
                    </w:rPr>
                    <w:t>4</w:t>
                  </w:r>
                  <w:r>
                    <w:rPr>
                      <w:rFonts w:hint="eastAsia"/>
                      <w:b/>
                      <w:bCs/>
                      <w:spacing w:val="8"/>
                      <w:szCs w:val="21"/>
                    </w:rPr>
                    <w:t>）</w:t>
                  </w:r>
                  <w:r>
                    <w:rPr>
                      <w:b/>
                      <w:bCs/>
                      <w:spacing w:val="8"/>
                      <w:szCs w:val="21"/>
                    </w:rPr>
                    <w:t>禁燃区要</w:t>
                  </w:r>
                  <w:r>
                    <w:rPr>
                      <w:b/>
                      <w:bCs/>
                      <w:spacing w:val="6"/>
                      <w:szCs w:val="21"/>
                    </w:rPr>
                    <w:t>求</w:t>
                  </w:r>
                </w:p>
                <w:p w14:paraId="5BB3C60E">
                  <w:pPr>
                    <w:widowControl/>
                    <w:kinsoku w:val="0"/>
                    <w:autoSpaceDE w:val="0"/>
                    <w:autoSpaceDN w:val="0"/>
                    <w:adjustRightInd w:val="0"/>
                    <w:snapToGrid w:val="0"/>
                    <w:spacing w:line="239" w:lineRule="auto"/>
                    <w:ind w:firstLine="11"/>
                    <w:textAlignment w:val="baseline"/>
                    <w:rPr>
                      <w:spacing w:val="3"/>
                      <w:szCs w:val="21"/>
                    </w:rPr>
                  </w:pPr>
                  <w:r>
                    <w:rPr>
                      <w:spacing w:val="16"/>
                      <w:szCs w:val="21"/>
                    </w:rPr>
                    <w:t>－</w:t>
                  </w:r>
                  <w:r>
                    <w:rPr>
                      <w:spacing w:val="14"/>
                      <w:szCs w:val="21"/>
                    </w:rPr>
                    <w:t>高</w:t>
                  </w:r>
                  <w:r>
                    <w:rPr>
                      <w:spacing w:val="8"/>
                      <w:szCs w:val="21"/>
                    </w:rPr>
                    <w:t>污染燃料禁燃区内禁止燃用的燃料为《高污染</w:t>
                  </w:r>
                  <w:r>
                    <w:rPr>
                      <w:spacing w:val="4"/>
                      <w:szCs w:val="21"/>
                    </w:rPr>
                    <w:t>燃料目录》</w:t>
                  </w:r>
                  <w:r>
                    <w:rPr>
                      <w:rFonts w:hint="eastAsia"/>
                      <w:spacing w:val="4"/>
                      <w:szCs w:val="21"/>
                    </w:rPr>
                    <w:t>（</w:t>
                  </w:r>
                  <w:r>
                    <w:rPr>
                      <w:spacing w:val="4"/>
                      <w:szCs w:val="21"/>
                    </w:rPr>
                    <w:t>2017</w:t>
                  </w:r>
                  <w:r>
                    <w:rPr>
                      <w:rFonts w:hint="eastAsia"/>
                      <w:spacing w:val="4"/>
                      <w:szCs w:val="21"/>
                    </w:rPr>
                    <w:t>）</w:t>
                  </w:r>
                  <w:r>
                    <w:rPr>
                      <w:spacing w:val="4"/>
                      <w:szCs w:val="21"/>
                    </w:rPr>
                    <w:t>中Ⅲ类</w:t>
                  </w:r>
                  <w:r>
                    <w:rPr>
                      <w:rFonts w:hint="eastAsia"/>
                      <w:spacing w:val="4"/>
                      <w:szCs w:val="21"/>
                    </w:rPr>
                    <w:t>（</w:t>
                  </w:r>
                  <w:r>
                    <w:rPr>
                      <w:spacing w:val="4"/>
                      <w:szCs w:val="21"/>
                    </w:rPr>
                    <w:t>严格</w:t>
                  </w:r>
                  <w:r>
                    <w:rPr>
                      <w:rFonts w:hint="eastAsia"/>
                      <w:spacing w:val="4"/>
                      <w:szCs w:val="21"/>
                    </w:rPr>
                    <w:t>）</w:t>
                  </w:r>
                  <w:r>
                    <w:rPr>
                      <w:spacing w:val="4"/>
                      <w:szCs w:val="21"/>
                    </w:rPr>
                    <w:t>燃料组合</w:t>
                  </w:r>
                  <w:r>
                    <w:rPr>
                      <w:spacing w:val="2"/>
                      <w:szCs w:val="21"/>
                    </w:rPr>
                    <w:t>，</w:t>
                  </w:r>
                  <w:r>
                    <w:rPr>
                      <w:szCs w:val="21"/>
                    </w:rPr>
                    <w:t>包</w:t>
                  </w:r>
                  <w:r>
                    <w:rPr>
                      <w:spacing w:val="-14"/>
                      <w:szCs w:val="21"/>
                    </w:rPr>
                    <w:t>括</w:t>
                  </w:r>
                  <w:r>
                    <w:rPr>
                      <w:spacing w:val="-9"/>
                      <w:szCs w:val="21"/>
                    </w:rPr>
                    <w:t>：</w:t>
                  </w:r>
                  <w:r>
                    <w:rPr>
                      <w:rFonts w:hint="eastAsia"/>
                      <w:spacing w:val="-7"/>
                      <w:szCs w:val="21"/>
                    </w:rPr>
                    <w:t>（</w:t>
                  </w:r>
                  <w:r>
                    <w:rPr>
                      <w:spacing w:val="-7"/>
                      <w:szCs w:val="21"/>
                    </w:rPr>
                    <w:t>一</w:t>
                  </w:r>
                  <w:r>
                    <w:rPr>
                      <w:rFonts w:hint="eastAsia"/>
                      <w:spacing w:val="-7"/>
                      <w:szCs w:val="21"/>
                    </w:rPr>
                    <w:t>）</w:t>
                  </w:r>
                  <w:r>
                    <w:rPr>
                      <w:spacing w:val="-7"/>
                      <w:szCs w:val="21"/>
                    </w:rPr>
                    <w:t>煤炭及其制品；</w:t>
                  </w:r>
                  <w:r>
                    <w:rPr>
                      <w:rFonts w:hint="eastAsia"/>
                      <w:spacing w:val="-7"/>
                      <w:szCs w:val="21"/>
                    </w:rPr>
                    <w:t>（</w:t>
                  </w:r>
                  <w:r>
                    <w:rPr>
                      <w:spacing w:val="-7"/>
                      <w:szCs w:val="21"/>
                    </w:rPr>
                    <w:t>二</w:t>
                  </w:r>
                  <w:r>
                    <w:rPr>
                      <w:rFonts w:hint="eastAsia"/>
                      <w:spacing w:val="-7"/>
                      <w:szCs w:val="21"/>
                    </w:rPr>
                    <w:t>）</w:t>
                  </w:r>
                  <w:r>
                    <w:rPr>
                      <w:spacing w:val="-7"/>
                      <w:szCs w:val="21"/>
                    </w:rPr>
                    <w:t>石油焦、油页岩、</w:t>
                  </w:r>
                  <w:r>
                    <w:rPr>
                      <w:spacing w:val="8"/>
                      <w:szCs w:val="21"/>
                    </w:rPr>
                    <w:t>原油</w:t>
                  </w:r>
                  <w:r>
                    <w:rPr>
                      <w:spacing w:val="6"/>
                      <w:szCs w:val="21"/>
                    </w:rPr>
                    <w:t>、</w:t>
                  </w:r>
                  <w:r>
                    <w:rPr>
                      <w:spacing w:val="4"/>
                      <w:szCs w:val="21"/>
                    </w:rPr>
                    <w:t>重油、渣油、煤焦油；</w:t>
                  </w:r>
                  <w:r>
                    <w:rPr>
                      <w:rFonts w:hint="eastAsia"/>
                      <w:spacing w:val="4"/>
                      <w:szCs w:val="21"/>
                    </w:rPr>
                    <w:t>（</w:t>
                  </w:r>
                  <w:r>
                    <w:rPr>
                      <w:spacing w:val="4"/>
                      <w:szCs w:val="21"/>
                    </w:rPr>
                    <w:t>三</w:t>
                  </w:r>
                  <w:r>
                    <w:rPr>
                      <w:rFonts w:hint="eastAsia"/>
                      <w:spacing w:val="4"/>
                      <w:szCs w:val="21"/>
                    </w:rPr>
                    <w:t>）</w:t>
                  </w:r>
                  <w:r>
                    <w:rPr>
                      <w:spacing w:val="4"/>
                      <w:szCs w:val="21"/>
                    </w:rPr>
                    <w:t>非专用锅炉或</w:t>
                  </w:r>
                  <w:r>
                    <w:rPr>
                      <w:spacing w:val="18"/>
                      <w:szCs w:val="21"/>
                    </w:rPr>
                    <w:t>未</w:t>
                  </w:r>
                  <w:r>
                    <w:rPr>
                      <w:spacing w:val="12"/>
                      <w:szCs w:val="21"/>
                    </w:rPr>
                    <w:t>配</w:t>
                  </w:r>
                  <w:r>
                    <w:rPr>
                      <w:spacing w:val="9"/>
                      <w:szCs w:val="21"/>
                    </w:rPr>
                    <w:t>置高效除尘设施的专用锅炉燃用的生物质成型</w:t>
                  </w:r>
                  <w:r>
                    <w:rPr>
                      <w:spacing w:val="4"/>
                      <w:szCs w:val="21"/>
                    </w:rPr>
                    <w:t>燃</w:t>
                  </w:r>
                  <w:r>
                    <w:rPr>
                      <w:spacing w:val="3"/>
                      <w:szCs w:val="21"/>
                    </w:rPr>
                    <w:t>料。</w:t>
                  </w:r>
                </w:p>
                <w:p w14:paraId="1AC1F23C">
                  <w:pPr>
                    <w:widowControl/>
                    <w:kinsoku w:val="0"/>
                    <w:autoSpaceDE w:val="0"/>
                    <w:autoSpaceDN w:val="0"/>
                    <w:adjustRightInd w:val="0"/>
                    <w:snapToGrid w:val="0"/>
                    <w:spacing w:line="239" w:lineRule="auto"/>
                    <w:ind w:firstLine="11"/>
                    <w:textAlignment w:val="baseline"/>
                    <w:rPr>
                      <w:szCs w:val="21"/>
                    </w:rPr>
                  </w:pPr>
                  <w:r>
                    <w:rPr>
                      <w:spacing w:val="4"/>
                      <w:szCs w:val="21"/>
                    </w:rPr>
                    <w:t>－禁燃区内禁止</w:t>
                  </w:r>
                  <w:r>
                    <w:rPr>
                      <w:spacing w:val="3"/>
                      <w:szCs w:val="21"/>
                    </w:rPr>
                    <w:t>销</w:t>
                  </w:r>
                  <w:r>
                    <w:rPr>
                      <w:spacing w:val="2"/>
                      <w:szCs w:val="21"/>
                    </w:rPr>
                    <w:t>售、燃用高污染燃料；禁止新建、</w:t>
                  </w:r>
                  <w:r>
                    <w:rPr>
                      <w:spacing w:val="16"/>
                      <w:szCs w:val="21"/>
                    </w:rPr>
                    <w:t>改</w:t>
                  </w:r>
                  <w:r>
                    <w:rPr>
                      <w:spacing w:val="10"/>
                      <w:szCs w:val="21"/>
                    </w:rPr>
                    <w:t>建</w:t>
                  </w:r>
                  <w:r>
                    <w:rPr>
                      <w:spacing w:val="8"/>
                      <w:szCs w:val="21"/>
                    </w:rPr>
                    <w:t>、扩建燃用高污染燃料的设施和设备。</w:t>
                  </w:r>
                </w:p>
                <w:p w14:paraId="1D76B7E6">
                  <w:pPr>
                    <w:widowControl/>
                    <w:kinsoku w:val="0"/>
                    <w:autoSpaceDE w:val="0"/>
                    <w:autoSpaceDN w:val="0"/>
                    <w:adjustRightInd w:val="0"/>
                    <w:snapToGrid w:val="0"/>
                    <w:spacing w:line="245" w:lineRule="auto"/>
                    <w:ind w:firstLine="17"/>
                    <w:textAlignment w:val="baseline"/>
                    <w:rPr>
                      <w:szCs w:val="21"/>
                    </w:rPr>
                  </w:pPr>
                  <w:r>
                    <w:rPr>
                      <w:spacing w:val="16"/>
                      <w:szCs w:val="21"/>
                    </w:rPr>
                    <w:t>－</w:t>
                  </w:r>
                  <w:r>
                    <w:rPr>
                      <w:spacing w:val="14"/>
                      <w:szCs w:val="21"/>
                    </w:rPr>
                    <w:t>禁</w:t>
                  </w:r>
                  <w:r>
                    <w:rPr>
                      <w:spacing w:val="8"/>
                      <w:szCs w:val="21"/>
                    </w:rPr>
                    <w:t>燃区内已建成的高污染燃料燃用设施由辖区人</w:t>
                  </w:r>
                  <w:r>
                    <w:rPr>
                      <w:spacing w:val="18"/>
                      <w:szCs w:val="21"/>
                    </w:rPr>
                    <w:t>民</w:t>
                  </w:r>
                  <w:r>
                    <w:rPr>
                      <w:spacing w:val="9"/>
                      <w:szCs w:val="21"/>
                    </w:rPr>
                    <w:t>政府制定限期改造计划，改用天然气、页岩气、</w:t>
                  </w:r>
                  <w:r>
                    <w:rPr>
                      <w:spacing w:val="2"/>
                      <w:szCs w:val="21"/>
                    </w:rPr>
                    <w:t>液化石油气、电或其他</w:t>
                  </w:r>
                  <w:r>
                    <w:rPr>
                      <w:spacing w:val="1"/>
                      <w:szCs w:val="21"/>
                    </w:rPr>
                    <w:t>清洁能源。</w:t>
                  </w:r>
                </w:p>
                <w:p w14:paraId="6E79ACB2">
                  <w:pPr>
                    <w:widowControl/>
                    <w:kinsoku w:val="0"/>
                    <w:autoSpaceDE w:val="0"/>
                    <w:autoSpaceDN w:val="0"/>
                    <w:adjustRightInd w:val="0"/>
                    <w:snapToGrid w:val="0"/>
                    <w:spacing w:line="228" w:lineRule="auto"/>
                    <w:textAlignment w:val="baseline"/>
                    <w:rPr>
                      <w:szCs w:val="21"/>
                    </w:rPr>
                  </w:pPr>
                  <w:r>
                    <w:rPr>
                      <w:b/>
                      <w:bCs/>
                      <w:spacing w:val="9"/>
                      <w:szCs w:val="21"/>
                    </w:rPr>
                    <w:t>5</w:t>
                  </w:r>
                  <w:r>
                    <w:rPr>
                      <w:rFonts w:hint="eastAsia"/>
                      <w:b/>
                      <w:bCs/>
                      <w:spacing w:val="9"/>
                      <w:szCs w:val="21"/>
                    </w:rPr>
                    <w:t>）</w:t>
                  </w:r>
                  <w:r>
                    <w:rPr>
                      <w:b/>
                      <w:bCs/>
                      <w:spacing w:val="9"/>
                      <w:szCs w:val="21"/>
                    </w:rPr>
                    <w:t>其他资源利用效率要</w:t>
                  </w:r>
                  <w:r>
                    <w:rPr>
                      <w:b/>
                      <w:bCs/>
                      <w:spacing w:val="6"/>
                      <w:szCs w:val="21"/>
                    </w:rPr>
                    <w:t>求</w:t>
                  </w:r>
                </w:p>
                <w:p w14:paraId="4CE32711">
                  <w:pPr>
                    <w:textAlignment w:val="bottom"/>
                    <w:rPr>
                      <w:bCs/>
                      <w:szCs w:val="21"/>
                    </w:rPr>
                  </w:pPr>
                  <w:r>
                    <w:rPr>
                      <w:spacing w:val="2"/>
                      <w:szCs w:val="21"/>
                    </w:rPr>
                    <w:t>暂</w:t>
                  </w:r>
                  <w:r>
                    <w:rPr>
                      <w:spacing w:val="1"/>
                      <w:szCs w:val="21"/>
                    </w:rPr>
                    <w:t>无</w:t>
                  </w:r>
                  <w:r>
                    <w:rPr>
                      <w:rFonts w:hint="eastAsia"/>
                      <w:spacing w:val="1"/>
                      <w:szCs w:val="21"/>
                    </w:rPr>
                    <w:t>。</w:t>
                  </w:r>
                </w:p>
              </w:tc>
              <w:tc>
                <w:tcPr>
                  <w:tcW w:w="1253" w:type="pct"/>
                  <w:tcBorders>
                    <w:top w:val="single" w:color="auto" w:sz="4" w:space="0"/>
                    <w:left w:val="nil"/>
                    <w:bottom w:val="single" w:color="auto" w:sz="4" w:space="0"/>
                    <w:right w:val="single" w:color="auto" w:sz="4" w:space="0"/>
                  </w:tcBorders>
                  <w:vAlign w:val="center"/>
                </w:tcPr>
                <w:p w14:paraId="415EA180">
                  <w:pPr>
                    <w:pStyle w:val="11"/>
                    <w:widowControl w:val="0"/>
                    <w:kinsoku w:val="0"/>
                    <w:overflowPunct w:val="0"/>
                    <w:spacing w:before="0" w:after="0" w:line="240" w:lineRule="auto"/>
                    <w:ind w:right="0"/>
                    <w:rPr>
                      <w:bCs/>
                      <w:sz w:val="21"/>
                      <w:szCs w:val="21"/>
                    </w:rPr>
                  </w:pPr>
                  <w:r>
                    <w:rPr>
                      <w:sz w:val="21"/>
                      <w:szCs w:val="21"/>
                    </w:rPr>
                    <w:t>本项目主要能耗为电和水，</w:t>
                  </w:r>
                  <w:r>
                    <w:rPr>
                      <w:rFonts w:hint="eastAsia"/>
                      <w:sz w:val="21"/>
                      <w:szCs w:val="21"/>
                    </w:rPr>
                    <w:t>不涉及地下水开采，</w:t>
                  </w:r>
                  <w:r>
                    <w:rPr>
                      <w:sz w:val="21"/>
                      <w:szCs w:val="21"/>
                    </w:rPr>
                    <w:t>不涉及燃煤</w:t>
                  </w:r>
                  <w:r>
                    <w:rPr>
                      <w:rFonts w:hint="eastAsia"/>
                      <w:sz w:val="21"/>
                      <w:szCs w:val="21"/>
                    </w:rPr>
                    <w:t>、油</w:t>
                  </w:r>
                  <w:r>
                    <w:rPr>
                      <w:sz w:val="21"/>
                      <w:szCs w:val="21"/>
                    </w:rPr>
                    <w:t>等高污染燃料、锅炉等</w:t>
                  </w:r>
                  <w:r>
                    <w:rPr>
                      <w:rFonts w:hint="eastAsia"/>
                      <w:sz w:val="21"/>
                      <w:szCs w:val="21"/>
                    </w:rPr>
                    <w:t>。</w:t>
                  </w:r>
                </w:p>
              </w:tc>
              <w:tc>
                <w:tcPr>
                  <w:tcW w:w="260" w:type="pct"/>
                  <w:tcBorders>
                    <w:top w:val="single" w:color="auto" w:sz="4" w:space="0"/>
                    <w:left w:val="nil"/>
                    <w:bottom w:val="single" w:color="auto" w:sz="4" w:space="0"/>
                    <w:right w:val="single" w:color="auto" w:sz="4" w:space="0"/>
                  </w:tcBorders>
                  <w:vAlign w:val="center"/>
                </w:tcPr>
                <w:p w14:paraId="66667BAC">
                  <w:pPr>
                    <w:jc w:val="center"/>
                    <w:rPr>
                      <w:bCs/>
                      <w:szCs w:val="21"/>
                    </w:rPr>
                  </w:pPr>
                  <w:r>
                    <w:rPr>
                      <w:bCs/>
                      <w:szCs w:val="21"/>
                    </w:rPr>
                    <w:t>符合</w:t>
                  </w:r>
                </w:p>
              </w:tc>
            </w:tr>
            <w:tr w14:paraId="2A9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0A321D4A">
                  <w:pPr>
                    <w:jc w:val="center"/>
                    <w:rPr>
                      <w:bCs/>
                      <w:szCs w:val="21"/>
                    </w:rPr>
                  </w:pPr>
                </w:p>
              </w:tc>
              <w:tc>
                <w:tcPr>
                  <w:tcW w:w="302" w:type="pct"/>
                  <w:vMerge w:val="continue"/>
                  <w:tcBorders>
                    <w:left w:val="nil"/>
                    <w:right w:val="single" w:color="auto" w:sz="4" w:space="0"/>
                  </w:tcBorders>
                  <w:vAlign w:val="center"/>
                </w:tcPr>
                <w:p w14:paraId="3F9A6425">
                  <w:pPr>
                    <w:jc w:val="center"/>
                    <w:rPr>
                      <w:bCs/>
                      <w:szCs w:val="21"/>
                    </w:rPr>
                  </w:pPr>
                </w:p>
              </w:tc>
              <w:tc>
                <w:tcPr>
                  <w:tcW w:w="269" w:type="pct"/>
                  <w:vMerge w:val="restart"/>
                  <w:tcBorders>
                    <w:left w:val="nil"/>
                    <w:right w:val="single" w:color="auto" w:sz="4" w:space="0"/>
                  </w:tcBorders>
                  <w:vAlign w:val="center"/>
                </w:tcPr>
                <w:p w14:paraId="2100A520">
                  <w:pPr>
                    <w:jc w:val="center"/>
                    <w:rPr>
                      <w:bCs/>
                      <w:szCs w:val="21"/>
                    </w:rPr>
                  </w:pPr>
                  <w:r>
                    <w:rPr>
                      <w:bCs/>
                      <w:szCs w:val="21"/>
                    </w:rPr>
                    <w:t>单元级清单管控要求</w:t>
                  </w:r>
                </w:p>
              </w:tc>
              <w:tc>
                <w:tcPr>
                  <w:tcW w:w="260" w:type="pct"/>
                  <w:tcBorders>
                    <w:top w:val="single" w:color="auto" w:sz="4" w:space="0"/>
                    <w:left w:val="nil"/>
                    <w:bottom w:val="single" w:color="auto" w:sz="4" w:space="0"/>
                    <w:right w:val="single" w:color="auto" w:sz="4" w:space="0"/>
                  </w:tcBorders>
                  <w:vAlign w:val="center"/>
                </w:tcPr>
                <w:p w14:paraId="30CB939E">
                  <w:pPr>
                    <w:jc w:val="center"/>
                    <w:rPr>
                      <w:b/>
                      <w:bCs/>
                      <w:szCs w:val="21"/>
                    </w:rPr>
                  </w:pPr>
                  <w:r>
                    <w:rPr>
                      <w:bCs/>
                      <w:szCs w:val="21"/>
                    </w:rPr>
                    <w:t>空间布局约束</w:t>
                  </w:r>
                </w:p>
              </w:tc>
              <w:tc>
                <w:tcPr>
                  <w:tcW w:w="1485" w:type="pct"/>
                  <w:tcBorders>
                    <w:top w:val="single" w:color="auto" w:sz="4" w:space="0"/>
                    <w:left w:val="nil"/>
                    <w:bottom w:val="single" w:color="auto" w:sz="4" w:space="0"/>
                    <w:right w:val="single" w:color="auto" w:sz="4" w:space="0"/>
                  </w:tcBorders>
                  <w:vAlign w:val="center"/>
                </w:tcPr>
                <w:p w14:paraId="0CEAE9D2">
                  <w:pPr>
                    <w:rPr>
                      <w:b/>
                      <w:szCs w:val="21"/>
                    </w:rPr>
                  </w:pPr>
                  <w:r>
                    <w:rPr>
                      <w:rFonts w:hint="eastAsia"/>
                      <w:b/>
                      <w:szCs w:val="21"/>
                    </w:rPr>
                    <w:t>1）</w:t>
                  </w:r>
                  <w:r>
                    <w:rPr>
                      <w:b/>
                      <w:szCs w:val="21"/>
                    </w:rPr>
                    <w:t>禁止开发建设活动的要求：</w:t>
                  </w:r>
                </w:p>
                <w:p w14:paraId="2B18D377">
                  <w:pPr>
                    <w:rPr>
                      <w:bCs/>
                      <w:szCs w:val="21"/>
                    </w:rPr>
                  </w:pPr>
                  <w:r>
                    <w:rPr>
                      <w:rFonts w:hint="eastAsia"/>
                      <w:bCs/>
                      <w:szCs w:val="21"/>
                      <w:lang w:eastAsia="zh-CN"/>
                    </w:rPr>
                    <w:t>－</w:t>
                  </w:r>
                  <w:r>
                    <w:rPr>
                      <w:bCs/>
                      <w:szCs w:val="21"/>
                    </w:rPr>
                    <w:t>执行达州市环境准入清单</w:t>
                  </w:r>
                  <w:r>
                    <w:rPr>
                      <w:rFonts w:hint="eastAsia"/>
                      <w:bCs/>
                      <w:szCs w:val="21"/>
                      <w:lang w:eastAsia="zh-CN"/>
                    </w:rPr>
                    <w:t>－</w:t>
                  </w:r>
                  <w:r>
                    <w:rPr>
                      <w:bCs/>
                      <w:szCs w:val="21"/>
                    </w:rPr>
                    <w:t>普适性要求</w:t>
                  </w:r>
                  <w:r>
                    <w:rPr>
                      <w:rFonts w:hint="eastAsia"/>
                      <w:bCs/>
                      <w:szCs w:val="21"/>
                      <w:lang w:eastAsia="zh-CN"/>
                    </w:rPr>
                    <w:t>－</w:t>
                  </w:r>
                  <w:r>
                    <w:rPr>
                      <w:bCs/>
                      <w:szCs w:val="21"/>
                    </w:rPr>
                    <w:t>城镇重点管控单元总体要求。</w:t>
                  </w:r>
                </w:p>
                <w:p w14:paraId="72753C37">
                  <w:pPr>
                    <w:rPr>
                      <w:b/>
                      <w:szCs w:val="21"/>
                    </w:rPr>
                  </w:pPr>
                  <w:r>
                    <w:rPr>
                      <w:rFonts w:hint="eastAsia"/>
                      <w:b/>
                      <w:szCs w:val="21"/>
                    </w:rPr>
                    <w:t>2）</w:t>
                  </w:r>
                  <w:r>
                    <w:rPr>
                      <w:b/>
                      <w:szCs w:val="21"/>
                    </w:rPr>
                    <w:t>限制开发建设活动的要求：</w:t>
                  </w:r>
                </w:p>
                <w:p w14:paraId="16940ED5">
                  <w:pPr>
                    <w:rPr>
                      <w:b/>
                      <w:szCs w:val="21"/>
                    </w:rPr>
                  </w:pPr>
                  <w:r>
                    <w:rPr>
                      <w:rFonts w:hint="eastAsia"/>
                      <w:bCs/>
                      <w:szCs w:val="21"/>
                      <w:lang w:eastAsia="zh-CN"/>
                    </w:rPr>
                    <w:t>－</w:t>
                  </w:r>
                  <w:r>
                    <w:rPr>
                      <w:bCs/>
                      <w:szCs w:val="21"/>
                    </w:rPr>
                    <w:t>城市发展遵循“北控、西扩、南拓、东进、中优”的布局战略</w:t>
                  </w:r>
                  <w:r>
                    <w:rPr>
                      <w:rFonts w:hint="eastAsia"/>
                      <w:bCs/>
                      <w:szCs w:val="21"/>
                    </w:rPr>
                    <w:t>。</w:t>
                  </w:r>
                </w:p>
                <w:p w14:paraId="4909B6CD">
                  <w:pPr>
                    <w:rPr>
                      <w:b/>
                      <w:bCs/>
                      <w:szCs w:val="21"/>
                    </w:rPr>
                  </w:pPr>
                  <w:r>
                    <w:rPr>
                      <w:rFonts w:hint="eastAsia"/>
                      <w:b/>
                      <w:bCs/>
                      <w:szCs w:val="21"/>
                    </w:rPr>
                    <w:t>3）</w:t>
                  </w:r>
                  <w:r>
                    <w:rPr>
                      <w:b/>
                      <w:bCs/>
                      <w:szCs w:val="21"/>
                    </w:rPr>
                    <w:t>不符合空间布局要求活动的退出要求：</w:t>
                  </w:r>
                </w:p>
                <w:p w14:paraId="14B6C3DF">
                  <w:pPr>
                    <w:rPr>
                      <w:bCs/>
                      <w:szCs w:val="21"/>
                    </w:rPr>
                  </w:pPr>
                  <w:r>
                    <w:rPr>
                      <w:bCs/>
                      <w:szCs w:val="21"/>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4284FCFB">
                  <w:pPr>
                    <w:spacing w:line="276" w:lineRule="auto"/>
                    <w:rPr>
                      <w:bCs/>
                      <w:szCs w:val="21"/>
                    </w:rPr>
                  </w:pPr>
                  <w:r>
                    <w:rPr>
                      <w:rFonts w:hint="eastAsia"/>
                      <w:bCs/>
                      <w:szCs w:val="21"/>
                      <w:lang w:eastAsia="zh-CN"/>
                    </w:rPr>
                    <w:t>－</w:t>
                  </w:r>
                  <w:r>
                    <w:rPr>
                      <w:bCs/>
                      <w:szCs w:val="21"/>
                    </w:rPr>
                    <w:t>尽快创造条件搬迁达钢至经开区第二园区，限制达钢工业用地原地扩展。</w:t>
                  </w:r>
                </w:p>
                <w:p w14:paraId="02EA0127">
                  <w:pPr>
                    <w:widowControl/>
                    <w:spacing w:line="228" w:lineRule="auto"/>
                    <w:rPr>
                      <w:bCs/>
                      <w:szCs w:val="21"/>
                    </w:rPr>
                  </w:pPr>
                  <w:r>
                    <w:rPr>
                      <w:rFonts w:hint="eastAsia"/>
                      <w:bCs/>
                      <w:szCs w:val="21"/>
                      <w:lang w:eastAsia="zh-CN"/>
                    </w:rPr>
                    <w:t>－</w:t>
                  </w:r>
                  <w:r>
                    <w:rPr>
                      <w:bCs/>
                      <w:szCs w:val="21"/>
                    </w:rPr>
                    <w:t>其他要求参照达州市环境准入清单</w:t>
                  </w:r>
                  <w:r>
                    <w:rPr>
                      <w:rFonts w:hint="eastAsia"/>
                      <w:bCs/>
                      <w:szCs w:val="21"/>
                      <w:lang w:eastAsia="zh-CN"/>
                    </w:rPr>
                    <w:t>－</w:t>
                  </w:r>
                  <w:r>
                    <w:rPr>
                      <w:bCs/>
                      <w:szCs w:val="21"/>
                    </w:rPr>
                    <w:t>普适性要求</w:t>
                  </w:r>
                  <w:r>
                    <w:rPr>
                      <w:rFonts w:hint="eastAsia"/>
                      <w:bCs/>
                      <w:szCs w:val="21"/>
                      <w:lang w:eastAsia="zh-CN"/>
                    </w:rPr>
                    <w:t>－</w:t>
                  </w:r>
                  <w:r>
                    <w:rPr>
                      <w:bCs/>
                      <w:szCs w:val="21"/>
                    </w:rPr>
                    <w:t>城镇重点管控单元</w:t>
                  </w: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663AF215">
                  <w:pPr>
                    <w:rPr>
                      <w:bCs/>
                      <w:szCs w:val="21"/>
                    </w:rPr>
                  </w:pPr>
                  <w:r>
                    <w:rPr>
                      <w:rFonts w:hint="eastAsia"/>
                      <w:szCs w:val="21"/>
                    </w:rPr>
                    <w:t>本项目为生活垃圾中转站项目，不属于禁止、限制开发建设项目；项目位于达州市通川区西南职教园区，用地为规划的公共设施用地（环卫用地）。项目符合普适性管控要求。</w:t>
                  </w:r>
                </w:p>
              </w:tc>
              <w:tc>
                <w:tcPr>
                  <w:tcW w:w="260" w:type="pct"/>
                  <w:tcBorders>
                    <w:top w:val="single" w:color="auto" w:sz="4" w:space="0"/>
                    <w:left w:val="nil"/>
                    <w:bottom w:val="single" w:color="auto" w:sz="4" w:space="0"/>
                    <w:right w:val="single" w:color="auto" w:sz="4" w:space="0"/>
                  </w:tcBorders>
                  <w:vAlign w:val="center"/>
                </w:tcPr>
                <w:p w14:paraId="7E660351">
                  <w:pPr>
                    <w:jc w:val="center"/>
                    <w:rPr>
                      <w:bCs/>
                      <w:szCs w:val="21"/>
                    </w:rPr>
                  </w:pPr>
                  <w:r>
                    <w:rPr>
                      <w:bCs/>
                      <w:szCs w:val="21"/>
                    </w:rPr>
                    <w:t>符合</w:t>
                  </w:r>
                </w:p>
              </w:tc>
            </w:tr>
            <w:tr w14:paraId="15DF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7A15A0D1">
                  <w:pPr>
                    <w:jc w:val="center"/>
                    <w:rPr>
                      <w:bCs/>
                      <w:szCs w:val="21"/>
                    </w:rPr>
                  </w:pPr>
                </w:p>
              </w:tc>
              <w:tc>
                <w:tcPr>
                  <w:tcW w:w="302" w:type="pct"/>
                  <w:vMerge w:val="continue"/>
                  <w:tcBorders>
                    <w:left w:val="nil"/>
                    <w:right w:val="single" w:color="auto" w:sz="4" w:space="0"/>
                  </w:tcBorders>
                  <w:vAlign w:val="center"/>
                </w:tcPr>
                <w:p w14:paraId="2AC75D13">
                  <w:pPr>
                    <w:jc w:val="center"/>
                    <w:rPr>
                      <w:bCs/>
                      <w:szCs w:val="21"/>
                    </w:rPr>
                  </w:pPr>
                </w:p>
              </w:tc>
              <w:tc>
                <w:tcPr>
                  <w:tcW w:w="269" w:type="pct"/>
                  <w:vMerge w:val="continue"/>
                  <w:tcBorders>
                    <w:left w:val="nil"/>
                    <w:right w:val="single" w:color="auto" w:sz="4" w:space="0"/>
                  </w:tcBorders>
                  <w:vAlign w:val="center"/>
                </w:tcPr>
                <w:p w14:paraId="3D4A7227">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6C0A0A3F">
                  <w:pPr>
                    <w:jc w:val="center"/>
                    <w:rPr>
                      <w:b/>
                      <w:bCs/>
                      <w:szCs w:val="21"/>
                    </w:rPr>
                  </w:pPr>
                  <w:r>
                    <w:rPr>
                      <w:bCs/>
                      <w:szCs w:val="21"/>
                    </w:rPr>
                    <w:t>污染物排放管控</w:t>
                  </w:r>
                </w:p>
              </w:tc>
              <w:tc>
                <w:tcPr>
                  <w:tcW w:w="1485" w:type="pct"/>
                  <w:tcBorders>
                    <w:top w:val="single" w:color="auto" w:sz="4" w:space="0"/>
                    <w:left w:val="nil"/>
                    <w:bottom w:val="single" w:color="auto" w:sz="4" w:space="0"/>
                    <w:right w:val="single" w:color="auto" w:sz="4" w:space="0"/>
                  </w:tcBorders>
                  <w:vAlign w:val="center"/>
                </w:tcPr>
                <w:p w14:paraId="5838090C">
                  <w:pPr>
                    <w:spacing w:line="276" w:lineRule="auto"/>
                    <w:rPr>
                      <w:b/>
                      <w:szCs w:val="21"/>
                    </w:rPr>
                  </w:pPr>
                  <w:r>
                    <w:rPr>
                      <w:rFonts w:hint="eastAsia"/>
                      <w:b/>
                      <w:szCs w:val="21"/>
                    </w:rPr>
                    <w:t>1）</w:t>
                  </w:r>
                  <w:r>
                    <w:rPr>
                      <w:b/>
                      <w:szCs w:val="21"/>
                    </w:rPr>
                    <w:t>现有源提标升级改造及新增源排放标准限制：</w:t>
                  </w:r>
                </w:p>
                <w:p w14:paraId="78BFFC6E">
                  <w:pPr>
                    <w:spacing w:line="276" w:lineRule="auto"/>
                    <w:rPr>
                      <w:bCs/>
                      <w:szCs w:val="21"/>
                    </w:rPr>
                  </w:pPr>
                  <w:r>
                    <w:rPr>
                      <w:rFonts w:hint="eastAsia"/>
                      <w:bCs/>
                      <w:szCs w:val="21"/>
                      <w:lang w:eastAsia="zh-CN"/>
                    </w:rPr>
                    <w:t>－</w:t>
                  </w:r>
                  <w:r>
                    <w:rPr>
                      <w:bCs/>
                      <w:szCs w:val="21"/>
                    </w:rPr>
                    <w:t>通川区全域属于四川省大气污染防治重点区域，执行大气污染物特别排放限值。</w:t>
                  </w:r>
                </w:p>
                <w:p w14:paraId="7843F773">
                  <w:pPr>
                    <w:rPr>
                      <w:b/>
                      <w:szCs w:val="21"/>
                    </w:rPr>
                  </w:pPr>
                  <w:r>
                    <w:rPr>
                      <w:rFonts w:hint="eastAsia"/>
                      <w:b/>
                      <w:szCs w:val="21"/>
                    </w:rPr>
                    <w:t>2）</w:t>
                  </w:r>
                  <w:r>
                    <w:rPr>
                      <w:b/>
                      <w:szCs w:val="21"/>
                    </w:rPr>
                    <w:t>允许排放量要求：</w:t>
                  </w:r>
                </w:p>
                <w:p w14:paraId="627901C4">
                  <w:pPr>
                    <w:wordWrap w:val="0"/>
                    <w:rPr>
                      <w:bCs/>
                      <w:szCs w:val="21"/>
                    </w:rPr>
                  </w:pPr>
                  <w:r>
                    <w:rPr>
                      <w:bCs/>
                      <w:szCs w:val="21"/>
                    </w:rPr>
                    <w:t>-2025年，州河通川区（车家河</w:t>
                  </w:r>
                  <w:r>
                    <w:rPr>
                      <w:rFonts w:hint="eastAsia"/>
                      <w:bCs/>
                      <w:szCs w:val="21"/>
                    </w:rPr>
                    <w:t>）</w:t>
                  </w:r>
                  <w:r>
                    <w:rPr>
                      <w:bCs/>
                      <w:szCs w:val="21"/>
                    </w:rPr>
                    <w:t>控制单元（通川区中心城区</w:t>
                  </w:r>
                  <w:r>
                    <w:rPr>
                      <w:rFonts w:hint="eastAsia"/>
                      <w:bCs/>
                      <w:szCs w:val="21"/>
                    </w:rPr>
                    <w:t>）</w:t>
                  </w:r>
                  <w:r>
                    <w:rPr>
                      <w:bCs/>
                      <w:szCs w:val="21"/>
                    </w:rPr>
                    <w:t>允许排放量COD4999.09t</w:t>
                  </w:r>
                  <w:r>
                    <w:rPr>
                      <w:rFonts w:hint="eastAsia"/>
                      <w:bCs/>
                      <w:szCs w:val="21"/>
                    </w:rPr>
                    <w:t>，</w:t>
                  </w:r>
                  <w:r>
                    <w:rPr>
                      <w:bCs/>
                      <w:szCs w:val="21"/>
                    </w:rPr>
                    <w:t>氨氮44.58t，TP24.48t。</w:t>
                  </w:r>
                </w:p>
                <w:p w14:paraId="5745BA4E">
                  <w:pPr>
                    <w:wordWrap w:val="0"/>
                    <w:rPr>
                      <w:bCs/>
                      <w:szCs w:val="21"/>
                    </w:rPr>
                  </w:pPr>
                  <w:r>
                    <w:rPr>
                      <w:bCs/>
                      <w:szCs w:val="21"/>
                    </w:rPr>
                    <w:t>-2035年，通川区（车家河</w:t>
                  </w:r>
                  <w:r>
                    <w:rPr>
                      <w:rFonts w:hint="eastAsia"/>
                      <w:bCs/>
                      <w:szCs w:val="21"/>
                    </w:rPr>
                    <w:t>）</w:t>
                  </w:r>
                  <w:r>
                    <w:rPr>
                      <w:bCs/>
                      <w:szCs w:val="21"/>
                    </w:rPr>
                    <w:t>控制单元（通川区中心城</w:t>
                  </w:r>
                  <w:r>
                    <w:rPr>
                      <w:rFonts w:hint="eastAsia"/>
                      <w:bCs/>
                      <w:szCs w:val="21"/>
                    </w:rPr>
                    <w:t>区）</w:t>
                  </w:r>
                  <w:r>
                    <w:rPr>
                      <w:bCs/>
                      <w:szCs w:val="21"/>
                    </w:rPr>
                    <w:t>允许排放量COD4999.09t</w:t>
                  </w:r>
                  <w:r>
                    <w:rPr>
                      <w:rFonts w:hint="eastAsia"/>
                      <w:bCs/>
                      <w:szCs w:val="21"/>
                    </w:rPr>
                    <w:t>，</w:t>
                  </w:r>
                  <w:r>
                    <w:rPr>
                      <w:bCs/>
                      <w:szCs w:val="21"/>
                    </w:rPr>
                    <w:t>氨氮44.58t，TP24.48t。</w:t>
                  </w:r>
                </w:p>
                <w:p w14:paraId="29093713">
                  <w:pPr>
                    <w:spacing w:line="276" w:lineRule="auto"/>
                    <w:rPr>
                      <w:b/>
                      <w:szCs w:val="21"/>
                    </w:rPr>
                  </w:pPr>
                  <w:r>
                    <w:rPr>
                      <w:rFonts w:hint="eastAsia"/>
                      <w:b/>
                      <w:szCs w:val="21"/>
                    </w:rPr>
                    <w:t>3）</w:t>
                  </w:r>
                  <w:r>
                    <w:rPr>
                      <w:b/>
                      <w:szCs w:val="21"/>
                    </w:rPr>
                    <w:t>削减比例要求：</w:t>
                  </w:r>
                </w:p>
                <w:p w14:paraId="6192AD97">
                  <w:pPr>
                    <w:spacing w:line="276" w:lineRule="auto"/>
                    <w:rPr>
                      <w:bCs/>
                      <w:szCs w:val="21"/>
                    </w:rPr>
                  </w:pPr>
                  <w:r>
                    <w:rPr>
                      <w:bCs/>
                      <w:szCs w:val="21"/>
                    </w:rPr>
                    <w:t>州河通川区（车家河</w:t>
                  </w:r>
                  <w:r>
                    <w:rPr>
                      <w:rFonts w:hint="eastAsia"/>
                      <w:bCs/>
                      <w:szCs w:val="21"/>
                    </w:rPr>
                    <w:t>）</w:t>
                  </w:r>
                  <w:r>
                    <w:rPr>
                      <w:bCs/>
                      <w:szCs w:val="21"/>
                    </w:rPr>
                    <w:t>控制单元（通川区中心城区</w:t>
                  </w:r>
                  <w:r>
                    <w:rPr>
                      <w:rFonts w:hint="eastAsia"/>
                      <w:bCs/>
                      <w:szCs w:val="21"/>
                    </w:rPr>
                    <w:t>）</w:t>
                  </w:r>
                  <w:r>
                    <w:rPr>
                      <w:bCs/>
                      <w:szCs w:val="21"/>
                    </w:rPr>
                    <w:t>削减比例为COD58%，氨氮97.1%，TP71.8%。</w:t>
                  </w:r>
                </w:p>
                <w:p w14:paraId="531A63F4">
                  <w:pPr>
                    <w:spacing w:line="276" w:lineRule="auto"/>
                    <w:rPr>
                      <w:b/>
                      <w:szCs w:val="21"/>
                    </w:rPr>
                  </w:pPr>
                  <w:r>
                    <w:rPr>
                      <w:rFonts w:hint="eastAsia"/>
                      <w:b/>
                      <w:szCs w:val="21"/>
                    </w:rPr>
                    <w:t>4）</w:t>
                  </w:r>
                  <w:r>
                    <w:rPr>
                      <w:b/>
                      <w:szCs w:val="21"/>
                    </w:rPr>
                    <w:t>污染物排放绩效水平准入要求：</w:t>
                  </w:r>
                </w:p>
                <w:p w14:paraId="36796946">
                  <w:pPr>
                    <w:spacing w:line="276" w:lineRule="auto"/>
                    <w:rPr>
                      <w:bCs/>
                      <w:szCs w:val="21"/>
                    </w:rPr>
                  </w:pPr>
                  <w:r>
                    <w:rPr>
                      <w:bCs/>
                      <w:szCs w:val="21"/>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14:paraId="6AC86FE7">
                  <w:pPr>
                    <w:rPr>
                      <w:bCs/>
                      <w:szCs w:val="21"/>
                    </w:rPr>
                  </w:pPr>
                  <w:r>
                    <w:rPr>
                      <w:rFonts w:hint="eastAsia"/>
                      <w:bCs/>
                      <w:szCs w:val="21"/>
                      <w:lang w:eastAsia="zh-CN"/>
                    </w:rPr>
                    <w:t>－</w:t>
                  </w:r>
                  <w:r>
                    <w:rPr>
                      <w:bCs/>
                      <w:szCs w:val="21"/>
                    </w:rPr>
                    <w:t>其他要求参照达州市环境准入清单</w:t>
                  </w:r>
                  <w:r>
                    <w:rPr>
                      <w:rFonts w:hint="eastAsia"/>
                      <w:bCs/>
                      <w:szCs w:val="21"/>
                      <w:lang w:eastAsia="zh-CN"/>
                    </w:rPr>
                    <w:t>－</w:t>
                  </w:r>
                  <w:r>
                    <w:rPr>
                      <w:bCs/>
                      <w:szCs w:val="21"/>
                    </w:rPr>
                    <w:t>普适性要求</w:t>
                  </w:r>
                  <w:r>
                    <w:rPr>
                      <w:rFonts w:hint="eastAsia"/>
                      <w:bCs/>
                      <w:szCs w:val="21"/>
                      <w:lang w:eastAsia="zh-CN"/>
                    </w:rPr>
                    <w:t>－</w:t>
                  </w:r>
                  <w:r>
                    <w:rPr>
                      <w:bCs/>
                      <w:szCs w:val="21"/>
                    </w:rPr>
                    <w:t>城镇重点管控单元</w:t>
                  </w: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2679EA14">
                  <w:pPr>
                    <w:widowControl/>
                    <w:wordWrap w:val="0"/>
                    <w:rPr>
                      <w:bCs/>
                      <w:szCs w:val="21"/>
                    </w:rPr>
                  </w:pPr>
                  <w:r>
                    <w:rPr>
                      <w:rFonts w:hint="eastAsia"/>
                      <w:szCs w:val="21"/>
                    </w:rPr>
                    <w:t>项目废气执行《恶臭污染物排放</w:t>
                  </w:r>
                  <w:r>
                    <w:rPr>
                      <w:rFonts w:hint="eastAsia"/>
                      <w:szCs w:val="21"/>
                      <w:lang w:eastAsia="zh-CN"/>
                    </w:rPr>
                    <w:t>标准</w:t>
                  </w:r>
                  <w:r>
                    <w:rPr>
                      <w:rFonts w:hint="eastAsia"/>
                      <w:szCs w:val="21"/>
                    </w:rPr>
                    <w:t>（GB14554-93）》中表2限值要求；生产废水全部收集，经厂区污水处理站处理达到《污水综合排放标准》（GB8978-1996）中三级排放标准限值后经市政污水管网排入</w:t>
                  </w:r>
                  <w:r>
                    <w:rPr>
                      <w:szCs w:val="21"/>
                    </w:rPr>
                    <w:t>达州市第二</w:t>
                  </w:r>
                  <w:r>
                    <w:rPr>
                      <w:rFonts w:hint="eastAsia"/>
                      <w:szCs w:val="21"/>
                    </w:rPr>
                    <w:t>城市生活</w:t>
                  </w:r>
                  <w:r>
                    <w:rPr>
                      <w:szCs w:val="21"/>
                    </w:rPr>
                    <w:t>污水处理厂</w:t>
                  </w:r>
                  <w:r>
                    <w:rPr>
                      <w:rFonts w:hint="eastAsia"/>
                      <w:szCs w:val="21"/>
                    </w:rPr>
                    <w:t>处理达标后排放。项目符合普适性管控要求。</w:t>
                  </w:r>
                </w:p>
              </w:tc>
              <w:tc>
                <w:tcPr>
                  <w:tcW w:w="260" w:type="pct"/>
                  <w:tcBorders>
                    <w:top w:val="single" w:color="auto" w:sz="4" w:space="0"/>
                    <w:left w:val="nil"/>
                    <w:bottom w:val="single" w:color="auto" w:sz="4" w:space="0"/>
                    <w:right w:val="single" w:color="auto" w:sz="4" w:space="0"/>
                  </w:tcBorders>
                  <w:vAlign w:val="center"/>
                </w:tcPr>
                <w:p w14:paraId="2E15D02B">
                  <w:pPr>
                    <w:jc w:val="center"/>
                    <w:rPr>
                      <w:bCs/>
                      <w:szCs w:val="21"/>
                    </w:rPr>
                  </w:pPr>
                  <w:r>
                    <w:rPr>
                      <w:bCs/>
                      <w:szCs w:val="21"/>
                    </w:rPr>
                    <w:t>符合</w:t>
                  </w:r>
                </w:p>
              </w:tc>
            </w:tr>
            <w:tr w14:paraId="7CE4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Merge w:val="continue"/>
                  <w:tcBorders>
                    <w:left w:val="single" w:color="auto" w:sz="4" w:space="0"/>
                    <w:right w:val="single" w:color="auto" w:sz="4" w:space="0"/>
                  </w:tcBorders>
                  <w:vAlign w:val="center"/>
                </w:tcPr>
                <w:p w14:paraId="43BD2009">
                  <w:pPr>
                    <w:jc w:val="center"/>
                    <w:rPr>
                      <w:bCs/>
                      <w:szCs w:val="21"/>
                    </w:rPr>
                  </w:pPr>
                </w:p>
              </w:tc>
              <w:tc>
                <w:tcPr>
                  <w:tcW w:w="302" w:type="pct"/>
                  <w:vMerge w:val="continue"/>
                  <w:tcBorders>
                    <w:left w:val="nil"/>
                    <w:right w:val="single" w:color="auto" w:sz="4" w:space="0"/>
                  </w:tcBorders>
                  <w:vAlign w:val="center"/>
                </w:tcPr>
                <w:p w14:paraId="4982DD86">
                  <w:pPr>
                    <w:jc w:val="center"/>
                    <w:rPr>
                      <w:bCs/>
                      <w:szCs w:val="21"/>
                    </w:rPr>
                  </w:pPr>
                </w:p>
              </w:tc>
              <w:tc>
                <w:tcPr>
                  <w:tcW w:w="269" w:type="pct"/>
                  <w:vMerge w:val="continue"/>
                  <w:tcBorders>
                    <w:left w:val="nil"/>
                    <w:right w:val="single" w:color="auto" w:sz="4" w:space="0"/>
                  </w:tcBorders>
                  <w:vAlign w:val="center"/>
                </w:tcPr>
                <w:p w14:paraId="3C7938DE">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118778AA">
                  <w:pPr>
                    <w:jc w:val="center"/>
                    <w:rPr>
                      <w:b/>
                      <w:bCs/>
                      <w:szCs w:val="21"/>
                    </w:rPr>
                  </w:pPr>
                  <w:r>
                    <w:rPr>
                      <w:bCs/>
                      <w:szCs w:val="21"/>
                    </w:rPr>
                    <w:t>环境风险防控</w:t>
                  </w:r>
                </w:p>
              </w:tc>
              <w:tc>
                <w:tcPr>
                  <w:tcW w:w="1485" w:type="pct"/>
                  <w:tcBorders>
                    <w:top w:val="single" w:color="auto" w:sz="4" w:space="0"/>
                    <w:left w:val="nil"/>
                    <w:bottom w:val="single" w:color="auto" w:sz="4" w:space="0"/>
                    <w:right w:val="single" w:color="auto" w:sz="4" w:space="0"/>
                  </w:tcBorders>
                  <w:vAlign w:val="center"/>
                </w:tcPr>
                <w:p w14:paraId="152CC756">
                  <w:pPr>
                    <w:spacing w:line="276" w:lineRule="auto"/>
                    <w:rPr>
                      <w:b/>
                      <w:szCs w:val="21"/>
                    </w:rPr>
                  </w:pPr>
                  <w:r>
                    <w:rPr>
                      <w:rFonts w:hint="eastAsia"/>
                      <w:b/>
                      <w:szCs w:val="21"/>
                    </w:rPr>
                    <w:t>1）</w:t>
                  </w:r>
                  <w:r>
                    <w:rPr>
                      <w:b/>
                      <w:szCs w:val="21"/>
                    </w:rPr>
                    <w:t>用地环境风险防控要求：</w:t>
                  </w:r>
                </w:p>
                <w:p w14:paraId="71E7DCD8">
                  <w:pPr>
                    <w:spacing w:line="276" w:lineRule="auto"/>
                    <w:rPr>
                      <w:bCs/>
                      <w:szCs w:val="21"/>
                    </w:rPr>
                  </w:pPr>
                  <w:r>
                    <w:rPr>
                      <w:rFonts w:hint="eastAsia"/>
                      <w:bCs/>
                      <w:szCs w:val="21"/>
                      <w:lang w:eastAsia="zh-CN"/>
                    </w:rPr>
                    <w:t>－</w:t>
                  </w:r>
                  <w:r>
                    <w:rPr>
                      <w:bCs/>
                      <w:szCs w:val="21"/>
                    </w:rPr>
                    <w:t>有一定危险性仓库用地远离市区，按有关规范选址和建设，留够防护距离，原则上安排在铁山山谷。</w:t>
                  </w:r>
                </w:p>
                <w:p w14:paraId="671049EB">
                  <w:pPr>
                    <w:rPr>
                      <w:bCs/>
                      <w:szCs w:val="21"/>
                    </w:rPr>
                  </w:pPr>
                  <w:r>
                    <w:rPr>
                      <w:rFonts w:hint="eastAsia"/>
                      <w:bCs/>
                      <w:szCs w:val="21"/>
                      <w:lang w:eastAsia="zh-CN"/>
                    </w:rPr>
                    <w:t>－</w:t>
                  </w:r>
                  <w:r>
                    <w:rPr>
                      <w:bCs/>
                      <w:szCs w:val="21"/>
                    </w:rPr>
                    <w:t>其他要求参照达州市环境准入清单</w:t>
                  </w:r>
                  <w:r>
                    <w:rPr>
                      <w:rFonts w:hint="eastAsia"/>
                      <w:bCs/>
                      <w:szCs w:val="21"/>
                      <w:lang w:eastAsia="zh-CN"/>
                    </w:rPr>
                    <w:t>－</w:t>
                  </w:r>
                  <w:r>
                    <w:rPr>
                      <w:bCs/>
                      <w:szCs w:val="21"/>
                    </w:rPr>
                    <w:t>普适性要求</w:t>
                  </w:r>
                  <w:r>
                    <w:rPr>
                      <w:rFonts w:hint="eastAsia"/>
                      <w:bCs/>
                      <w:szCs w:val="21"/>
                      <w:lang w:eastAsia="zh-CN"/>
                    </w:rPr>
                    <w:t>－</w:t>
                  </w:r>
                  <w:r>
                    <w:rPr>
                      <w:bCs/>
                      <w:szCs w:val="21"/>
                    </w:rPr>
                    <w:t>城镇重点管控单元</w:t>
                  </w: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76F0BB85">
                  <w:pPr>
                    <w:rPr>
                      <w:bCs/>
                      <w:szCs w:val="21"/>
                    </w:rPr>
                  </w:pPr>
                  <w:r>
                    <w:rPr>
                      <w:bCs/>
                      <w:szCs w:val="21"/>
                    </w:rPr>
                    <w:t>项目</w:t>
                  </w:r>
                  <w:r>
                    <w:rPr>
                      <w:rFonts w:hint="eastAsia"/>
                      <w:bCs/>
                      <w:szCs w:val="21"/>
                    </w:rPr>
                    <w:t>不涉及</w:t>
                  </w:r>
                  <w:r>
                    <w:rPr>
                      <w:bCs/>
                      <w:szCs w:val="21"/>
                    </w:rPr>
                    <w:t>危险性仓库</w:t>
                  </w:r>
                  <w:r>
                    <w:rPr>
                      <w:rFonts w:hint="eastAsia"/>
                      <w:bCs/>
                      <w:szCs w:val="21"/>
                    </w:rPr>
                    <w:t>，</w:t>
                  </w:r>
                  <w:r>
                    <w:rPr>
                      <w:rFonts w:hint="eastAsia"/>
                      <w:szCs w:val="21"/>
                    </w:rPr>
                    <w:t>项目符合普适性管控要求。</w:t>
                  </w:r>
                </w:p>
              </w:tc>
              <w:tc>
                <w:tcPr>
                  <w:tcW w:w="260" w:type="pct"/>
                  <w:tcBorders>
                    <w:top w:val="single" w:color="auto" w:sz="4" w:space="0"/>
                    <w:left w:val="nil"/>
                    <w:bottom w:val="single" w:color="auto" w:sz="4" w:space="0"/>
                    <w:right w:val="single" w:color="auto" w:sz="4" w:space="0"/>
                  </w:tcBorders>
                  <w:vAlign w:val="center"/>
                </w:tcPr>
                <w:p w14:paraId="0C56E6E3">
                  <w:pPr>
                    <w:jc w:val="center"/>
                    <w:rPr>
                      <w:bCs/>
                      <w:szCs w:val="21"/>
                    </w:rPr>
                  </w:pPr>
                  <w:r>
                    <w:rPr>
                      <w:bCs/>
                      <w:szCs w:val="21"/>
                    </w:rPr>
                    <w:t>符合</w:t>
                  </w:r>
                </w:p>
              </w:tc>
            </w:tr>
            <w:tr w14:paraId="0602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5F305FA2">
                  <w:pPr>
                    <w:jc w:val="center"/>
                    <w:rPr>
                      <w:bCs/>
                      <w:szCs w:val="21"/>
                    </w:rPr>
                  </w:pPr>
                </w:p>
              </w:tc>
              <w:tc>
                <w:tcPr>
                  <w:tcW w:w="302" w:type="pct"/>
                  <w:vMerge w:val="continue"/>
                  <w:tcBorders>
                    <w:left w:val="nil"/>
                    <w:right w:val="single" w:color="auto" w:sz="4" w:space="0"/>
                  </w:tcBorders>
                  <w:vAlign w:val="center"/>
                </w:tcPr>
                <w:p w14:paraId="5DD1A0B1">
                  <w:pPr>
                    <w:jc w:val="center"/>
                    <w:rPr>
                      <w:bCs/>
                      <w:szCs w:val="21"/>
                    </w:rPr>
                  </w:pPr>
                </w:p>
              </w:tc>
              <w:tc>
                <w:tcPr>
                  <w:tcW w:w="269" w:type="pct"/>
                  <w:vMerge w:val="continue"/>
                  <w:tcBorders>
                    <w:left w:val="nil"/>
                    <w:right w:val="single" w:color="auto" w:sz="4" w:space="0"/>
                  </w:tcBorders>
                  <w:vAlign w:val="center"/>
                </w:tcPr>
                <w:p w14:paraId="4E0E9425">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20563439">
                  <w:pPr>
                    <w:jc w:val="center"/>
                    <w:rPr>
                      <w:bCs/>
                      <w:szCs w:val="21"/>
                    </w:rPr>
                  </w:pPr>
                  <w:r>
                    <w:rPr>
                      <w:bCs/>
                      <w:szCs w:val="21"/>
                    </w:rPr>
                    <w:t>资源开发效率</w:t>
                  </w:r>
                </w:p>
              </w:tc>
              <w:tc>
                <w:tcPr>
                  <w:tcW w:w="1485" w:type="pct"/>
                  <w:tcBorders>
                    <w:top w:val="single" w:color="auto" w:sz="4" w:space="0"/>
                    <w:left w:val="nil"/>
                    <w:bottom w:val="single" w:color="auto" w:sz="4" w:space="0"/>
                    <w:right w:val="single" w:color="auto" w:sz="4" w:space="0"/>
                  </w:tcBorders>
                  <w:vAlign w:val="center"/>
                </w:tcPr>
                <w:p w14:paraId="261E2DF3">
                  <w:pPr>
                    <w:rPr>
                      <w:bCs/>
                      <w:szCs w:val="21"/>
                    </w:rPr>
                  </w:pPr>
                  <w:r>
                    <w:rPr>
                      <w:bCs/>
                      <w:szCs w:val="21"/>
                    </w:rPr>
                    <w:t>参照达州市环境准入清单</w:t>
                  </w:r>
                  <w:r>
                    <w:rPr>
                      <w:rFonts w:hint="eastAsia"/>
                      <w:bCs/>
                      <w:szCs w:val="21"/>
                      <w:lang w:eastAsia="zh-CN"/>
                    </w:rPr>
                    <w:t>－</w:t>
                  </w:r>
                  <w:r>
                    <w:rPr>
                      <w:bCs/>
                      <w:szCs w:val="21"/>
                    </w:rPr>
                    <w:t>普适性要求</w:t>
                  </w:r>
                  <w:r>
                    <w:rPr>
                      <w:rFonts w:hint="eastAsia"/>
                      <w:bCs/>
                      <w:szCs w:val="21"/>
                      <w:lang w:eastAsia="zh-CN"/>
                    </w:rPr>
                    <w:t>－</w:t>
                  </w:r>
                  <w:r>
                    <w:rPr>
                      <w:bCs/>
                      <w:szCs w:val="21"/>
                    </w:rPr>
                    <w:t>城镇重点管控单元</w:t>
                  </w: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6ED58270">
                  <w:pPr>
                    <w:pStyle w:val="11"/>
                    <w:widowControl w:val="0"/>
                    <w:kinsoku w:val="0"/>
                    <w:overflowPunct w:val="0"/>
                    <w:spacing w:before="0" w:after="0" w:line="240" w:lineRule="auto"/>
                    <w:rPr>
                      <w:bCs/>
                      <w:sz w:val="21"/>
                      <w:szCs w:val="21"/>
                    </w:rPr>
                  </w:pPr>
                  <w:r>
                    <w:rPr>
                      <w:rFonts w:hint="eastAsia"/>
                      <w:sz w:val="21"/>
                      <w:szCs w:val="21"/>
                    </w:rPr>
                    <w:t>项目符合普适性管控要求。</w:t>
                  </w:r>
                </w:p>
              </w:tc>
              <w:tc>
                <w:tcPr>
                  <w:tcW w:w="260" w:type="pct"/>
                  <w:tcBorders>
                    <w:top w:val="single" w:color="auto" w:sz="4" w:space="0"/>
                    <w:left w:val="nil"/>
                    <w:bottom w:val="single" w:color="auto" w:sz="4" w:space="0"/>
                    <w:right w:val="single" w:color="auto" w:sz="4" w:space="0"/>
                  </w:tcBorders>
                  <w:vAlign w:val="center"/>
                </w:tcPr>
                <w:p w14:paraId="0FFA079D">
                  <w:pPr>
                    <w:jc w:val="center"/>
                    <w:rPr>
                      <w:bCs/>
                      <w:szCs w:val="21"/>
                    </w:rPr>
                  </w:pPr>
                  <w:r>
                    <w:rPr>
                      <w:bCs/>
                      <w:szCs w:val="21"/>
                    </w:rPr>
                    <w:t>符合</w:t>
                  </w:r>
                </w:p>
              </w:tc>
            </w:tr>
            <w:tr w14:paraId="783E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restart"/>
                  <w:tcBorders>
                    <w:left w:val="single" w:color="auto" w:sz="4" w:space="0"/>
                    <w:right w:val="single" w:color="auto" w:sz="4" w:space="0"/>
                  </w:tcBorders>
                  <w:vAlign w:val="center"/>
                </w:tcPr>
                <w:p w14:paraId="34B8F4BE">
                  <w:pPr>
                    <w:jc w:val="center"/>
                    <w:rPr>
                      <w:bCs/>
                      <w:szCs w:val="21"/>
                    </w:rPr>
                  </w:pPr>
                  <w:r>
                    <w:rPr>
                      <w:szCs w:val="21"/>
                    </w:rPr>
                    <w:t>YS</w:t>
                  </w:r>
                  <w:r>
                    <w:rPr>
                      <w:spacing w:val="9"/>
                      <w:szCs w:val="21"/>
                    </w:rPr>
                    <w:t>5</w:t>
                  </w:r>
                  <w:r>
                    <w:rPr>
                      <w:spacing w:val="5"/>
                      <w:szCs w:val="21"/>
                    </w:rPr>
                    <w:t>11702</w:t>
                  </w:r>
                  <w:r>
                    <w:rPr>
                      <w:spacing w:val="7"/>
                      <w:szCs w:val="21"/>
                    </w:rPr>
                    <w:t>2</w:t>
                  </w:r>
                  <w:r>
                    <w:rPr>
                      <w:spacing w:val="4"/>
                      <w:szCs w:val="21"/>
                    </w:rPr>
                    <w:t>220001</w:t>
                  </w:r>
                </w:p>
              </w:tc>
              <w:tc>
                <w:tcPr>
                  <w:tcW w:w="302" w:type="pct"/>
                  <w:vMerge w:val="restart"/>
                  <w:tcBorders>
                    <w:left w:val="nil"/>
                    <w:right w:val="single" w:color="auto" w:sz="4" w:space="0"/>
                  </w:tcBorders>
                  <w:vAlign w:val="center"/>
                </w:tcPr>
                <w:p w14:paraId="3691FA9C">
                  <w:pPr>
                    <w:jc w:val="center"/>
                    <w:rPr>
                      <w:bCs/>
                      <w:szCs w:val="21"/>
                    </w:rPr>
                  </w:pPr>
                  <w:r>
                    <w:rPr>
                      <w:spacing w:val="8"/>
                      <w:szCs w:val="21"/>
                    </w:rPr>
                    <w:t>州河通川区车</w:t>
                  </w:r>
                  <w:r>
                    <w:rPr>
                      <w:szCs w:val="21"/>
                    </w:rPr>
                    <w:t xml:space="preserve"> </w:t>
                  </w:r>
                  <w:r>
                    <w:rPr>
                      <w:spacing w:val="8"/>
                      <w:szCs w:val="21"/>
                    </w:rPr>
                    <w:t>家河控制单</w:t>
                  </w:r>
                  <w:r>
                    <w:rPr>
                      <w:spacing w:val="7"/>
                      <w:szCs w:val="21"/>
                    </w:rPr>
                    <w:t>元</w:t>
                  </w:r>
                </w:p>
              </w:tc>
              <w:tc>
                <w:tcPr>
                  <w:tcW w:w="269" w:type="pct"/>
                  <w:vMerge w:val="restart"/>
                  <w:tcBorders>
                    <w:left w:val="nil"/>
                    <w:right w:val="single" w:color="auto" w:sz="4" w:space="0"/>
                  </w:tcBorders>
                  <w:vAlign w:val="center"/>
                </w:tcPr>
                <w:p w14:paraId="1948077E">
                  <w:pPr>
                    <w:jc w:val="center"/>
                    <w:rPr>
                      <w:bCs/>
                      <w:szCs w:val="21"/>
                    </w:rPr>
                  </w:pPr>
                  <w:r>
                    <w:rPr>
                      <w:bCs/>
                      <w:szCs w:val="21"/>
                    </w:rPr>
                    <w:t>单元级清单管控要求</w:t>
                  </w:r>
                </w:p>
              </w:tc>
              <w:tc>
                <w:tcPr>
                  <w:tcW w:w="260" w:type="pct"/>
                  <w:tcBorders>
                    <w:top w:val="single" w:color="auto" w:sz="4" w:space="0"/>
                    <w:left w:val="nil"/>
                    <w:bottom w:val="single" w:color="auto" w:sz="4" w:space="0"/>
                    <w:right w:val="single" w:color="auto" w:sz="4" w:space="0"/>
                  </w:tcBorders>
                  <w:vAlign w:val="center"/>
                </w:tcPr>
                <w:p w14:paraId="7B5437EC">
                  <w:pPr>
                    <w:jc w:val="center"/>
                    <w:rPr>
                      <w:bCs/>
                      <w:szCs w:val="21"/>
                    </w:rPr>
                  </w:pPr>
                  <w:r>
                    <w:rPr>
                      <w:rFonts w:hint="eastAsia" w:ascii="宋体" w:hAnsi="宋体"/>
                      <w:szCs w:val="21"/>
                    </w:rPr>
                    <w:t>空间布局约束</w:t>
                  </w:r>
                </w:p>
              </w:tc>
              <w:tc>
                <w:tcPr>
                  <w:tcW w:w="1485" w:type="pct"/>
                  <w:tcBorders>
                    <w:top w:val="single" w:color="auto" w:sz="4" w:space="0"/>
                    <w:left w:val="nil"/>
                    <w:bottom w:val="single" w:color="auto" w:sz="4" w:space="0"/>
                    <w:right w:val="single" w:color="auto" w:sz="4" w:space="0"/>
                  </w:tcBorders>
                  <w:vAlign w:val="center"/>
                </w:tcPr>
                <w:p w14:paraId="68F2600D">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禁止开发建设活动的要求。</w:t>
                  </w:r>
                </w:p>
                <w:p w14:paraId="355BD4B9">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14:paraId="1EFC9CAB">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14:paraId="5C130F55">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14:paraId="62400718">
                  <w:pPr>
                    <w:rPr>
                      <w:bCs/>
                      <w:szCs w:val="21"/>
                    </w:rPr>
                  </w:pPr>
                  <w:r>
                    <w:rPr>
                      <w:rFonts w:hint="eastAsia" w:ascii="宋体" w:hAnsi="宋体"/>
                      <w:szCs w:val="21"/>
                    </w:rPr>
                    <w:t>其他空间布局约束要求。</w:t>
                  </w:r>
                </w:p>
              </w:tc>
              <w:tc>
                <w:tcPr>
                  <w:tcW w:w="1253" w:type="pct"/>
                  <w:tcBorders>
                    <w:top w:val="single" w:color="auto" w:sz="4" w:space="0"/>
                    <w:left w:val="nil"/>
                    <w:bottom w:val="single" w:color="auto" w:sz="4" w:space="0"/>
                    <w:right w:val="single" w:color="auto" w:sz="4" w:space="0"/>
                  </w:tcBorders>
                  <w:vAlign w:val="center"/>
                </w:tcPr>
                <w:p w14:paraId="4D5D0E0B">
                  <w:pPr>
                    <w:pStyle w:val="11"/>
                    <w:widowControl w:val="0"/>
                    <w:kinsoku w:val="0"/>
                    <w:overflowPunct w:val="0"/>
                    <w:spacing w:before="0" w:after="0" w:line="240" w:lineRule="auto"/>
                    <w:rPr>
                      <w:sz w:val="21"/>
                      <w:szCs w:val="21"/>
                    </w:rPr>
                  </w:pPr>
                  <w:r>
                    <w:rPr>
                      <w:bCs/>
                      <w:sz w:val="21"/>
                      <w:szCs w:val="21"/>
                    </w:rPr>
                    <w:t>本项目不属于</w:t>
                  </w:r>
                  <w:r>
                    <w:rPr>
                      <w:rFonts w:hint="eastAsia"/>
                      <w:bCs/>
                      <w:sz w:val="21"/>
                      <w:szCs w:val="21"/>
                    </w:rPr>
                    <w:t>限制、</w:t>
                  </w:r>
                  <w:r>
                    <w:rPr>
                      <w:bCs/>
                      <w:sz w:val="21"/>
                      <w:szCs w:val="21"/>
                    </w:rPr>
                    <w:t>禁止开发</w:t>
                  </w:r>
                  <w:r>
                    <w:rPr>
                      <w:rFonts w:hint="eastAsia"/>
                      <w:bCs/>
                      <w:sz w:val="21"/>
                      <w:szCs w:val="21"/>
                    </w:rPr>
                    <w:t>项目，用地为规划的</w:t>
                  </w:r>
                  <w:r>
                    <w:rPr>
                      <w:rFonts w:hint="eastAsia"/>
                      <w:sz w:val="21"/>
                      <w:szCs w:val="21"/>
                    </w:rPr>
                    <w:t>公共设施用地（环卫用地），</w:t>
                  </w:r>
                  <w:r>
                    <w:rPr>
                      <w:bCs/>
                      <w:sz w:val="21"/>
                      <w:szCs w:val="21"/>
                    </w:rPr>
                    <w:t>符合</w:t>
                  </w:r>
                  <w:r>
                    <w:rPr>
                      <w:rFonts w:hint="eastAsia"/>
                      <w:bCs/>
                      <w:sz w:val="21"/>
                      <w:szCs w:val="21"/>
                    </w:rPr>
                    <w:t>城镇</w:t>
                  </w:r>
                  <w:r>
                    <w:rPr>
                      <w:bCs/>
                      <w:sz w:val="21"/>
                      <w:szCs w:val="21"/>
                    </w:rPr>
                    <w:t>空间布局要求。</w:t>
                  </w:r>
                </w:p>
              </w:tc>
              <w:tc>
                <w:tcPr>
                  <w:tcW w:w="260" w:type="pct"/>
                  <w:tcBorders>
                    <w:top w:val="single" w:color="auto" w:sz="4" w:space="0"/>
                    <w:left w:val="nil"/>
                    <w:bottom w:val="single" w:color="auto" w:sz="4" w:space="0"/>
                    <w:right w:val="single" w:color="auto" w:sz="4" w:space="0"/>
                  </w:tcBorders>
                  <w:vAlign w:val="center"/>
                </w:tcPr>
                <w:p w14:paraId="05F08C2C">
                  <w:pPr>
                    <w:jc w:val="center"/>
                    <w:rPr>
                      <w:bCs/>
                      <w:szCs w:val="21"/>
                    </w:rPr>
                  </w:pPr>
                  <w:r>
                    <w:rPr>
                      <w:rFonts w:hint="eastAsia"/>
                      <w:bCs/>
                      <w:szCs w:val="21"/>
                    </w:rPr>
                    <w:t>符合</w:t>
                  </w:r>
                </w:p>
              </w:tc>
            </w:tr>
            <w:tr w14:paraId="3980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0587D401">
                  <w:pPr>
                    <w:jc w:val="center"/>
                    <w:rPr>
                      <w:bCs/>
                      <w:szCs w:val="21"/>
                    </w:rPr>
                  </w:pPr>
                </w:p>
              </w:tc>
              <w:tc>
                <w:tcPr>
                  <w:tcW w:w="302" w:type="pct"/>
                  <w:vMerge w:val="continue"/>
                  <w:tcBorders>
                    <w:left w:val="nil"/>
                    <w:right w:val="single" w:color="auto" w:sz="4" w:space="0"/>
                  </w:tcBorders>
                  <w:vAlign w:val="center"/>
                </w:tcPr>
                <w:p w14:paraId="46DCEE9F">
                  <w:pPr>
                    <w:jc w:val="center"/>
                    <w:rPr>
                      <w:bCs/>
                      <w:szCs w:val="21"/>
                    </w:rPr>
                  </w:pPr>
                </w:p>
              </w:tc>
              <w:tc>
                <w:tcPr>
                  <w:tcW w:w="269" w:type="pct"/>
                  <w:vMerge w:val="continue"/>
                  <w:tcBorders>
                    <w:left w:val="nil"/>
                    <w:right w:val="single" w:color="auto" w:sz="4" w:space="0"/>
                  </w:tcBorders>
                  <w:vAlign w:val="center"/>
                </w:tcPr>
                <w:p w14:paraId="24BB35CF">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3D0C1D31">
                  <w:pPr>
                    <w:jc w:val="center"/>
                    <w:rPr>
                      <w:bCs/>
                      <w:szCs w:val="21"/>
                    </w:rPr>
                  </w:pPr>
                  <w:r>
                    <w:rPr>
                      <w:rFonts w:hint="eastAsia" w:ascii="宋体" w:hAnsi="宋体"/>
                      <w:szCs w:val="21"/>
                    </w:rPr>
                    <w:t>污染物排放管控</w:t>
                  </w:r>
                </w:p>
              </w:tc>
              <w:tc>
                <w:tcPr>
                  <w:tcW w:w="1485" w:type="pct"/>
                  <w:tcBorders>
                    <w:top w:val="single" w:color="auto" w:sz="4" w:space="0"/>
                    <w:left w:val="nil"/>
                    <w:bottom w:val="single" w:color="auto" w:sz="4" w:space="0"/>
                    <w:right w:val="single" w:color="auto" w:sz="4" w:space="0"/>
                  </w:tcBorders>
                  <w:vAlign w:val="center"/>
                </w:tcPr>
                <w:p w14:paraId="14C8B639">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城镇污水污染控制措施要求。</w:t>
                  </w:r>
                </w:p>
                <w:p w14:paraId="73035EE1">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强化生活污水治理，以尾水排放去向确定排放标准，因地制宜选取治理技术及方法，加快污水处理设施建设运行，</w:t>
                  </w:r>
                  <w:r>
                    <w:rPr>
                      <w:rFonts w:hint="eastAsia" w:ascii="宋体" w:hAnsi="宋体" w:eastAsia="宋体"/>
                      <w:sz w:val="21"/>
                      <w:lang w:eastAsia="zh-CN"/>
                    </w:rPr>
                    <w:t>城市</w:t>
                  </w:r>
                  <w:r>
                    <w:rPr>
                      <w:rFonts w:hint="eastAsia" w:ascii="宋体" w:hAnsi="宋体" w:eastAsia="宋体"/>
                      <w:sz w:val="21"/>
                    </w:rPr>
                    <w:t>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14:paraId="635BC417">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工业废水污染控制措施要求。</w:t>
                  </w:r>
                </w:p>
                <w:p w14:paraId="527E84FD">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农业面源水污染控制措施要求。</w:t>
                  </w:r>
                </w:p>
                <w:p w14:paraId="5AC0C78F">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船舶港口水污染控制措施要求。</w:t>
                  </w:r>
                </w:p>
                <w:p w14:paraId="30B49723">
                  <w:pPr>
                    <w:rPr>
                      <w:bCs/>
                      <w:szCs w:val="21"/>
                    </w:rPr>
                  </w:pPr>
                  <w:r>
                    <w:rPr>
                      <w:rFonts w:hint="eastAsia" w:ascii="宋体" w:hAnsi="宋体"/>
                      <w:szCs w:val="21"/>
                    </w:rPr>
                    <w:t>饮用水水源和</w:t>
                  </w:r>
                  <w:r>
                    <w:rPr>
                      <w:rFonts w:hint="eastAsia" w:ascii="宋体" w:hAnsi="宋体"/>
                      <w:szCs w:val="21"/>
                      <w:lang w:eastAsia="zh-CN"/>
                    </w:rPr>
                    <w:t>其他</w:t>
                  </w:r>
                  <w:r>
                    <w:rPr>
                      <w:rFonts w:hint="eastAsia" w:ascii="宋体" w:hAnsi="宋体"/>
                      <w:szCs w:val="21"/>
                    </w:rPr>
                    <w:t>特殊水体保护要求。</w:t>
                  </w:r>
                </w:p>
              </w:tc>
              <w:tc>
                <w:tcPr>
                  <w:tcW w:w="1253" w:type="pct"/>
                  <w:tcBorders>
                    <w:top w:val="single" w:color="auto" w:sz="4" w:space="0"/>
                    <w:left w:val="nil"/>
                    <w:bottom w:val="single" w:color="auto" w:sz="4" w:space="0"/>
                    <w:right w:val="single" w:color="auto" w:sz="4" w:space="0"/>
                  </w:tcBorders>
                  <w:vAlign w:val="center"/>
                </w:tcPr>
                <w:p w14:paraId="1B16D98E">
                  <w:pPr>
                    <w:pStyle w:val="11"/>
                    <w:widowControl w:val="0"/>
                    <w:kinsoku w:val="0"/>
                    <w:wordWrap w:val="0"/>
                    <w:overflowPunct w:val="0"/>
                    <w:spacing w:before="0" w:after="0" w:line="240" w:lineRule="auto"/>
                    <w:rPr>
                      <w:sz w:val="21"/>
                      <w:szCs w:val="21"/>
                    </w:rPr>
                  </w:pPr>
                  <w:r>
                    <w:rPr>
                      <w:rFonts w:hint="eastAsia"/>
                      <w:sz w:val="21"/>
                      <w:szCs w:val="21"/>
                    </w:rPr>
                    <w:t>项目所在地块为城市污水管网覆盖区域，所有废水都能排入管网，并已取得《达州市城市管理行政执法局关于同意职教园区中型垃圾转运站建设项目生产生活污水排入市政污水管网的函》（达市城管函</w:t>
                  </w:r>
                  <w:r>
                    <w:rPr>
                      <w:rFonts w:hint="eastAsia"/>
                      <w:sz w:val="21"/>
                      <w:szCs w:val="21"/>
                      <w:lang w:eastAsia="zh-CN"/>
                    </w:rPr>
                    <w:t>〔2025〕</w:t>
                  </w:r>
                  <w:r>
                    <w:rPr>
                      <w:rFonts w:hint="eastAsia"/>
                      <w:sz w:val="21"/>
                      <w:szCs w:val="21"/>
                    </w:rPr>
                    <w:t>125 号）。生活</w:t>
                  </w:r>
                  <w:r>
                    <w:rPr>
                      <w:rFonts w:hint="eastAsia"/>
                      <w:sz w:val="21"/>
                      <w:szCs w:val="21"/>
                      <w:lang w:eastAsia="zh-CN"/>
                    </w:rPr>
                    <w:t>垃圾</w:t>
                  </w:r>
                  <w:r>
                    <w:rPr>
                      <w:rFonts w:hint="eastAsia"/>
                      <w:sz w:val="21"/>
                      <w:szCs w:val="21"/>
                    </w:rPr>
                    <w:t>分类收集后</w:t>
                  </w:r>
                  <w:r>
                    <w:rPr>
                      <w:rFonts w:hint="eastAsia" w:ascii="宋体" w:hAnsi="宋体" w:cs="宋体"/>
                      <w:color w:val="000000"/>
                      <w:sz w:val="21"/>
                      <w:szCs w:val="21"/>
                      <w:lang w:bidi="ar"/>
                    </w:rPr>
                    <w:t>由压缩站统一压缩清运。</w:t>
                  </w:r>
                </w:p>
                <w:p w14:paraId="56A4ED22">
                  <w:pPr>
                    <w:pStyle w:val="11"/>
                    <w:widowControl w:val="0"/>
                    <w:kinsoku w:val="0"/>
                    <w:overflowPunct w:val="0"/>
                    <w:spacing w:before="0" w:after="0" w:line="240" w:lineRule="auto"/>
                    <w:rPr>
                      <w:sz w:val="21"/>
                      <w:szCs w:val="21"/>
                    </w:rPr>
                  </w:pPr>
                </w:p>
              </w:tc>
              <w:tc>
                <w:tcPr>
                  <w:tcW w:w="260" w:type="pct"/>
                  <w:tcBorders>
                    <w:top w:val="single" w:color="auto" w:sz="4" w:space="0"/>
                    <w:left w:val="nil"/>
                    <w:bottom w:val="single" w:color="auto" w:sz="4" w:space="0"/>
                    <w:right w:val="single" w:color="auto" w:sz="4" w:space="0"/>
                  </w:tcBorders>
                  <w:vAlign w:val="center"/>
                </w:tcPr>
                <w:p w14:paraId="102A154F">
                  <w:pPr>
                    <w:jc w:val="center"/>
                    <w:rPr>
                      <w:bCs/>
                      <w:szCs w:val="21"/>
                    </w:rPr>
                  </w:pPr>
                  <w:r>
                    <w:rPr>
                      <w:rFonts w:hint="eastAsia"/>
                      <w:bCs/>
                      <w:szCs w:val="21"/>
                    </w:rPr>
                    <w:t>符合</w:t>
                  </w:r>
                </w:p>
              </w:tc>
            </w:tr>
            <w:tr w14:paraId="3B0E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06CB5A97">
                  <w:pPr>
                    <w:jc w:val="center"/>
                    <w:rPr>
                      <w:bCs/>
                      <w:szCs w:val="21"/>
                    </w:rPr>
                  </w:pPr>
                </w:p>
              </w:tc>
              <w:tc>
                <w:tcPr>
                  <w:tcW w:w="302" w:type="pct"/>
                  <w:vMerge w:val="continue"/>
                  <w:tcBorders>
                    <w:left w:val="nil"/>
                    <w:right w:val="single" w:color="auto" w:sz="4" w:space="0"/>
                  </w:tcBorders>
                  <w:vAlign w:val="center"/>
                </w:tcPr>
                <w:p w14:paraId="425F06EE">
                  <w:pPr>
                    <w:jc w:val="center"/>
                    <w:rPr>
                      <w:bCs/>
                      <w:szCs w:val="21"/>
                    </w:rPr>
                  </w:pPr>
                </w:p>
              </w:tc>
              <w:tc>
                <w:tcPr>
                  <w:tcW w:w="269" w:type="pct"/>
                  <w:vMerge w:val="continue"/>
                  <w:tcBorders>
                    <w:left w:val="nil"/>
                    <w:right w:val="single" w:color="auto" w:sz="4" w:space="0"/>
                  </w:tcBorders>
                  <w:vAlign w:val="center"/>
                </w:tcPr>
                <w:p w14:paraId="5299BB84">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6EBB95BC">
                  <w:pPr>
                    <w:jc w:val="center"/>
                    <w:rPr>
                      <w:bCs/>
                      <w:szCs w:val="21"/>
                    </w:rPr>
                  </w:pPr>
                  <w:r>
                    <w:rPr>
                      <w:rFonts w:hint="eastAsia" w:ascii="宋体" w:hAnsi="宋体"/>
                      <w:szCs w:val="21"/>
                    </w:rPr>
                    <w:t>环境风险防控</w:t>
                  </w:r>
                </w:p>
              </w:tc>
              <w:tc>
                <w:tcPr>
                  <w:tcW w:w="1485" w:type="pct"/>
                  <w:tcBorders>
                    <w:top w:val="single" w:color="auto" w:sz="4" w:space="0"/>
                    <w:left w:val="nil"/>
                    <w:bottom w:val="single" w:color="auto" w:sz="4" w:space="0"/>
                    <w:right w:val="single" w:color="auto" w:sz="4" w:space="0"/>
                  </w:tcBorders>
                  <w:vAlign w:val="center"/>
                </w:tcPr>
                <w:p w14:paraId="2D6C44E2">
                  <w:pPr>
                    <w:rPr>
                      <w:bCs/>
                      <w:szCs w:val="21"/>
                    </w:rPr>
                  </w:pPr>
                  <w:r>
                    <w:rPr>
                      <w:rFonts w:hint="eastAsia" w:ascii="宋体" w:hAnsi="宋体"/>
                      <w:szCs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253" w:type="pct"/>
                  <w:tcBorders>
                    <w:top w:val="single" w:color="auto" w:sz="4" w:space="0"/>
                    <w:left w:val="nil"/>
                    <w:bottom w:val="single" w:color="auto" w:sz="4" w:space="0"/>
                    <w:right w:val="single" w:color="auto" w:sz="4" w:space="0"/>
                  </w:tcBorders>
                  <w:vAlign w:val="center"/>
                </w:tcPr>
                <w:p w14:paraId="2D9B680C">
                  <w:pPr>
                    <w:pStyle w:val="11"/>
                    <w:widowControl w:val="0"/>
                    <w:kinsoku w:val="0"/>
                    <w:overflowPunct w:val="0"/>
                    <w:spacing w:before="0" w:after="0" w:line="240" w:lineRule="auto"/>
                    <w:rPr>
                      <w:sz w:val="21"/>
                      <w:szCs w:val="21"/>
                    </w:rPr>
                  </w:pPr>
                  <w:r>
                    <w:rPr>
                      <w:rFonts w:hint="eastAsia"/>
                      <w:sz w:val="21"/>
                      <w:szCs w:val="21"/>
                    </w:rPr>
                    <w:t>环评要求建设单位加强环境风险防范，严格按照要求建设应急设施。</w:t>
                  </w:r>
                </w:p>
              </w:tc>
              <w:tc>
                <w:tcPr>
                  <w:tcW w:w="260" w:type="pct"/>
                  <w:tcBorders>
                    <w:top w:val="single" w:color="auto" w:sz="4" w:space="0"/>
                    <w:left w:val="nil"/>
                    <w:bottom w:val="single" w:color="auto" w:sz="4" w:space="0"/>
                    <w:right w:val="single" w:color="auto" w:sz="4" w:space="0"/>
                  </w:tcBorders>
                  <w:vAlign w:val="center"/>
                </w:tcPr>
                <w:p w14:paraId="3DF354F3">
                  <w:pPr>
                    <w:jc w:val="center"/>
                    <w:rPr>
                      <w:bCs/>
                      <w:szCs w:val="21"/>
                    </w:rPr>
                  </w:pPr>
                  <w:r>
                    <w:rPr>
                      <w:rFonts w:hint="eastAsia"/>
                      <w:bCs/>
                      <w:szCs w:val="21"/>
                    </w:rPr>
                    <w:t>符合</w:t>
                  </w:r>
                </w:p>
              </w:tc>
            </w:tr>
            <w:tr w14:paraId="0082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3EAD54C4">
                  <w:pPr>
                    <w:jc w:val="center"/>
                    <w:rPr>
                      <w:bCs/>
                      <w:szCs w:val="21"/>
                    </w:rPr>
                  </w:pPr>
                </w:p>
              </w:tc>
              <w:tc>
                <w:tcPr>
                  <w:tcW w:w="302" w:type="pct"/>
                  <w:vMerge w:val="continue"/>
                  <w:tcBorders>
                    <w:left w:val="nil"/>
                    <w:right w:val="single" w:color="auto" w:sz="4" w:space="0"/>
                  </w:tcBorders>
                  <w:vAlign w:val="center"/>
                </w:tcPr>
                <w:p w14:paraId="1A99A644">
                  <w:pPr>
                    <w:jc w:val="center"/>
                    <w:rPr>
                      <w:bCs/>
                      <w:szCs w:val="21"/>
                    </w:rPr>
                  </w:pPr>
                </w:p>
              </w:tc>
              <w:tc>
                <w:tcPr>
                  <w:tcW w:w="269" w:type="pct"/>
                  <w:vMerge w:val="continue"/>
                  <w:tcBorders>
                    <w:left w:val="nil"/>
                    <w:right w:val="single" w:color="auto" w:sz="4" w:space="0"/>
                  </w:tcBorders>
                  <w:vAlign w:val="center"/>
                </w:tcPr>
                <w:p w14:paraId="138C47FC">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07B25AC1">
                  <w:pPr>
                    <w:jc w:val="center"/>
                    <w:rPr>
                      <w:bCs/>
                      <w:szCs w:val="21"/>
                    </w:rPr>
                  </w:pPr>
                  <w:r>
                    <w:rPr>
                      <w:rFonts w:hint="eastAsia" w:ascii="宋体" w:hAnsi="宋体"/>
                      <w:szCs w:val="21"/>
                    </w:rPr>
                    <w:t>资源开发效率要求</w:t>
                  </w:r>
                </w:p>
              </w:tc>
              <w:tc>
                <w:tcPr>
                  <w:tcW w:w="1485" w:type="pct"/>
                  <w:tcBorders>
                    <w:top w:val="single" w:color="auto" w:sz="4" w:space="0"/>
                    <w:left w:val="nil"/>
                    <w:bottom w:val="single" w:color="auto" w:sz="4" w:space="0"/>
                    <w:right w:val="single" w:color="auto" w:sz="4" w:space="0"/>
                  </w:tcBorders>
                  <w:vAlign w:val="center"/>
                </w:tcPr>
                <w:p w14:paraId="6050472C">
                  <w:pPr>
                    <w:rPr>
                      <w:bCs/>
                      <w:szCs w:val="21"/>
                    </w:rPr>
                  </w:pP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02C75182">
                  <w:pPr>
                    <w:pStyle w:val="11"/>
                    <w:widowControl w:val="0"/>
                    <w:kinsoku w:val="0"/>
                    <w:overflowPunct w:val="0"/>
                    <w:spacing w:before="0" w:after="0" w:line="240" w:lineRule="auto"/>
                    <w:rPr>
                      <w:sz w:val="21"/>
                      <w:szCs w:val="21"/>
                    </w:rPr>
                  </w:pPr>
                  <w:r>
                    <w:rPr>
                      <w:rFonts w:hint="eastAsia"/>
                      <w:sz w:val="21"/>
                      <w:szCs w:val="21"/>
                    </w:rPr>
                    <w:t>/</w:t>
                  </w:r>
                </w:p>
              </w:tc>
              <w:tc>
                <w:tcPr>
                  <w:tcW w:w="260" w:type="pct"/>
                  <w:tcBorders>
                    <w:top w:val="single" w:color="auto" w:sz="4" w:space="0"/>
                    <w:left w:val="nil"/>
                    <w:bottom w:val="single" w:color="auto" w:sz="4" w:space="0"/>
                    <w:right w:val="single" w:color="auto" w:sz="4" w:space="0"/>
                  </w:tcBorders>
                  <w:vAlign w:val="center"/>
                </w:tcPr>
                <w:p w14:paraId="338E98A2">
                  <w:pPr>
                    <w:jc w:val="center"/>
                    <w:rPr>
                      <w:bCs/>
                      <w:szCs w:val="21"/>
                    </w:rPr>
                  </w:pPr>
                  <w:r>
                    <w:rPr>
                      <w:rFonts w:hint="eastAsia"/>
                      <w:bCs/>
                      <w:szCs w:val="21"/>
                    </w:rPr>
                    <w:t>/</w:t>
                  </w:r>
                </w:p>
              </w:tc>
            </w:tr>
            <w:tr w14:paraId="59F4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restart"/>
                  <w:tcBorders>
                    <w:left w:val="single" w:color="auto" w:sz="4" w:space="0"/>
                    <w:right w:val="single" w:color="auto" w:sz="4" w:space="0"/>
                  </w:tcBorders>
                  <w:vAlign w:val="center"/>
                </w:tcPr>
                <w:p w14:paraId="1FC5D2B1">
                  <w:pPr>
                    <w:jc w:val="center"/>
                    <w:rPr>
                      <w:bCs/>
                      <w:szCs w:val="21"/>
                    </w:rPr>
                  </w:pPr>
                  <w:r>
                    <w:rPr>
                      <w:szCs w:val="21"/>
                    </w:rPr>
                    <w:t>YS</w:t>
                  </w:r>
                  <w:r>
                    <w:rPr>
                      <w:spacing w:val="9"/>
                      <w:szCs w:val="21"/>
                    </w:rPr>
                    <w:t>5</w:t>
                  </w:r>
                  <w:r>
                    <w:rPr>
                      <w:spacing w:val="5"/>
                      <w:szCs w:val="21"/>
                    </w:rPr>
                    <w:t>11702</w:t>
                  </w:r>
                  <w:r>
                    <w:rPr>
                      <w:spacing w:val="7"/>
                      <w:szCs w:val="21"/>
                    </w:rPr>
                    <w:t>2</w:t>
                  </w:r>
                  <w:r>
                    <w:rPr>
                      <w:spacing w:val="4"/>
                      <w:szCs w:val="21"/>
                    </w:rPr>
                    <w:t>340005</w:t>
                  </w:r>
                </w:p>
              </w:tc>
              <w:tc>
                <w:tcPr>
                  <w:tcW w:w="302" w:type="pct"/>
                  <w:vMerge w:val="restart"/>
                  <w:tcBorders>
                    <w:left w:val="nil"/>
                    <w:right w:val="single" w:color="auto" w:sz="4" w:space="0"/>
                  </w:tcBorders>
                  <w:vAlign w:val="center"/>
                </w:tcPr>
                <w:p w14:paraId="0330861B">
                  <w:pPr>
                    <w:jc w:val="center"/>
                    <w:rPr>
                      <w:bCs/>
                      <w:szCs w:val="21"/>
                    </w:rPr>
                  </w:pPr>
                  <w:r>
                    <w:rPr>
                      <w:spacing w:val="9"/>
                      <w:szCs w:val="21"/>
                    </w:rPr>
                    <w:t>通</w:t>
                  </w:r>
                  <w:r>
                    <w:rPr>
                      <w:spacing w:val="8"/>
                      <w:szCs w:val="21"/>
                    </w:rPr>
                    <w:t>川区中心城</w:t>
                  </w:r>
                  <w:r>
                    <w:rPr>
                      <w:szCs w:val="21"/>
                    </w:rPr>
                    <w:t xml:space="preserve"> 区</w:t>
                  </w:r>
                </w:p>
              </w:tc>
              <w:tc>
                <w:tcPr>
                  <w:tcW w:w="269" w:type="pct"/>
                  <w:vMerge w:val="restart"/>
                  <w:tcBorders>
                    <w:left w:val="nil"/>
                    <w:right w:val="single" w:color="auto" w:sz="4" w:space="0"/>
                  </w:tcBorders>
                  <w:vAlign w:val="center"/>
                </w:tcPr>
                <w:p w14:paraId="77956274">
                  <w:pPr>
                    <w:jc w:val="center"/>
                    <w:rPr>
                      <w:bCs/>
                      <w:szCs w:val="21"/>
                    </w:rPr>
                  </w:pPr>
                  <w:r>
                    <w:rPr>
                      <w:bCs/>
                      <w:szCs w:val="21"/>
                    </w:rPr>
                    <w:t>单元级清单管控要求</w:t>
                  </w:r>
                </w:p>
              </w:tc>
              <w:tc>
                <w:tcPr>
                  <w:tcW w:w="260" w:type="pct"/>
                  <w:tcBorders>
                    <w:top w:val="single" w:color="auto" w:sz="4" w:space="0"/>
                    <w:left w:val="nil"/>
                    <w:bottom w:val="single" w:color="auto" w:sz="4" w:space="0"/>
                    <w:right w:val="single" w:color="auto" w:sz="4" w:space="0"/>
                  </w:tcBorders>
                  <w:vAlign w:val="center"/>
                </w:tcPr>
                <w:p w14:paraId="38EEFDE2">
                  <w:pPr>
                    <w:jc w:val="center"/>
                    <w:rPr>
                      <w:bCs/>
                      <w:szCs w:val="21"/>
                    </w:rPr>
                  </w:pPr>
                  <w:r>
                    <w:rPr>
                      <w:rFonts w:hint="eastAsia" w:ascii="宋体" w:hAnsi="宋体"/>
                      <w:szCs w:val="21"/>
                    </w:rPr>
                    <w:t>空间布局约束</w:t>
                  </w:r>
                </w:p>
              </w:tc>
              <w:tc>
                <w:tcPr>
                  <w:tcW w:w="1485" w:type="pct"/>
                  <w:tcBorders>
                    <w:top w:val="single" w:color="auto" w:sz="4" w:space="0"/>
                    <w:left w:val="nil"/>
                    <w:bottom w:val="single" w:color="auto" w:sz="4" w:space="0"/>
                    <w:right w:val="single" w:color="auto" w:sz="4" w:space="0"/>
                  </w:tcBorders>
                  <w:vAlign w:val="center"/>
                </w:tcPr>
                <w:p w14:paraId="438E921B">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禁止开发建设活动的要求。</w:t>
                  </w:r>
                </w:p>
                <w:p w14:paraId="4F87E8D4">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14:paraId="2BFBF0BF">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14:paraId="7B4FA028">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14:paraId="38C01764">
                  <w:pPr>
                    <w:rPr>
                      <w:bCs/>
                      <w:szCs w:val="21"/>
                    </w:rPr>
                  </w:pPr>
                  <w:r>
                    <w:rPr>
                      <w:rFonts w:hint="eastAsia" w:ascii="宋体" w:hAnsi="宋体"/>
                      <w:szCs w:val="21"/>
                    </w:rPr>
                    <w:t>其他空间布局约束要求。</w:t>
                  </w:r>
                </w:p>
              </w:tc>
              <w:tc>
                <w:tcPr>
                  <w:tcW w:w="1253" w:type="pct"/>
                  <w:tcBorders>
                    <w:top w:val="single" w:color="auto" w:sz="4" w:space="0"/>
                    <w:left w:val="nil"/>
                    <w:bottom w:val="single" w:color="auto" w:sz="4" w:space="0"/>
                    <w:right w:val="single" w:color="auto" w:sz="4" w:space="0"/>
                  </w:tcBorders>
                  <w:vAlign w:val="center"/>
                </w:tcPr>
                <w:p w14:paraId="3C4E30B8">
                  <w:pPr>
                    <w:pStyle w:val="11"/>
                    <w:widowControl w:val="0"/>
                    <w:kinsoku w:val="0"/>
                    <w:overflowPunct w:val="0"/>
                    <w:spacing w:before="0" w:after="0" w:line="240" w:lineRule="auto"/>
                    <w:rPr>
                      <w:sz w:val="21"/>
                      <w:szCs w:val="21"/>
                    </w:rPr>
                  </w:pPr>
                  <w:r>
                    <w:rPr>
                      <w:bCs/>
                      <w:sz w:val="21"/>
                      <w:szCs w:val="21"/>
                    </w:rPr>
                    <w:t>不属于</w:t>
                  </w:r>
                  <w:r>
                    <w:rPr>
                      <w:rFonts w:hint="eastAsia"/>
                      <w:bCs/>
                      <w:sz w:val="21"/>
                      <w:szCs w:val="21"/>
                    </w:rPr>
                    <w:t>限制、</w:t>
                  </w:r>
                  <w:r>
                    <w:rPr>
                      <w:bCs/>
                      <w:sz w:val="21"/>
                      <w:szCs w:val="21"/>
                    </w:rPr>
                    <w:t>禁止开发</w:t>
                  </w:r>
                  <w:r>
                    <w:rPr>
                      <w:rFonts w:hint="eastAsia"/>
                      <w:bCs/>
                      <w:sz w:val="21"/>
                      <w:szCs w:val="21"/>
                    </w:rPr>
                    <w:t>项目，属于允许建设项目</w:t>
                  </w:r>
                  <w:r>
                    <w:rPr>
                      <w:rFonts w:hint="eastAsia"/>
                      <w:sz w:val="21"/>
                      <w:szCs w:val="21"/>
                    </w:rPr>
                    <w:t>，</w:t>
                  </w:r>
                  <w:r>
                    <w:rPr>
                      <w:bCs/>
                      <w:sz w:val="21"/>
                      <w:szCs w:val="21"/>
                    </w:rPr>
                    <w:t>符合</w:t>
                  </w:r>
                  <w:r>
                    <w:rPr>
                      <w:rFonts w:hint="eastAsia"/>
                      <w:bCs/>
                      <w:sz w:val="21"/>
                      <w:szCs w:val="21"/>
                    </w:rPr>
                    <w:t>城镇</w:t>
                  </w:r>
                  <w:r>
                    <w:rPr>
                      <w:bCs/>
                      <w:sz w:val="21"/>
                      <w:szCs w:val="21"/>
                    </w:rPr>
                    <w:t>空间布局要求。</w:t>
                  </w:r>
                </w:p>
              </w:tc>
              <w:tc>
                <w:tcPr>
                  <w:tcW w:w="260" w:type="pct"/>
                  <w:tcBorders>
                    <w:top w:val="single" w:color="auto" w:sz="4" w:space="0"/>
                    <w:left w:val="nil"/>
                    <w:bottom w:val="single" w:color="auto" w:sz="4" w:space="0"/>
                    <w:right w:val="single" w:color="auto" w:sz="4" w:space="0"/>
                  </w:tcBorders>
                  <w:vAlign w:val="center"/>
                </w:tcPr>
                <w:p w14:paraId="1EAFD112">
                  <w:pPr>
                    <w:jc w:val="center"/>
                    <w:rPr>
                      <w:bCs/>
                      <w:szCs w:val="21"/>
                    </w:rPr>
                  </w:pPr>
                  <w:r>
                    <w:rPr>
                      <w:rFonts w:hint="eastAsia"/>
                      <w:bCs/>
                      <w:szCs w:val="21"/>
                    </w:rPr>
                    <w:t>符合</w:t>
                  </w:r>
                </w:p>
              </w:tc>
            </w:tr>
            <w:tr w14:paraId="0FDA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10C4E83A">
                  <w:pPr>
                    <w:jc w:val="center"/>
                    <w:rPr>
                      <w:bCs/>
                      <w:szCs w:val="21"/>
                    </w:rPr>
                  </w:pPr>
                </w:p>
              </w:tc>
              <w:tc>
                <w:tcPr>
                  <w:tcW w:w="302" w:type="pct"/>
                  <w:vMerge w:val="continue"/>
                  <w:tcBorders>
                    <w:left w:val="nil"/>
                    <w:right w:val="single" w:color="auto" w:sz="4" w:space="0"/>
                  </w:tcBorders>
                  <w:vAlign w:val="center"/>
                </w:tcPr>
                <w:p w14:paraId="6D0DB396">
                  <w:pPr>
                    <w:jc w:val="center"/>
                    <w:rPr>
                      <w:bCs/>
                      <w:szCs w:val="21"/>
                    </w:rPr>
                  </w:pPr>
                </w:p>
              </w:tc>
              <w:tc>
                <w:tcPr>
                  <w:tcW w:w="269" w:type="pct"/>
                  <w:vMerge w:val="continue"/>
                  <w:tcBorders>
                    <w:left w:val="nil"/>
                    <w:right w:val="single" w:color="auto" w:sz="4" w:space="0"/>
                  </w:tcBorders>
                  <w:vAlign w:val="center"/>
                </w:tcPr>
                <w:p w14:paraId="41AF7C60">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04434486">
                  <w:pPr>
                    <w:jc w:val="center"/>
                    <w:rPr>
                      <w:bCs/>
                      <w:szCs w:val="21"/>
                    </w:rPr>
                  </w:pPr>
                  <w:r>
                    <w:rPr>
                      <w:rFonts w:hint="eastAsia" w:ascii="宋体" w:hAnsi="宋体"/>
                      <w:szCs w:val="21"/>
                    </w:rPr>
                    <w:t>污染物排放管控</w:t>
                  </w:r>
                </w:p>
              </w:tc>
              <w:tc>
                <w:tcPr>
                  <w:tcW w:w="1485" w:type="pct"/>
                  <w:tcBorders>
                    <w:top w:val="single" w:color="auto" w:sz="4" w:space="0"/>
                    <w:left w:val="nil"/>
                    <w:bottom w:val="single" w:color="auto" w:sz="4" w:space="0"/>
                    <w:right w:val="single" w:color="auto" w:sz="4" w:space="0"/>
                  </w:tcBorders>
                  <w:vAlign w:val="center"/>
                </w:tcPr>
                <w:p w14:paraId="23A86D66">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大气环境质量执行标准《环境空气质量标准》（GB3095-2012）：二级区域大气污染物削减/替代要求新增大气污染物排放的建设项目实施总量削减替代。</w:t>
                  </w:r>
                </w:p>
                <w:p w14:paraId="0F7995AF">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燃煤和其他能源大气污染控制要求。</w:t>
                  </w:r>
                </w:p>
                <w:p w14:paraId="467013D2">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工业废气污染控制要求。</w:t>
                  </w:r>
                </w:p>
                <w:p w14:paraId="54B5306F">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机动车船大气污染控制要求。</w:t>
                  </w:r>
                </w:p>
                <w:p w14:paraId="461007A9">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扬尘污染控制要求。</w:t>
                  </w:r>
                </w:p>
                <w:p w14:paraId="7002C977">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农业生产经营活动大气污染控制要求。</w:t>
                  </w:r>
                </w:p>
                <w:p w14:paraId="35F7C9BA">
                  <w:pPr>
                    <w:pStyle w:val="79"/>
                    <w:widowControl/>
                    <w:spacing w:line="240" w:lineRule="auto"/>
                    <w:ind w:firstLine="0" w:firstLineChars="0"/>
                    <w:jc w:val="left"/>
                    <w:rPr>
                      <w:rFonts w:hint="eastAsia" w:ascii="宋体" w:hAnsi="宋体" w:eastAsia="宋体"/>
                      <w:sz w:val="21"/>
                    </w:rPr>
                  </w:pPr>
                  <w:r>
                    <w:rPr>
                      <w:rFonts w:hint="eastAsia" w:ascii="宋体" w:hAnsi="宋体" w:eastAsia="宋体"/>
                      <w:sz w:val="21"/>
                    </w:rPr>
                    <w:t>重点行业企业专项治理要求。</w:t>
                  </w:r>
                </w:p>
                <w:p w14:paraId="7E02A2D5">
                  <w:pPr>
                    <w:rPr>
                      <w:bCs/>
                      <w:szCs w:val="21"/>
                    </w:rPr>
                  </w:pPr>
                  <w:r>
                    <w:rPr>
                      <w:rFonts w:hint="eastAsia" w:ascii="宋体" w:hAnsi="宋体"/>
                      <w:szCs w:val="21"/>
                    </w:rPr>
                    <w:t>其他大气污染物排放管控要求。</w:t>
                  </w:r>
                </w:p>
              </w:tc>
              <w:tc>
                <w:tcPr>
                  <w:tcW w:w="1253" w:type="pct"/>
                  <w:tcBorders>
                    <w:top w:val="single" w:color="auto" w:sz="4" w:space="0"/>
                    <w:left w:val="nil"/>
                    <w:bottom w:val="single" w:color="auto" w:sz="4" w:space="0"/>
                    <w:right w:val="single" w:color="auto" w:sz="4" w:space="0"/>
                  </w:tcBorders>
                  <w:vAlign w:val="center"/>
                </w:tcPr>
                <w:p w14:paraId="462DC369">
                  <w:pPr>
                    <w:pStyle w:val="11"/>
                    <w:widowControl w:val="0"/>
                    <w:kinsoku w:val="0"/>
                    <w:overflowPunct w:val="0"/>
                    <w:spacing w:before="0" w:after="0" w:line="240" w:lineRule="auto"/>
                    <w:rPr>
                      <w:sz w:val="21"/>
                      <w:szCs w:val="21"/>
                    </w:rPr>
                  </w:pPr>
                  <w:r>
                    <w:rPr>
                      <w:rFonts w:hint="eastAsia"/>
                      <w:sz w:val="21"/>
                      <w:szCs w:val="21"/>
                    </w:rPr>
                    <w:t>项目区域环境空气质量执行《环境空气质量标准》（GB3095-2012）二级标准。</w:t>
                  </w:r>
                </w:p>
              </w:tc>
              <w:tc>
                <w:tcPr>
                  <w:tcW w:w="260" w:type="pct"/>
                  <w:tcBorders>
                    <w:top w:val="single" w:color="auto" w:sz="4" w:space="0"/>
                    <w:left w:val="nil"/>
                    <w:bottom w:val="single" w:color="auto" w:sz="4" w:space="0"/>
                    <w:right w:val="single" w:color="auto" w:sz="4" w:space="0"/>
                  </w:tcBorders>
                  <w:vAlign w:val="center"/>
                </w:tcPr>
                <w:p w14:paraId="64AE5AB3">
                  <w:pPr>
                    <w:jc w:val="center"/>
                    <w:rPr>
                      <w:bCs/>
                      <w:szCs w:val="21"/>
                    </w:rPr>
                  </w:pPr>
                  <w:r>
                    <w:rPr>
                      <w:rFonts w:hint="eastAsia"/>
                      <w:bCs/>
                      <w:szCs w:val="21"/>
                    </w:rPr>
                    <w:t>符合</w:t>
                  </w:r>
                </w:p>
              </w:tc>
            </w:tr>
            <w:tr w14:paraId="48EC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4A253D69">
                  <w:pPr>
                    <w:jc w:val="center"/>
                    <w:rPr>
                      <w:bCs/>
                      <w:szCs w:val="21"/>
                    </w:rPr>
                  </w:pPr>
                </w:p>
              </w:tc>
              <w:tc>
                <w:tcPr>
                  <w:tcW w:w="302" w:type="pct"/>
                  <w:vMerge w:val="continue"/>
                  <w:tcBorders>
                    <w:left w:val="nil"/>
                    <w:right w:val="single" w:color="auto" w:sz="4" w:space="0"/>
                  </w:tcBorders>
                  <w:vAlign w:val="center"/>
                </w:tcPr>
                <w:p w14:paraId="11B1CB0D">
                  <w:pPr>
                    <w:jc w:val="center"/>
                    <w:rPr>
                      <w:bCs/>
                      <w:szCs w:val="21"/>
                    </w:rPr>
                  </w:pPr>
                </w:p>
              </w:tc>
              <w:tc>
                <w:tcPr>
                  <w:tcW w:w="269" w:type="pct"/>
                  <w:vMerge w:val="continue"/>
                  <w:tcBorders>
                    <w:left w:val="nil"/>
                    <w:right w:val="single" w:color="auto" w:sz="4" w:space="0"/>
                  </w:tcBorders>
                  <w:vAlign w:val="center"/>
                </w:tcPr>
                <w:p w14:paraId="6CC76665">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38B02521">
                  <w:pPr>
                    <w:jc w:val="center"/>
                    <w:rPr>
                      <w:bCs/>
                      <w:szCs w:val="21"/>
                    </w:rPr>
                  </w:pPr>
                  <w:r>
                    <w:rPr>
                      <w:rFonts w:hint="eastAsia" w:ascii="宋体" w:hAnsi="宋体"/>
                      <w:szCs w:val="21"/>
                    </w:rPr>
                    <w:t>环境风险防控</w:t>
                  </w:r>
                </w:p>
              </w:tc>
              <w:tc>
                <w:tcPr>
                  <w:tcW w:w="1485" w:type="pct"/>
                  <w:tcBorders>
                    <w:top w:val="single" w:color="auto" w:sz="4" w:space="0"/>
                    <w:left w:val="nil"/>
                    <w:bottom w:val="single" w:color="auto" w:sz="4" w:space="0"/>
                    <w:right w:val="single" w:color="auto" w:sz="4" w:space="0"/>
                  </w:tcBorders>
                  <w:vAlign w:val="center"/>
                </w:tcPr>
                <w:p w14:paraId="588D4751">
                  <w:pPr>
                    <w:rPr>
                      <w:bCs/>
                      <w:szCs w:val="21"/>
                    </w:rPr>
                  </w:pPr>
                  <w:r>
                    <w:rPr>
                      <w:rFonts w:hint="eastAsia" w:ascii="宋体" w:hAnsi="宋体"/>
                      <w:szCs w:val="21"/>
                    </w:rPr>
                    <w:t>现有涉及五类重金属的企业，不得新增污染物排放，限期退城入园或关停；工业企业退出用地，须经评估、修复满足相应用地功能后，方可改变用途。</w:t>
                  </w:r>
                </w:p>
              </w:tc>
              <w:tc>
                <w:tcPr>
                  <w:tcW w:w="1253" w:type="pct"/>
                  <w:tcBorders>
                    <w:top w:val="single" w:color="auto" w:sz="4" w:space="0"/>
                    <w:left w:val="nil"/>
                    <w:bottom w:val="single" w:color="auto" w:sz="4" w:space="0"/>
                    <w:right w:val="single" w:color="auto" w:sz="4" w:space="0"/>
                  </w:tcBorders>
                  <w:vAlign w:val="center"/>
                </w:tcPr>
                <w:p w14:paraId="3EF5D095">
                  <w:pPr>
                    <w:pStyle w:val="11"/>
                    <w:widowControl w:val="0"/>
                    <w:kinsoku w:val="0"/>
                    <w:overflowPunct w:val="0"/>
                    <w:spacing w:before="0" w:after="0" w:line="240" w:lineRule="auto"/>
                    <w:rPr>
                      <w:sz w:val="21"/>
                      <w:szCs w:val="21"/>
                    </w:rPr>
                  </w:pPr>
                  <w:r>
                    <w:rPr>
                      <w:rFonts w:hint="eastAsia"/>
                      <w:sz w:val="21"/>
                      <w:szCs w:val="21"/>
                    </w:rPr>
                    <w:t>项目为新建生活垃圾中转站，不属于</w:t>
                  </w:r>
                  <w:r>
                    <w:rPr>
                      <w:rFonts w:hint="eastAsia" w:ascii="宋体" w:hAnsi="宋体"/>
                      <w:kern w:val="2"/>
                      <w:sz w:val="21"/>
                      <w:szCs w:val="21"/>
                    </w:rPr>
                    <w:t>五类重金属企业。</w:t>
                  </w:r>
                </w:p>
              </w:tc>
              <w:tc>
                <w:tcPr>
                  <w:tcW w:w="260" w:type="pct"/>
                  <w:tcBorders>
                    <w:top w:val="single" w:color="auto" w:sz="4" w:space="0"/>
                    <w:left w:val="nil"/>
                    <w:bottom w:val="single" w:color="auto" w:sz="4" w:space="0"/>
                    <w:right w:val="single" w:color="auto" w:sz="4" w:space="0"/>
                  </w:tcBorders>
                  <w:vAlign w:val="center"/>
                </w:tcPr>
                <w:p w14:paraId="774FBC04">
                  <w:pPr>
                    <w:jc w:val="center"/>
                    <w:rPr>
                      <w:bCs/>
                      <w:szCs w:val="21"/>
                    </w:rPr>
                  </w:pPr>
                  <w:r>
                    <w:rPr>
                      <w:rFonts w:hint="eastAsia"/>
                      <w:bCs/>
                      <w:szCs w:val="21"/>
                    </w:rPr>
                    <w:t>符合</w:t>
                  </w:r>
                </w:p>
              </w:tc>
            </w:tr>
            <w:tr w14:paraId="0034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7" w:type="pct"/>
                  <w:vMerge w:val="continue"/>
                  <w:tcBorders>
                    <w:left w:val="single" w:color="auto" w:sz="4" w:space="0"/>
                    <w:right w:val="single" w:color="auto" w:sz="4" w:space="0"/>
                  </w:tcBorders>
                  <w:vAlign w:val="center"/>
                </w:tcPr>
                <w:p w14:paraId="43920B6F">
                  <w:pPr>
                    <w:jc w:val="center"/>
                    <w:rPr>
                      <w:bCs/>
                      <w:szCs w:val="21"/>
                    </w:rPr>
                  </w:pPr>
                </w:p>
              </w:tc>
              <w:tc>
                <w:tcPr>
                  <w:tcW w:w="302" w:type="pct"/>
                  <w:vMerge w:val="continue"/>
                  <w:tcBorders>
                    <w:left w:val="nil"/>
                    <w:right w:val="single" w:color="auto" w:sz="4" w:space="0"/>
                  </w:tcBorders>
                  <w:vAlign w:val="center"/>
                </w:tcPr>
                <w:p w14:paraId="54CD8C2C">
                  <w:pPr>
                    <w:jc w:val="center"/>
                    <w:rPr>
                      <w:bCs/>
                      <w:szCs w:val="21"/>
                    </w:rPr>
                  </w:pPr>
                </w:p>
              </w:tc>
              <w:tc>
                <w:tcPr>
                  <w:tcW w:w="269" w:type="pct"/>
                  <w:vMerge w:val="continue"/>
                  <w:tcBorders>
                    <w:left w:val="nil"/>
                    <w:right w:val="single" w:color="auto" w:sz="4" w:space="0"/>
                  </w:tcBorders>
                  <w:vAlign w:val="center"/>
                </w:tcPr>
                <w:p w14:paraId="6C874E92">
                  <w:pPr>
                    <w:jc w:val="center"/>
                    <w:rPr>
                      <w:bCs/>
                      <w:szCs w:val="21"/>
                    </w:rPr>
                  </w:pPr>
                </w:p>
              </w:tc>
              <w:tc>
                <w:tcPr>
                  <w:tcW w:w="260" w:type="pct"/>
                  <w:tcBorders>
                    <w:top w:val="single" w:color="auto" w:sz="4" w:space="0"/>
                    <w:left w:val="nil"/>
                    <w:bottom w:val="single" w:color="auto" w:sz="4" w:space="0"/>
                    <w:right w:val="single" w:color="auto" w:sz="4" w:space="0"/>
                  </w:tcBorders>
                  <w:vAlign w:val="center"/>
                </w:tcPr>
                <w:p w14:paraId="1DDE2809">
                  <w:pPr>
                    <w:jc w:val="center"/>
                    <w:rPr>
                      <w:bCs/>
                      <w:szCs w:val="21"/>
                    </w:rPr>
                  </w:pPr>
                  <w:r>
                    <w:rPr>
                      <w:rFonts w:hint="eastAsia" w:ascii="宋体" w:hAnsi="宋体"/>
                      <w:szCs w:val="21"/>
                    </w:rPr>
                    <w:t>资源开发效率要求</w:t>
                  </w:r>
                </w:p>
              </w:tc>
              <w:tc>
                <w:tcPr>
                  <w:tcW w:w="1485" w:type="pct"/>
                  <w:tcBorders>
                    <w:top w:val="single" w:color="auto" w:sz="4" w:space="0"/>
                    <w:left w:val="nil"/>
                    <w:bottom w:val="single" w:color="auto" w:sz="4" w:space="0"/>
                    <w:right w:val="single" w:color="auto" w:sz="4" w:space="0"/>
                  </w:tcBorders>
                  <w:vAlign w:val="center"/>
                </w:tcPr>
                <w:p w14:paraId="6EB29172">
                  <w:pPr>
                    <w:rPr>
                      <w:bCs/>
                      <w:szCs w:val="21"/>
                    </w:rPr>
                  </w:pPr>
                  <w:r>
                    <w:rPr>
                      <w:rFonts w:hint="eastAsia"/>
                      <w:bCs/>
                      <w:szCs w:val="21"/>
                    </w:rPr>
                    <w:t>/</w:t>
                  </w:r>
                </w:p>
              </w:tc>
              <w:tc>
                <w:tcPr>
                  <w:tcW w:w="1253" w:type="pct"/>
                  <w:tcBorders>
                    <w:top w:val="single" w:color="auto" w:sz="4" w:space="0"/>
                    <w:left w:val="nil"/>
                    <w:bottom w:val="single" w:color="auto" w:sz="4" w:space="0"/>
                    <w:right w:val="single" w:color="auto" w:sz="4" w:space="0"/>
                  </w:tcBorders>
                  <w:vAlign w:val="center"/>
                </w:tcPr>
                <w:p w14:paraId="5382BABF">
                  <w:pPr>
                    <w:pStyle w:val="11"/>
                    <w:widowControl w:val="0"/>
                    <w:kinsoku w:val="0"/>
                    <w:overflowPunct w:val="0"/>
                    <w:spacing w:before="0" w:after="0" w:line="240" w:lineRule="auto"/>
                    <w:rPr>
                      <w:sz w:val="21"/>
                      <w:szCs w:val="21"/>
                    </w:rPr>
                  </w:pPr>
                  <w:r>
                    <w:rPr>
                      <w:rFonts w:hint="eastAsia"/>
                      <w:sz w:val="21"/>
                      <w:szCs w:val="21"/>
                    </w:rPr>
                    <w:t>/</w:t>
                  </w:r>
                </w:p>
              </w:tc>
              <w:tc>
                <w:tcPr>
                  <w:tcW w:w="260" w:type="pct"/>
                  <w:tcBorders>
                    <w:top w:val="single" w:color="auto" w:sz="4" w:space="0"/>
                    <w:left w:val="nil"/>
                    <w:bottom w:val="single" w:color="auto" w:sz="4" w:space="0"/>
                    <w:right w:val="single" w:color="auto" w:sz="4" w:space="0"/>
                  </w:tcBorders>
                  <w:vAlign w:val="center"/>
                </w:tcPr>
                <w:p w14:paraId="594326CC">
                  <w:pPr>
                    <w:jc w:val="center"/>
                    <w:rPr>
                      <w:bCs/>
                      <w:szCs w:val="21"/>
                    </w:rPr>
                  </w:pPr>
                  <w:r>
                    <w:rPr>
                      <w:rFonts w:hint="eastAsia"/>
                      <w:bCs/>
                      <w:szCs w:val="21"/>
                    </w:rPr>
                    <w:t>/</w:t>
                  </w:r>
                </w:p>
              </w:tc>
            </w:tr>
          </w:tbl>
          <w:p w14:paraId="7240672D">
            <w:pPr>
              <w:widowControl/>
              <w:spacing w:before="120" w:beforeLines="50" w:line="360" w:lineRule="auto"/>
              <w:ind w:firstLine="480" w:firstLineChars="200"/>
              <w:jc w:val="left"/>
              <w:rPr>
                <w:sz w:val="24"/>
              </w:rPr>
            </w:pPr>
            <w:r>
              <w:rPr>
                <w:rFonts w:hint="eastAsia" w:ascii="宋体" w:hAnsi="宋体" w:cs="宋体"/>
                <w:sz w:val="24"/>
              </w:rPr>
              <w:t>综上，本项目符合“ 三线一单” 相关要求。</w:t>
            </w:r>
          </w:p>
          <w:p w14:paraId="2BC30E5B">
            <w:pPr>
              <w:widowControl/>
              <w:spacing w:line="360" w:lineRule="auto"/>
              <w:jc w:val="left"/>
              <w:rPr>
                <w:b/>
                <w:bCs/>
                <w:sz w:val="24"/>
              </w:rPr>
            </w:pPr>
            <w:r>
              <w:rPr>
                <w:rFonts w:hint="eastAsia"/>
                <w:sz w:val="24"/>
              </w:rPr>
              <w:t xml:space="preserve">    </w:t>
            </w:r>
            <w:r>
              <w:rPr>
                <w:rFonts w:hint="eastAsia"/>
                <w:b/>
                <w:bCs/>
                <w:sz w:val="24"/>
              </w:rPr>
              <w:t>4</w:t>
            </w:r>
            <w:r>
              <w:rPr>
                <w:b/>
                <w:bCs/>
                <w:sz w:val="24"/>
              </w:rPr>
              <w:t>、</w:t>
            </w:r>
            <w:r>
              <w:rPr>
                <w:rFonts w:hAnsi="宋体"/>
                <w:b/>
                <w:kern w:val="0"/>
                <w:sz w:val="24"/>
              </w:rPr>
              <w:t>与《中华人民共和国长江保护法》</w:t>
            </w:r>
            <w:r>
              <w:rPr>
                <w:rFonts w:hint="eastAsia" w:hAnsi="宋体"/>
                <w:b/>
                <w:kern w:val="0"/>
                <w:sz w:val="24"/>
              </w:rPr>
              <w:t>的</w:t>
            </w:r>
            <w:r>
              <w:rPr>
                <w:rFonts w:hAnsi="宋体"/>
                <w:b/>
                <w:kern w:val="0"/>
                <w:sz w:val="24"/>
              </w:rPr>
              <w:t>符合性</w:t>
            </w:r>
            <w:r>
              <w:rPr>
                <w:rFonts w:hint="eastAsia" w:hAnsi="宋体"/>
                <w:b/>
                <w:kern w:val="0"/>
                <w:sz w:val="24"/>
              </w:rPr>
              <w:t>分析</w:t>
            </w:r>
          </w:p>
          <w:p w14:paraId="750A7539">
            <w:pPr>
              <w:autoSpaceDE w:val="0"/>
              <w:autoSpaceDN w:val="0"/>
              <w:adjustRightInd w:val="0"/>
              <w:snapToGrid w:val="0"/>
              <w:spacing w:line="360" w:lineRule="auto"/>
              <w:ind w:firstLine="480" w:firstLineChars="200"/>
              <w:rPr>
                <w:bCs/>
                <w:kern w:val="0"/>
                <w:sz w:val="24"/>
              </w:rPr>
            </w:pPr>
            <w:r>
              <w:rPr>
                <w:rFonts w:hAnsi="宋体"/>
                <w:bCs/>
                <w:kern w:val="0"/>
                <w:sz w:val="24"/>
              </w:rPr>
              <w:t>本项目与《中华人民共和国长江保护法》</w:t>
            </w:r>
            <w:r>
              <w:rPr>
                <w:rFonts w:hint="eastAsia" w:hAnsi="宋体"/>
                <w:bCs/>
                <w:kern w:val="0"/>
                <w:sz w:val="24"/>
              </w:rPr>
              <w:t>（</w:t>
            </w:r>
            <w:r>
              <w:rPr>
                <w:rFonts w:hAnsi="宋体"/>
                <w:bCs/>
                <w:kern w:val="0"/>
                <w:sz w:val="24"/>
              </w:rPr>
              <w:t>2020年12月26日</w:t>
            </w:r>
            <w:r>
              <w:rPr>
                <w:rFonts w:hint="eastAsia" w:hAnsi="宋体"/>
                <w:bCs/>
                <w:kern w:val="0"/>
                <w:sz w:val="24"/>
              </w:rPr>
              <w:t>）</w:t>
            </w:r>
            <w:r>
              <w:rPr>
                <w:rFonts w:hAnsi="宋体"/>
                <w:bCs/>
                <w:kern w:val="0"/>
                <w:sz w:val="24"/>
              </w:rPr>
              <w:t>对比分析详见</w:t>
            </w:r>
            <w:r>
              <w:rPr>
                <w:rFonts w:hint="eastAsia" w:hAnsi="宋体"/>
                <w:bCs/>
                <w:kern w:val="0"/>
                <w:sz w:val="24"/>
              </w:rPr>
              <w:t>下</w:t>
            </w:r>
            <w:r>
              <w:rPr>
                <w:rFonts w:hAnsi="宋体"/>
                <w:bCs/>
                <w:kern w:val="0"/>
                <w:sz w:val="24"/>
              </w:rPr>
              <w:t>表。</w:t>
            </w:r>
          </w:p>
          <w:p w14:paraId="2D400671">
            <w:pPr>
              <w:jc w:val="center"/>
              <w:rPr>
                <w:b/>
                <w:bCs/>
                <w:szCs w:val="21"/>
              </w:rPr>
            </w:pPr>
            <w:r>
              <w:rPr>
                <w:b/>
                <w:bCs/>
                <w:szCs w:val="21"/>
              </w:rPr>
              <w:t>表</w:t>
            </w:r>
            <w:r>
              <w:rPr>
                <w:rFonts w:hint="eastAsia"/>
                <w:b/>
                <w:bCs/>
                <w:szCs w:val="21"/>
              </w:rPr>
              <w:t>1-6</w:t>
            </w:r>
            <w:r>
              <w:rPr>
                <w:b/>
                <w:bCs/>
                <w:szCs w:val="21"/>
              </w:rPr>
              <w:t xml:space="preserve">  与</w:t>
            </w:r>
            <w:r>
              <w:rPr>
                <w:rFonts w:hint="eastAsia"/>
                <w:b/>
                <w:bCs/>
                <w:szCs w:val="21"/>
              </w:rPr>
              <w:t>《中华人民共和国长江保护法》</w:t>
            </w:r>
            <w:r>
              <w:rPr>
                <w:b/>
                <w:bCs/>
                <w:szCs w:val="21"/>
              </w:rPr>
              <w:t>对比分析表</w:t>
            </w:r>
          </w:p>
          <w:tbl>
            <w:tblPr>
              <w:tblStyle w:val="27"/>
              <w:tblW w:w="48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09"/>
              <w:gridCol w:w="4388"/>
              <w:gridCol w:w="2499"/>
              <w:gridCol w:w="875"/>
            </w:tblGrid>
            <w:tr w14:paraId="73DCB2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0C43E4E9">
                  <w:pPr>
                    <w:jc w:val="center"/>
                    <w:rPr>
                      <w:rFonts w:hint="eastAsia" w:hAnsi="宋体"/>
                      <w:kern w:val="0"/>
                      <w:szCs w:val="21"/>
                    </w:rPr>
                  </w:pPr>
                  <w:r>
                    <w:rPr>
                      <w:rFonts w:hAnsi="宋体"/>
                      <w:kern w:val="0"/>
                      <w:szCs w:val="21"/>
                    </w:rPr>
                    <w:t>序号</w:t>
                  </w:r>
                </w:p>
              </w:tc>
              <w:tc>
                <w:tcPr>
                  <w:tcW w:w="3443" w:type="dxa"/>
                  <w:vAlign w:val="center"/>
                </w:tcPr>
                <w:p w14:paraId="23B1798A">
                  <w:pPr>
                    <w:jc w:val="center"/>
                    <w:rPr>
                      <w:rFonts w:hint="eastAsia" w:hAnsi="宋体"/>
                      <w:kern w:val="0"/>
                      <w:szCs w:val="21"/>
                    </w:rPr>
                  </w:pPr>
                  <w:r>
                    <w:rPr>
                      <w:rFonts w:hint="eastAsia" w:hAnsi="宋体"/>
                      <w:kern w:val="0"/>
                      <w:szCs w:val="21"/>
                    </w:rPr>
                    <w:t>相关</w:t>
                  </w:r>
                  <w:r>
                    <w:rPr>
                      <w:rFonts w:hAnsi="宋体"/>
                      <w:kern w:val="0"/>
                      <w:szCs w:val="21"/>
                    </w:rPr>
                    <w:t>要求</w:t>
                  </w:r>
                </w:p>
              </w:tc>
              <w:tc>
                <w:tcPr>
                  <w:tcW w:w="1961" w:type="dxa"/>
                  <w:vAlign w:val="center"/>
                </w:tcPr>
                <w:p w14:paraId="6A907421">
                  <w:pPr>
                    <w:jc w:val="center"/>
                    <w:rPr>
                      <w:rFonts w:hint="eastAsia" w:hAnsi="宋体"/>
                      <w:kern w:val="0"/>
                      <w:szCs w:val="21"/>
                    </w:rPr>
                  </w:pPr>
                  <w:r>
                    <w:rPr>
                      <w:rFonts w:hAnsi="宋体"/>
                      <w:kern w:val="0"/>
                      <w:szCs w:val="21"/>
                    </w:rPr>
                    <w:t>本工程内容</w:t>
                  </w:r>
                </w:p>
              </w:tc>
              <w:tc>
                <w:tcPr>
                  <w:tcW w:w="686" w:type="dxa"/>
                  <w:vAlign w:val="center"/>
                </w:tcPr>
                <w:p w14:paraId="42C3FD64">
                  <w:pPr>
                    <w:jc w:val="center"/>
                    <w:rPr>
                      <w:rFonts w:hint="eastAsia" w:hAnsi="宋体"/>
                      <w:kern w:val="0"/>
                      <w:szCs w:val="21"/>
                    </w:rPr>
                  </w:pPr>
                  <w:r>
                    <w:rPr>
                      <w:rFonts w:hAnsi="宋体"/>
                      <w:kern w:val="0"/>
                      <w:szCs w:val="21"/>
                    </w:rPr>
                    <w:t>符合性</w:t>
                  </w:r>
                </w:p>
              </w:tc>
            </w:tr>
            <w:tr w14:paraId="67809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74B03C89">
                  <w:pPr>
                    <w:jc w:val="center"/>
                    <w:rPr>
                      <w:rFonts w:hint="eastAsia" w:hAnsi="宋体"/>
                      <w:kern w:val="0"/>
                      <w:szCs w:val="21"/>
                    </w:rPr>
                  </w:pPr>
                  <w:r>
                    <w:rPr>
                      <w:rFonts w:hAnsi="宋体"/>
                      <w:kern w:val="0"/>
                      <w:szCs w:val="21"/>
                    </w:rPr>
                    <w:t>1</w:t>
                  </w:r>
                </w:p>
              </w:tc>
              <w:tc>
                <w:tcPr>
                  <w:tcW w:w="3443" w:type="dxa"/>
                  <w:vAlign w:val="center"/>
                </w:tcPr>
                <w:p w14:paraId="280F3F98">
                  <w:pPr>
                    <w:jc w:val="left"/>
                    <w:rPr>
                      <w:rFonts w:hint="eastAsia" w:hAnsi="宋体"/>
                      <w:kern w:val="0"/>
                      <w:szCs w:val="21"/>
                    </w:rPr>
                  </w:pPr>
                  <w:r>
                    <w:rPr>
                      <w:rFonts w:hAnsi="宋体"/>
                      <w:kern w:val="0"/>
                      <w:szCs w:val="21"/>
                    </w:rPr>
                    <w:t>禁止在长江流域重点生态功能区布局对生态系统有严重影响的产业。禁止重污染企业和项目向长江中上游转移。</w:t>
                  </w:r>
                </w:p>
              </w:tc>
              <w:tc>
                <w:tcPr>
                  <w:tcW w:w="1961" w:type="dxa"/>
                  <w:vAlign w:val="center"/>
                </w:tcPr>
                <w:p w14:paraId="6C076C61">
                  <w:pPr>
                    <w:jc w:val="center"/>
                    <w:rPr>
                      <w:rFonts w:hint="eastAsia" w:hAnsi="宋体"/>
                      <w:kern w:val="0"/>
                      <w:szCs w:val="21"/>
                    </w:rPr>
                  </w:pPr>
                  <w:r>
                    <w:rPr>
                      <w:rFonts w:hint="eastAsia" w:hAnsi="宋体"/>
                      <w:kern w:val="0"/>
                      <w:szCs w:val="21"/>
                    </w:rPr>
                    <w:t>本</w:t>
                  </w:r>
                  <w:r>
                    <w:rPr>
                      <w:rFonts w:hAnsi="宋体"/>
                      <w:kern w:val="0"/>
                      <w:szCs w:val="21"/>
                    </w:rPr>
                    <w:t>项目</w:t>
                  </w:r>
                  <w:r>
                    <w:rPr>
                      <w:rFonts w:hint="eastAsia" w:hAnsi="宋体"/>
                      <w:kern w:val="0"/>
                      <w:szCs w:val="21"/>
                    </w:rPr>
                    <w:t>不位于</w:t>
                  </w:r>
                  <w:r>
                    <w:rPr>
                      <w:rFonts w:hAnsi="宋体"/>
                      <w:kern w:val="0"/>
                      <w:szCs w:val="21"/>
                    </w:rPr>
                    <w:t>长江流域重点生态功能区</w:t>
                  </w:r>
                  <w:r>
                    <w:rPr>
                      <w:rFonts w:hint="eastAsia" w:hAnsi="宋体"/>
                      <w:kern w:val="0"/>
                      <w:szCs w:val="21"/>
                    </w:rPr>
                    <w:t>，可减轻区域内生活垃圾中转压力，不会对</w:t>
                  </w:r>
                  <w:r>
                    <w:rPr>
                      <w:rFonts w:hAnsi="宋体"/>
                      <w:kern w:val="0"/>
                      <w:szCs w:val="21"/>
                    </w:rPr>
                    <w:t>生态系统</w:t>
                  </w:r>
                  <w:r>
                    <w:rPr>
                      <w:rFonts w:hint="eastAsia" w:hAnsi="宋体"/>
                      <w:kern w:val="0"/>
                      <w:szCs w:val="21"/>
                    </w:rPr>
                    <w:t>产生严重影响</w:t>
                  </w:r>
                </w:p>
              </w:tc>
              <w:tc>
                <w:tcPr>
                  <w:tcW w:w="686" w:type="dxa"/>
                  <w:vAlign w:val="center"/>
                </w:tcPr>
                <w:p w14:paraId="73D5ADFC">
                  <w:pPr>
                    <w:jc w:val="center"/>
                    <w:rPr>
                      <w:rFonts w:hint="eastAsia" w:hAnsi="宋体"/>
                      <w:kern w:val="0"/>
                      <w:szCs w:val="21"/>
                    </w:rPr>
                  </w:pPr>
                  <w:r>
                    <w:rPr>
                      <w:rFonts w:hAnsi="宋体"/>
                      <w:kern w:val="0"/>
                      <w:szCs w:val="21"/>
                    </w:rPr>
                    <w:t>符合</w:t>
                  </w:r>
                </w:p>
              </w:tc>
            </w:tr>
            <w:tr w14:paraId="66E56C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4BAE47A3">
                  <w:pPr>
                    <w:jc w:val="center"/>
                    <w:rPr>
                      <w:rFonts w:hint="eastAsia" w:hAnsi="宋体"/>
                      <w:kern w:val="0"/>
                      <w:szCs w:val="21"/>
                    </w:rPr>
                  </w:pPr>
                  <w:r>
                    <w:rPr>
                      <w:rFonts w:hint="eastAsia" w:hAnsi="宋体"/>
                      <w:kern w:val="0"/>
                      <w:szCs w:val="21"/>
                    </w:rPr>
                    <w:t>2</w:t>
                  </w:r>
                </w:p>
              </w:tc>
              <w:tc>
                <w:tcPr>
                  <w:tcW w:w="3443" w:type="dxa"/>
                  <w:vAlign w:val="center"/>
                </w:tcPr>
                <w:p w14:paraId="77FF02FD">
                  <w:pPr>
                    <w:jc w:val="left"/>
                    <w:rPr>
                      <w:rFonts w:hint="eastAsia" w:hAnsi="宋体"/>
                      <w:kern w:val="0"/>
                      <w:szCs w:val="21"/>
                    </w:rPr>
                  </w:pPr>
                  <w:r>
                    <w:rPr>
                      <w:rFonts w:hAnsi="宋体"/>
                      <w:kern w:val="0"/>
                      <w:szCs w:val="21"/>
                    </w:rPr>
                    <w:t>对长江流域已建小水电工程，不符合生态保护要求的，县级以上地方人民政府应当组织分类整改或者采取措施逐步退出</w:t>
                  </w:r>
                </w:p>
              </w:tc>
              <w:tc>
                <w:tcPr>
                  <w:tcW w:w="1961" w:type="dxa"/>
                  <w:vAlign w:val="center"/>
                </w:tcPr>
                <w:p w14:paraId="0D22AEC1">
                  <w:pPr>
                    <w:jc w:val="center"/>
                    <w:rPr>
                      <w:rFonts w:hint="eastAsia" w:hAnsi="宋体"/>
                      <w:kern w:val="0"/>
                      <w:szCs w:val="21"/>
                    </w:rPr>
                  </w:pPr>
                  <w:r>
                    <w:rPr>
                      <w:rFonts w:hint="eastAsia" w:hAnsi="宋体"/>
                      <w:kern w:val="0"/>
                      <w:szCs w:val="21"/>
                    </w:rPr>
                    <w:t>本项目不属于</w:t>
                  </w:r>
                  <w:r>
                    <w:rPr>
                      <w:rFonts w:hAnsi="宋体"/>
                      <w:kern w:val="0"/>
                      <w:szCs w:val="21"/>
                    </w:rPr>
                    <w:t>小水电工程</w:t>
                  </w:r>
                </w:p>
              </w:tc>
              <w:tc>
                <w:tcPr>
                  <w:tcW w:w="686" w:type="dxa"/>
                  <w:vAlign w:val="center"/>
                </w:tcPr>
                <w:p w14:paraId="0696EBEC">
                  <w:pPr>
                    <w:jc w:val="center"/>
                    <w:rPr>
                      <w:rFonts w:hint="eastAsia" w:hAnsi="宋体"/>
                      <w:kern w:val="0"/>
                      <w:szCs w:val="21"/>
                    </w:rPr>
                  </w:pPr>
                  <w:r>
                    <w:rPr>
                      <w:rFonts w:hAnsi="宋体"/>
                      <w:kern w:val="0"/>
                      <w:szCs w:val="21"/>
                    </w:rPr>
                    <w:t>符合</w:t>
                  </w:r>
                </w:p>
              </w:tc>
            </w:tr>
            <w:tr w14:paraId="6FB34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0A92FEDB">
                  <w:pPr>
                    <w:jc w:val="center"/>
                    <w:rPr>
                      <w:rFonts w:hint="eastAsia" w:hAnsi="宋体"/>
                      <w:kern w:val="0"/>
                      <w:szCs w:val="21"/>
                    </w:rPr>
                  </w:pPr>
                  <w:r>
                    <w:rPr>
                      <w:rFonts w:hint="eastAsia" w:hAnsi="宋体"/>
                      <w:kern w:val="0"/>
                      <w:szCs w:val="21"/>
                    </w:rPr>
                    <w:t>3</w:t>
                  </w:r>
                </w:p>
              </w:tc>
              <w:tc>
                <w:tcPr>
                  <w:tcW w:w="3443" w:type="dxa"/>
                  <w:vAlign w:val="center"/>
                </w:tcPr>
                <w:p w14:paraId="4447BBF9">
                  <w:pPr>
                    <w:jc w:val="left"/>
                    <w:rPr>
                      <w:rFonts w:hint="eastAsia" w:hAnsi="宋体"/>
                      <w:kern w:val="0"/>
                      <w:szCs w:val="21"/>
                    </w:rPr>
                  </w:pPr>
                  <w:r>
                    <w:rPr>
                      <w:rFonts w:hAnsi="宋体"/>
                      <w:kern w:val="0"/>
                      <w:szCs w:val="21"/>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r>
                    <w:rPr>
                      <w:rFonts w:hint="eastAsia" w:hAnsi="宋体"/>
                      <w:kern w:val="0"/>
                      <w:szCs w:val="21"/>
                    </w:rPr>
                    <w:t>。</w:t>
                  </w:r>
                </w:p>
              </w:tc>
              <w:tc>
                <w:tcPr>
                  <w:tcW w:w="1961" w:type="dxa"/>
                  <w:vAlign w:val="center"/>
                </w:tcPr>
                <w:p w14:paraId="0F0323F0">
                  <w:pPr>
                    <w:jc w:val="center"/>
                    <w:rPr>
                      <w:rFonts w:hint="eastAsia" w:hAnsi="宋体"/>
                      <w:kern w:val="0"/>
                      <w:szCs w:val="21"/>
                    </w:rPr>
                  </w:pPr>
                  <w:r>
                    <w:rPr>
                      <w:rFonts w:hint="eastAsia" w:hAnsi="宋体"/>
                      <w:kern w:val="0"/>
                      <w:szCs w:val="21"/>
                    </w:rPr>
                    <w:t>本项目不涉及</w:t>
                  </w:r>
                </w:p>
              </w:tc>
              <w:tc>
                <w:tcPr>
                  <w:tcW w:w="686" w:type="dxa"/>
                  <w:vAlign w:val="center"/>
                </w:tcPr>
                <w:p w14:paraId="068677EC">
                  <w:pPr>
                    <w:jc w:val="center"/>
                    <w:rPr>
                      <w:rFonts w:hint="eastAsia" w:hAnsi="宋体"/>
                      <w:kern w:val="0"/>
                      <w:szCs w:val="21"/>
                    </w:rPr>
                  </w:pPr>
                  <w:r>
                    <w:rPr>
                      <w:rFonts w:hAnsi="宋体"/>
                      <w:kern w:val="0"/>
                      <w:szCs w:val="21"/>
                    </w:rPr>
                    <w:t>符合</w:t>
                  </w:r>
                </w:p>
              </w:tc>
            </w:tr>
            <w:tr w14:paraId="054A40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4AF896E1">
                  <w:pPr>
                    <w:jc w:val="center"/>
                    <w:rPr>
                      <w:rFonts w:hint="eastAsia" w:hAnsi="宋体"/>
                      <w:kern w:val="0"/>
                      <w:szCs w:val="21"/>
                    </w:rPr>
                  </w:pPr>
                  <w:r>
                    <w:rPr>
                      <w:rFonts w:hint="eastAsia" w:hAnsi="宋体"/>
                      <w:kern w:val="0"/>
                      <w:szCs w:val="21"/>
                    </w:rPr>
                    <w:t>4</w:t>
                  </w:r>
                </w:p>
              </w:tc>
              <w:tc>
                <w:tcPr>
                  <w:tcW w:w="3443" w:type="dxa"/>
                  <w:vAlign w:val="center"/>
                </w:tcPr>
                <w:p w14:paraId="3DC1004B">
                  <w:pPr>
                    <w:jc w:val="left"/>
                    <w:rPr>
                      <w:rFonts w:hint="eastAsia" w:hAnsi="宋体"/>
                      <w:kern w:val="0"/>
                      <w:szCs w:val="21"/>
                    </w:rPr>
                  </w:pPr>
                  <w:r>
                    <w:rPr>
                      <w:rFonts w:hAnsi="宋体"/>
                      <w:kern w:val="0"/>
                      <w:szCs w:val="21"/>
                    </w:rPr>
                    <w:t>禁止在长江流域开放水域养殖、投放外来物种或者其他非本地物种种质资源</w:t>
                  </w:r>
                  <w:r>
                    <w:rPr>
                      <w:rFonts w:hint="eastAsia" w:hAnsi="宋体"/>
                      <w:kern w:val="0"/>
                      <w:szCs w:val="21"/>
                    </w:rPr>
                    <w:t>。</w:t>
                  </w:r>
                </w:p>
              </w:tc>
              <w:tc>
                <w:tcPr>
                  <w:tcW w:w="1961" w:type="dxa"/>
                  <w:vAlign w:val="center"/>
                </w:tcPr>
                <w:p w14:paraId="30350CD2">
                  <w:pPr>
                    <w:jc w:val="center"/>
                    <w:rPr>
                      <w:rFonts w:hint="eastAsia" w:hAnsi="宋体"/>
                      <w:kern w:val="0"/>
                      <w:szCs w:val="21"/>
                    </w:rPr>
                  </w:pPr>
                  <w:r>
                    <w:rPr>
                      <w:rFonts w:hint="eastAsia" w:hAnsi="宋体"/>
                      <w:kern w:val="0"/>
                      <w:szCs w:val="21"/>
                    </w:rPr>
                    <w:t>本项目不涉及</w:t>
                  </w:r>
                </w:p>
              </w:tc>
              <w:tc>
                <w:tcPr>
                  <w:tcW w:w="686" w:type="dxa"/>
                  <w:vAlign w:val="center"/>
                </w:tcPr>
                <w:p w14:paraId="7E39AA61">
                  <w:pPr>
                    <w:jc w:val="center"/>
                    <w:rPr>
                      <w:rFonts w:hint="eastAsia" w:hAnsi="宋体"/>
                      <w:kern w:val="0"/>
                      <w:szCs w:val="21"/>
                    </w:rPr>
                  </w:pPr>
                  <w:r>
                    <w:rPr>
                      <w:rFonts w:hAnsi="宋体"/>
                      <w:kern w:val="0"/>
                      <w:szCs w:val="21"/>
                    </w:rPr>
                    <w:t>符合</w:t>
                  </w:r>
                </w:p>
              </w:tc>
            </w:tr>
            <w:tr w14:paraId="160751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0C8AF341">
                  <w:pPr>
                    <w:jc w:val="center"/>
                    <w:rPr>
                      <w:rFonts w:hint="eastAsia" w:hAnsi="宋体"/>
                      <w:kern w:val="0"/>
                      <w:szCs w:val="21"/>
                    </w:rPr>
                  </w:pPr>
                  <w:r>
                    <w:rPr>
                      <w:rFonts w:hint="eastAsia" w:hAnsi="宋体"/>
                      <w:kern w:val="0"/>
                      <w:szCs w:val="21"/>
                    </w:rPr>
                    <w:t>5</w:t>
                  </w:r>
                </w:p>
              </w:tc>
              <w:tc>
                <w:tcPr>
                  <w:tcW w:w="3443" w:type="dxa"/>
                  <w:vAlign w:val="center"/>
                </w:tcPr>
                <w:p w14:paraId="49A2C01B">
                  <w:pPr>
                    <w:jc w:val="left"/>
                    <w:rPr>
                      <w:rFonts w:hint="eastAsia" w:hAnsi="宋体"/>
                      <w:kern w:val="0"/>
                      <w:szCs w:val="21"/>
                    </w:rPr>
                  </w:pPr>
                  <w:r>
                    <w:rPr>
                      <w:rFonts w:hAnsi="宋体"/>
                      <w:kern w:val="0"/>
                      <w:szCs w:val="21"/>
                    </w:rPr>
                    <w:t>禁止在长江流域河湖管理范围内倾倒、填埋、堆放、弃置、处理固体废物。长江流域县级以上地方人民政府应当加强对固体废物非法转移和倾倒的联防联控</w:t>
                  </w:r>
                  <w:r>
                    <w:rPr>
                      <w:rFonts w:hint="eastAsia" w:hAnsi="宋体"/>
                      <w:kern w:val="0"/>
                      <w:szCs w:val="21"/>
                    </w:rPr>
                    <w:t>。</w:t>
                  </w:r>
                </w:p>
              </w:tc>
              <w:tc>
                <w:tcPr>
                  <w:tcW w:w="1961" w:type="dxa"/>
                  <w:vAlign w:val="center"/>
                </w:tcPr>
                <w:p w14:paraId="03B0AE32">
                  <w:pPr>
                    <w:jc w:val="center"/>
                    <w:rPr>
                      <w:rFonts w:hint="eastAsia" w:hAnsi="宋体"/>
                      <w:kern w:val="0"/>
                      <w:szCs w:val="21"/>
                    </w:rPr>
                  </w:pPr>
                  <w:r>
                    <w:rPr>
                      <w:rFonts w:hint="eastAsia" w:hAnsi="宋体"/>
                      <w:kern w:val="0"/>
                      <w:szCs w:val="21"/>
                    </w:rPr>
                    <w:t>本项目固体废物严格按照</w:t>
                  </w:r>
                  <w:r>
                    <w:rPr>
                      <w:rFonts w:hAnsi="宋体"/>
                      <w:kern w:val="0"/>
                      <w:szCs w:val="21"/>
                    </w:rPr>
                    <w:t>（达市环办发〔20</w:t>
                  </w:r>
                  <w:r>
                    <w:rPr>
                      <w:rFonts w:hint="eastAsia" w:hAnsi="宋体"/>
                      <w:kern w:val="0"/>
                      <w:szCs w:val="21"/>
                    </w:rPr>
                    <w:t>21</w:t>
                  </w:r>
                  <w:r>
                    <w:rPr>
                      <w:rFonts w:hAnsi="宋体"/>
                      <w:kern w:val="0"/>
                      <w:szCs w:val="21"/>
                    </w:rPr>
                    <w:t>〕</w:t>
                  </w:r>
                  <w:r>
                    <w:rPr>
                      <w:rFonts w:hint="eastAsia" w:hAnsi="宋体"/>
                      <w:kern w:val="0"/>
                      <w:szCs w:val="21"/>
                    </w:rPr>
                    <w:t>24</w:t>
                  </w:r>
                  <w:r>
                    <w:rPr>
                      <w:rFonts w:hAnsi="宋体"/>
                      <w:kern w:val="0"/>
                      <w:szCs w:val="21"/>
                    </w:rPr>
                    <w:t>号</w:t>
                  </w:r>
                  <w:r>
                    <w:rPr>
                      <w:rFonts w:hint="eastAsia" w:hAnsi="宋体"/>
                      <w:kern w:val="0"/>
                      <w:szCs w:val="21"/>
                    </w:rPr>
                    <w:t>）及相关规范要求进行处置</w:t>
                  </w:r>
                </w:p>
              </w:tc>
              <w:tc>
                <w:tcPr>
                  <w:tcW w:w="686" w:type="dxa"/>
                  <w:vAlign w:val="center"/>
                </w:tcPr>
                <w:p w14:paraId="2C17543C">
                  <w:pPr>
                    <w:jc w:val="center"/>
                    <w:rPr>
                      <w:rFonts w:hint="eastAsia" w:hAnsi="宋体"/>
                      <w:kern w:val="0"/>
                      <w:szCs w:val="21"/>
                    </w:rPr>
                  </w:pPr>
                  <w:r>
                    <w:rPr>
                      <w:rFonts w:hAnsi="宋体"/>
                      <w:kern w:val="0"/>
                      <w:szCs w:val="21"/>
                    </w:rPr>
                    <w:t>符合</w:t>
                  </w:r>
                </w:p>
              </w:tc>
            </w:tr>
            <w:tr w14:paraId="0086FF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31D7DEF5">
                  <w:pPr>
                    <w:jc w:val="center"/>
                    <w:rPr>
                      <w:rFonts w:hint="eastAsia" w:hAnsi="宋体"/>
                      <w:kern w:val="0"/>
                      <w:szCs w:val="21"/>
                    </w:rPr>
                  </w:pPr>
                  <w:r>
                    <w:rPr>
                      <w:rFonts w:hint="eastAsia" w:hAnsi="宋体"/>
                      <w:kern w:val="0"/>
                      <w:szCs w:val="21"/>
                    </w:rPr>
                    <w:t>6</w:t>
                  </w:r>
                </w:p>
              </w:tc>
              <w:tc>
                <w:tcPr>
                  <w:tcW w:w="3443" w:type="dxa"/>
                  <w:vAlign w:val="center"/>
                </w:tcPr>
                <w:p w14:paraId="41913D49">
                  <w:pPr>
                    <w:jc w:val="left"/>
                    <w:rPr>
                      <w:rFonts w:hint="eastAsia" w:hAnsi="宋体"/>
                      <w:kern w:val="0"/>
                      <w:szCs w:val="21"/>
                    </w:rPr>
                  </w:pPr>
                  <w:r>
                    <w:rPr>
                      <w:rFonts w:hAnsi="宋体"/>
                      <w:kern w:val="0"/>
                      <w:szCs w:val="21"/>
                    </w:rPr>
                    <w:t>禁止在长江流域水上运输剧毒化学品和国家规定禁止通过内河运输的其他危险化学品。长江流域县级以上地方人民政府交通运输主管部门会同本级人民政府有关部门加强对长江流域危险化学品运输的管控</w:t>
                  </w:r>
                  <w:r>
                    <w:rPr>
                      <w:rFonts w:hint="eastAsia" w:hAnsi="宋体"/>
                      <w:kern w:val="0"/>
                      <w:szCs w:val="21"/>
                    </w:rPr>
                    <w:t>。</w:t>
                  </w:r>
                </w:p>
              </w:tc>
              <w:tc>
                <w:tcPr>
                  <w:tcW w:w="1961" w:type="dxa"/>
                  <w:vAlign w:val="center"/>
                </w:tcPr>
                <w:p w14:paraId="7BE90304">
                  <w:pPr>
                    <w:jc w:val="center"/>
                    <w:rPr>
                      <w:rFonts w:hint="eastAsia" w:hAnsi="宋体"/>
                      <w:kern w:val="0"/>
                      <w:szCs w:val="21"/>
                    </w:rPr>
                  </w:pPr>
                  <w:r>
                    <w:rPr>
                      <w:rFonts w:hint="eastAsia" w:hAnsi="宋体"/>
                      <w:kern w:val="0"/>
                      <w:szCs w:val="21"/>
                    </w:rPr>
                    <w:t>本项目不涉及</w:t>
                  </w:r>
                </w:p>
              </w:tc>
              <w:tc>
                <w:tcPr>
                  <w:tcW w:w="686" w:type="dxa"/>
                  <w:vAlign w:val="center"/>
                </w:tcPr>
                <w:p w14:paraId="3525A711">
                  <w:pPr>
                    <w:jc w:val="center"/>
                    <w:rPr>
                      <w:rFonts w:hint="eastAsia" w:hAnsi="宋体"/>
                      <w:kern w:val="0"/>
                      <w:szCs w:val="21"/>
                    </w:rPr>
                  </w:pPr>
                  <w:r>
                    <w:rPr>
                      <w:rFonts w:hAnsi="宋体"/>
                      <w:kern w:val="0"/>
                      <w:szCs w:val="21"/>
                    </w:rPr>
                    <w:t>符合</w:t>
                  </w:r>
                </w:p>
              </w:tc>
            </w:tr>
            <w:tr w14:paraId="496D41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55FE36A5">
                  <w:pPr>
                    <w:jc w:val="center"/>
                    <w:rPr>
                      <w:rFonts w:hint="eastAsia" w:hAnsi="宋体"/>
                      <w:kern w:val="0"/>
                      <w:szCs w:val="21"/>
                    </w:rPr>
                  </w:pPr>
                  <w:r>
                    <w:rPr>
                      <w:rFonts w:hint="eastAsia" w:hAnsi="宋体"/>
                      <w:kern w:val="0"/>
                      <w:szCs w:val="21"/>
                    </w:rPr>
                    <w:t>7</w:t>
                  </w:r>
                </w:p>
              </w:tc>
              <w:tc>
                <w:tcPr>
                  <w:tcW w:w="3443" w:type="dxa"/>
                  <w:vAlign w:val="center"/>
                </w:tcPr>
                <w:p w14:paraId="14833ED2">
                  <w:pPr>
                    <w:jc w:val="left"/>
                    <w:rPr>
                      <w:rFonts w:hint="eastAsia" w:hAnsi="宋体"/>
                      <w:kern w:val="0"/>
                      <w:szCs w:val="21"/>
                    </w:rPr>
                  </w:pPr>
                  <w:r>
                    <w:rPr>
                      <w:rFonts w:hAnsi="宋体"/>
                      <w:kern w:val="0"/>
                      <w:szCs w:val="21"/>
                    </w:rPr>
                    <w:t>禁止违法利用、占用长江流域河湖岸线</w:t>
                  </w:r>
                  <w:r>
                    <w:rPr>
                      <w:rFonts w:hint="eastAsia" w:hAnsi="宋体"/>
                      <w:kern w:val="0"/>
                      <w:szCs w:val="21"/>
                    </w:rPr>
                    <w:t>。</w:t>
                  </w:r>
                </w:p>
              </w:tc>
              <w:tc>
                <w:tcPr>
                  <w:tcW w:w="1961" w:type="dxa"/>
                  <w:vAlign w:val="center"/>
                </w:tcPr>
                <w:p w14:paraId="0A0DCC4B">
                  <w:pPr>
                    <w:jc w:val="center"/>
                    <w:rPr>
                      <w:rFonts w:hint="eastAsia" w:hAnsi="宋体"/>
                      <w:kern w:val="0"/>
                      <w:szCs w:val="21"/>
                    </w:rPr>
                  </w:pPr>
                  <w:r>
                    <w:rPr>
                      <w:rFonts w:hint="eastAsia" w:hAnsi="宋体"/>
                      <w:kern w:val="0"/>
                      <w:szCs w:val="21"/>
                    </w:rPr>
                    <w:t>本项目不涉及</w:t>
                  </w:r>
                </w:p>
              </w:tc>
              <w:tc>
                <w:tcPr>
                  <w:tcW w:w="686" w:type="dxa"/>
                  <w:vAlign w:val="center"/>
                </w:tcPr>
                <w:p w14:paraId="4E631018">
                  <w:pPr>
                    <w:jc w:val="center"/>
                    <w:rPr>
                      <w:rFonts w:hint="eastAsia" w:hAnsi="宋体"/>
                      <w:kern w:val="0"/>
                      <w:szCs w:val="21"/>
                    </w:rPr>
                  </w:pPr>
                  <w:r>
                    <w:rPr>
                      <w:rFonts w:hAnsi="宋体"/>
                      <w:kern w:val="0"/>
                      <w:szCs w:val="21"/>
                    </w:rPr>
                    <w:t>符合</w:t>
                  </w:r>
                </w:p>
              </w:tc>
            </w:tr>
            <w:tr w14:paraId="66E1A7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8" w:type="dxa"/>
                  <w:vAlign w:val="center"/>
                </w:tcPr>
                <w:p w14:paraId="7F65BC34">
                  <w:pPr>
                    <w:jc w:val="center"/>
                    <w:rPr>
                      <w:rFonts w:hint="eastAsia" w:hAnsi="宋体"/>
                      <w:kern w:val="0"/>
                      <w:szCs w:val="21"/>
                    </w:rPr>
                  </w:pPr>
                  <w:r>
                    <w:rPr>
                      <w:rFonts w:hint="eastAsia" w:hAnsi="宋体"/>
                      <w:kern w:val="0"/>
                      <w:szCs w:val="21"/>
                    </w:rPr>
                    <w:t>8</w:t>
                  </w:r>
                </w:p>
              </w:tc>
              <w:tc>
                <w:tcPr>
                  <w:tcW w:w="3443" w:type="dxa"/>
                  <w:vAlign w:val="center"/>
                </w:tcPr>
                <w:p w14:paraId="7CF21C56">
                  <w:pPr>
                    <w:jc w:val="left"/>
                    <w:rPr>
                      <w:rFonts w:hint="eastAsia" w:hAnsi="宋体"/>
                      <w:kern w:val="0"/>
                      <w:szCs w:val="21"/>
                    </w:rPr>
                  </w:pPr>
                  <w:r>
                    <w:rPr>
                      <w:rFonts w:hAnsi="宋体"/>
                      <w:kern w:val="0"/>
                      <w:szCs w:val="21"/>
                    </w:rPr>
                    <w:t>禁止在长江流域水土流失严重、生态脆弱的区域开展可能造成水土流失的生产建设活动。确因国家发展战略和国计民生需要建设的，应当经科学论证，并依法办理审批手续</w:t>
                  </w:r>
                  <w:r>
                    <w:rPr>
                      <w:rFonts w:hint="eastAsia" w:hAnsi="宋体"/>
                      <w:kern w:val="0"/>
                      <w:szCs w:val="21"/>
                    </w:rPr>
                    <w:t>。</w:t>
                  </w:r>
                </w:p>
              </w:tc>
              <w:tc>
                <w:tcPr>
                  <w:tcW w:w="1961" w:type="dxa"/>
                  <w:vAlign w:val="center"/>
                </w:tcPr>
                <w:p w14:paraId="6F35FC69">
                  <w:pPr>
                    <w:jc w:val="center"/>
                    <w:rPr>
                      <w:rFonts w:hint="eastAsia" w:hAnsi="宋体"/>
                      <w:kern w:val="0"/>
                      <w:szCs w:val="21"/>
                    </w:rPr>
                  </w:pPr>
                  <w:r>
                    <w:rPr>
                      <w:rFonts w:hint="eastAsia" w:hAnsi="宋体"/>
                      <w:kern w:val="0"/>
                      <w:szCs w:val="21"/>
                    </w:rPr>
                    <w:t>本项目不涉及</w:t>
                  </w:r>
                </w:p>
              </w:tc>
              <w:tc>
                <w:tcPr>
                  <w:tcW w:w="686" w:type="dxa"/>
                  <w:vAlign w:val="center"/>
                </w:tcPr>
                <w:p w14:paraId="05213B03">
                  <w:pPr>
                    <w:jc w:val="center"/>
                    <w:rPr>
                      <w:rFonts w:hint="eastAsia" w:hAnsi="宋体"/>
                      <w:kern w:val="0"/>
                      <w:szCs w:val="21"/>
                    </w:rPr>
                  </w:pPr>
                  <w:r>
                    <w:rPr>
                      <w:rFonts w:hAnsi="宋体"/>
                      <w:kern w:val="0"/>
                      <w:szCs w:val="21"/>
                    </w:rPr>
                    <w:t>符合</w:t>
                  </w:r>
                </w:p>
              </w:tc>
            </w:tr>
          </w:tbl>
          <w:p w14:paraId="79D44F15">
            <w:pPr>
              <w:autoSpaceDE w:val="0"/>
              <w:autoSpaceDN w:val="0"/>
              <w:adjustRightInd w:val="0"/>
              <w:spacing w:before="120" w:beforeLines="50" w:line="360" w:lineRule="auto"/>
              <w:ind w:firstLine="482" w:firstLineChars="200"/>
              <w:jc w:val="left"/>
              <w:rPr>
                <w:b/>
                <w:sz w:val="24"/>
              </w:rPr>
            </w:pPr>
            <w:r>
              <w:rPr>
                <w:rFonts w:hint="eastAsia"/>
                <w:b/>
                <w:bCs/>
                <w:sz w:val="24"/>
              </w:rPr>
              <w:t>5、与</w:t>
            </w:r>
            <w:r>
              <w:rPr>
                <w:rFonts w:hint="eastAsia"/>
                <w:b/>
                <w:sz w:val="24"/>
              </w:rPr>
              <w:t>《四川省、重庆市长江经济带发展负面清单实施细则（试行，2022年版）》（川长江办〔2022〕17 号）的符合性分析</w:t>
            </w:r>
          </w:p>
          <w:p w14:paraId="60EAD323">
            <w:pPr>
              <w:widowControl/>
              <w:wordWrap w:val="0"/>
              <w:spacing w:line="360" w:lineRule="auto"/>
              <w:ind w:firstLine="480" w:firstLineChars="200"/>
              <w:jc w:val="left"/>
              <w:rPr>
                <w:sz w:val="24"/>
              </w:rPr>
            </w:pPr>
            <w:r>
              <w:rPr>
                <w:sz w:val="24"/>
              </w:rPr>
              <w:t>项目的建设与《四川省、重庆市长江经济带发展负面清单实施细则（试行，2022年版）》（川长江办〔2022〕17 号）符合性分析如下：</w:t>
            </w:r>
          </w:p>
          <w:p w14:paraId="2BB2BEF5">
            <w:pPr>
              <w:jc w:val="center"/>
              <w:rPr>
                <w:b/>
                <w:bCs/>
                <w:szCs w:val="21"/>
              </w:rPr>
            </w:pPr>
            <w:r>
              <w:rPr>
                <w:b/>
                <w:bCs/>
                <w:szCs w:val="21"/>
              </w:rPr>
              <w:t>表1-</w:t>
            </w:r>
            <w:r>
              <w:rPr>
                <w:rFonts w:hint="eastAsia"/>
                <w:b/>
                <w:bCs/>
                <w:szCs w:val="21"/>
              </w:rPr>
              <w:t>7</w:t>
            </w:r>
            <w:r>
              <w:rPr>
                <w:b/>
                <w:bCs/>
                <w:szCs w:val="21"/>
              </w:rPr>
              <w:t xml:space="preserve">  本项目与《实施细则》符合性分析</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6657"/>
              <w:gridCol w:w="999"/>
              <w:gridCol w:w="428"/>
            </w:tblGrid>
            <w:tr w14:paraId="0C0E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3" w:type="pct"/>
                  <w:gridSpan w:val="2"/>
                  <w:vAlign w:val="center"/>
                </w:tcPr>
                <w:p w14:paraId="03547D4C">
                  <w:pPr>
                    <w:jc w:val="center"/>
                    <w:rPr>
                      <w:b/>
                      <w:bCs/>
                      <w:szCs w:val="21"/>
                    </w:rPr>
                  </w:pPr>
                  <w:r>
                    <w:rPr>
                      <w:b/>
                      <w:bCs/>
                      <w:szCs w:val="21"/>
                    </w:rPr>
                    <w:t>实施细则相关要求</w:t>
                  </w:r>
                </w:p>
              </w:tc>
              <w:tc>
                <w:tcPr>
                  <w:tcW w:w="585" w:type="pct"/>
                  <w:vAlign w:val="center"/>
                </w:tcPr>
                <w:p w14:paraId="5B577A3D">
                  <w:pPr>
                    <w:jc w:val="center"/>
                    <w:rPr>
                      <w:b/>
                      <w:bCs/>
                      <w:szCs w:val="21"/>
                    </w:rPr>
                  </w:pPr>
                  <w:r>
                    <w:rPr>
                      <w:b/>
                      <w:bCs/>
                      <w:szCs w:val="21"/>
                    </w:rPr>
                    <w:t>项目情况</w:t>
                  </w:r>
                </w:p>
              </w:tc>
              <w:tc>
                <w:tcPr>
                  <w:tcW w:w="231" w:type="pct"/>
                  <w:vAlign w:val="center"/>
                </w:tcPr>
                <w:p w14:paraId="45F967C1">
                  <w:pPr>
                    <w:jc w:val="center"/>
                    <w:rPr>
                      <w:b/>
                      <w:bCs/>
                      <w:szCs w:val="21"/>
                    </w:rPr>
                  </w:pPr>
                  <w:r>
                    <w:rPr>
                      <w:b/>
                      <w:bCs/>
                      <w:szCs w:val="21"/>
                    </w:rPr>
                    <w:t>结论</w:t>
                  </w:r>
                </w:p>
              </w:tc>
            </w:tr>
            <w:tr w14:paraId="5D80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1747F484">
                  <w:pPr>
                    <w:jc w:val="center"/>
                    <w:rPr>
                      <w:szCs w:val="21"/>
                    </w:rPr>
                  </w:pPr>
                  <w:r>
                    <w:rPr>
                      <w:rFonts w:hint="eastAsia"/>
                      <w:szCs w:val="21"/>
                    </w:rPr>
                    <w:t>1</w:t>
                  </w:r>
                </w:p>
              </w:tc>
              <w:tc>
                <w:tcPr>
                  <w:tcW w:w="3865" w:type="pct"/>
                  <w:vAlign w:val="center"/>
                </w:tcPr>
                <w:p w14:paraId="3E7C1850">
                  <w:pPr>
                    <w:jc w:val="center"/>
                    <w:rPr>
                      <w:szCs w:val="21"/>
                    </w:rPr>
                  </w:pPr>
                  <w:r>
                    <w:rPr>
                      <w:szCs w:val="21"/>
                    </w:rPr>
                    <w:t>禁止建设不符合全国和省级港口布局规划以及港口总体规划的码头项目，禁止建设不符合《长江干线过江通道布局规划》的过长江通道项目。</w:t>
                  </w:r>
                </w:p>
              </w:tc>
              <w:tc>
                <w:tcPr>
                  <w:tcW w:w="585" w:type="pct"/>
                  <w:vAlign w:val="center"/>
                </w:tcPr>
                <w:p w14:paraId="39BD7CEB">
                  <w:pPr>
                    <w:jc w:val="center"/>
                    <w:rPr>
                      <w:szCs w:val="21"/>
                    </w:rPr>
                  </w:pPr>
                  <w:r>
                    <w:rPr>
                      <w:szCs w:val="21"/>
                    </w:rPr>
                    <w:t>不属于码头项目</w:t>
                  </w:r>
                  <w:r>
                    <w:rPr>
                      <w:rFonts w:hint="eastAsia"/>
                      <w:szCs w:val="21"/>
                    </w:rPr>
                    <w:t>、</w:t>
                  </w:r>
                  <w:r>
                    <w:rPr>
                      <w:szCs w:val="21"/>
                    </w:rPr>
                    <w:t>过长江通道项目</w:t>
                  </w:r>
                </w:p>
              </w:tc>
              <w:tc>
                <w:tcPr>
                  <w:tcW w:w="231" w:type="pct"/>
                  <w:vAlign w:val="center"/>
                </w:tcPr>
                <w:p w14:paraId="356E24A1">
                  <w:pPr>
                    <w:jc w:val="center"/>
                    <w:rPr>
                      <w:szCs w:val="21"/>
                    </w:rPr>
                  </w:pPr>
                  <w:r>
                    <w:rPr>
                      <w:szCs w:val="21"/>
                    </w:rPr>
                    <w:t>符合</w:t>
                  </w:r>
                </w:p>
              </w:tc>
            </w:tr>
            <w:tr w14:paraId="2964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135F4D73">
                  <w:pPr>
                    <w:jc w:val="center"/>
                    <w:rPr>
                      <w:szCs w:val="21"/>
                    </w:rPr>
                  </w:pPr>
                  <w:r>
                    <w:rPr>
                      <w:rFonts w:hint="eastAsia"/>
                      <w:szCs w:val="21"/>
                    </w:rPr>
                    <w:t>2</w:t>
                  </w:r>
                </w:p>
              </w:tc>
              <w:tc>
                <w:tcPr>
                  <w:tcW w:w="3865" w:type="pct"/>
                  <w:vAlign w:val="center"/>
                </w:tcPr>
                <w:p w14:paraId="4A2B01BA">
                  <w:pPr>
                    <w:jc w:val="center"/>
                    <w:rPr>
                      <w:szCs w:val="21"/>
                    </w:rPr>
                  </w:pPr>
                  <w:r>
                    <w:rPr>
                      <w:szCs w:val="21"/>
                    </w:rPr>
                    <w:t>禁止在自然保护区核心区、缓冲区的岸线和河段范围内投资建设旅游和生产经营项目。禁止在风景名胜区核心景区的岸线和河段范围内投资建设与风景名</w:t>
                  </w:r>
                  <w:r>
                    <w:rPr>
                      <w:rFonts w:hint="eastAsia"/>
                      <w:szCs w:val="21"/>
                      <w:lang w:eastAsia="zh-CN"/>
                    </w:rPr>
                    <w:t>胜区</w:t>
                  </w:r>
                  <w:r>
                    <w:rPr>
                      <w:szCs w:val="21"/>
                    </w:rPr>
                    <w:t>资源保护无关的项目。</w:t>
                  </w:r>
                </w:p>
              </w:tc>
              <w:tc>
                <w:tcPr>
                  <w:tcW w:w="585" w:type="pct"/>
                  <w:vAlign w:val="center"/>
                </w:tcPr>
                <w:p w14:paraId="6EEE2B50">
                  <w:pPr>
                    <w:jc w:val="center"/>
                    <w:rPr>
                      <w:szCs w:val="21"/>
                    </w:rPr>
                  </w:pPr>
                  <w:r>
                    <w:rPr>
                      <w:szCs w:val="21"/>
                    </w:rPr>
                    <w:t>不涉及自然保护区</w:t>
                  </w:r>
                  <w:r>
                    <w:rPr>
                      <w:rFonts w:hint="eastAsia"/>
                      <w:szCs w:val="21"/>
                    </w:rPr>
                    <w:t>、</w:t>
                  </w:r>
                  <w:r>
                    <w:rPr>
                      <w:szCs w:val="21"/>
                    </w:rPr>
                    <w:t>风景名胜区</w:t>
                  </w:r>
                </w:p>
              </w:tc>
              <w:tc>
                <w:tcPr>
                  <w:tcW w:w="231" w:type="pct"/>
                  <w:vAlign w:val="center"/>
                </w:tcPr>
                <w:p w14:paraId="420087BC">
                  <w:pPr>
                    <w:jc w:val="center"/>
                    <w:rPr>
                      <w:szCs w:val="21"/>
                    </w:rPr>
                  </w:pPr>
                  <w:r>
                    <w:rPr>
                      <w:szCs w:val="21"/>
                    </w:rPr>
                    <w:t>符合</w:t>
                  </w:r>
                </w:p>
              </w:tc>
            </w:tr>
            <w:tr w14:paraId="76A7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7F0EFC17">
                  <w:pPr>
                    <w:jc w:val="center"/>
                    <w:rPr>
                      <w:szCs w:val="21"/>
                    </w:rPr>
                  </w:pPr>
                  <w:r>
                    <w:rPr>
                      <w:rFonts w:hint="eastAsia"/>
                      <w:szCs w:val="21"/>
                    </w:rPr>
                    <w:t>3</w:t>
                  </w:r>
                </w:p>
              </w:tc>
              <w:tc>
                <w:tcPr>
                  <w:tcW w:w="3865" w:type="pct"/>
                  <w:vAlign w:val="center"/>
                </w:tcPr>
                <w:p w14:paraId="7CE9FB42">
                  <w:pPr>
                    <w:jc w:val="center"/>
                    <w:rPr>
                      <w:szCs w:val="21"/>
                    </w:rPr>
                  </w:pPr>
                  <w:r>
                    <w:rPr>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585" w:type="pct"/>
                  <w:vAlign w:val="center"/>
                </w:tcPr>
                <w:p w14:paraId="37590B63">
                  <w:pPr>
                    <w:jc w:val="center"/>
                    <w:rPr>
                      <w:szCs w:val="21"/>
                    </w:rPr>
                  </w:pPr>
                  <w:r>
                    <w:rPr>
                      <w:szCs w:val="21"/>
                    </w:rPr>
                    <w:t>不涉及饮用水源保护区</w:t>
                  </w:r>
                </w:p>
              </w:tc>
              <w:tc>
                <w:tcPr>
                  <w:tcW w:w="231" w:type="pct"/>
                  <w:vAlign w:val="center"/>
                </w:tcPr>
                <w:p w14:paraId="6E16AAE8">
                  <w:pPr>
                    <w:jc w:val="center"/>
                    <w:rPr>
                      <w:szCs w:val="21"/>
                    </w:rPr>
                  </w:pPr>
                  <w:r>
                    <w:rPr>
                      <w:szCs w:val="21"/>
                    </w:rPr>
                    <w:t>符合</w:t>
                  </w:r>
                </w:p>
              </w:tc>
            </w:tr>
            <w:tr w14:paraId="636E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10166074">
                  <w:pPr>
                    <w:jc w:val="center"/>
                    <w:rPr>
                      <w:szCs w:val="21"/>
                    </w:rPr>
                  </w:pPr>
                  <w:r>
                    <w:rPr>
                      <w:rFonts w:hint="eastAsia"/>
                      <w:szCs w:val="21"/>
                    </w:rPr>
                    <w:t>4</w:t>
                  </w:r>
                </w:p>
              </w:tc>
              <w:tc>
                <w:tcPr>
                  <w:tcW w:w="3865" w:type="pct"/>
                  <w:vAlign w:val="center"/>
                </w:tcPr>
                <w:p w14:paraId="457F0AE5">
                  <w:pPr>
                    <w:jc w:val="center"/>
                    <w:rPr>
                      <w:szCs w:val="21"/>
                    </w:rPr>
                  </w:pPr>
                  <w:r>
                    <w:rPr>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585" w:type="pct"/>
                  <w:vAlign w:val="center"/>
                </w:tcPr>
                <w:p w14:paraId="35D1DB58">
                  <w:pPr>
                    <w:jc w:val="center"/>
                    <w:rPr>
                      <w:szCs w:val="21"/>
                    </w:rPr>
                  </w:pPr>
                  <w:r>
                    <w:rPr>
                      <w:szCs w:val="21"/>
                    </w:rPr>
                    <w:t>不涉及水产种质资源保护</w:t>
                  </w:r>
                  <w:r>
                    <w:rPr>
                      <w:rFonts w:hint="eastAsia"/>
                      <w:szCs w:val="21"/>
                    </w:rPr>
                    <w:t>区、</w:t>
                  </w:r>
                  <w:r>
                    <w:rPr>
                      <w:szCs w:val="21"/>
                    </w:rPr>
                    <w:t>国家湿地公园区</w:t>
                  </w:r>
                </w:p>
              </w:tc>
              <w:tc>
                <w:tcPr>
                  <w:tcW w:w="231" w:type="pct"/>
                  <w:vAlign w:val="center"/>
                </w:tcPr>
                <w:p w14:paraId="4ED884E0">
                  <w:pPr>
                    <w:jc w:val="center"/>
                    <w:rPr>
                      <w:szCs w:val="21"/>
                    </w:rPr>
                  </w:pPr>
                  <w:r>
                    <w:rPr>
                      <w:szCs w:val="21"/>
                    </w:rPr>
                    <w:t>符合</w:t>
                  </w:r>
                </w:p>
              </w:tc>
            </w:tr>
            <w:tr w14:paraId="4F1D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1EFC537D">
                  <w:pPr>
                    <w:jc w:val="center"/>
                    <w:rPr>
                      <w:szCs w:val="21"/>
                    </w:rPr>
                  </w:pPr>
                  <w:r>
                    <w:rPr>
                      <w:rFonts w:hint="eastAsia"/>
                      <w:szCs w:val="21"/>
                    </w:rPr>
                    <w:t>5</w:t>
                  </w:r>
                </w:p>
              </w:tc>
              <w:tc>
                <w:tcPr>
                  <w:tcW w:w="3865" w:type="pct"/>
                  <w:vAlign w:val="center"/>
                </w:tcPr>
                <w:p w14:paraId="511B99B5">
                  <w:pPr>
                    <w:jc w:val="center"/>
                    <w:rPr>
                      <w:szCs w:val="21"/>
                    </w:rPr>
                  </w:pPr>
                  <w:r>
                    <w:rPr>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585" w:type="pct"/>
                  <w:vAlign w:val="center"/>
                </w:tcPr>
                <w:p w14:paraId="2AE4908B">
                  <w:pPr>
                    <w:jc w:val="center"/>
                    <w:rPr>
                      <w:szCs w:val="21"/>
                    </w:rPr>
                  </w:pPr>
                  <w:r>
                    <w:rPr>
                      <w:rFonts w:hint="eastAsia"/>
                      <w:szCs w:val="21"/>
                    </w:rPr>
                    <w:t>不涉及</w:t>
                  </w:r>
                </w:p>
              </w:tc>
              <w:tc>
                <w:tcPr>
                  <w:tcW w:w="231" w:type="pct"/>
                  <w:vAlign w:val="center"/>
                </w:tcPr>
                <w:p w14:paraId="1D89EB88">
                  <w:pPr>
                    <w:jc w:val="center"/>
                    <w:rPr>
                      <w:szCs w:val="21"/>
                    </w:rPr>
                  </w:pPr>
                  <w:r>
                    <w:rPr>
                      <w:szCs w:val="21"/>
                    </w:rPr>
                    <w:t>符合</w:t>
                  </w:r>
                </w:p>
              </w:tc>
            </w:tr>
            <w:tr w14:paraId="2A48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3912E9D7">
                  <w:pPr>
                    <w:jc w:val="center"/>
                    <w:rPr>
                      <w:szCs w:val="21"/>
                    </w:rPr>
                  </w:pPr>
                  <w:r>
                    <w:rPr>
                      <w:rFonts w:hint="eastAsia"/>
                      <w:szCs w:val="21"/>
                    </w:rPr>
                    <w:t>6</w:t>
                  </w:r>
                </w:p>
              </w:tc>
              <w:tc>
                <w:tcPr>
                  <w:tcW w:w="3865" w:type="pct"/>
                  <w:vAlign w:val="center"/>
                </w:tcPr>
                <w:p w14:paraId="25A1C063">
                  <w:pPr>
                    <w:jc w:val="center"/>
                    <w:rPr>
                      <w:szCs w:val="21"/>
                    </w:rPr>
                  </w:pPr>
                  <w:r>
                    <w:rPr>
                      <w:szCs w:val="21"/>
                    </w:rPr>
                    <w:t>禁止未经许可在长江干支流及湖泊新设、改设或扩大排污口。</w:t>
                  </w:r>
                </w:p>
              </w:tc>
              <w:tc>
                <w:tcPr>
                  <w:tcW w:w="585" w:type="pct"/>
                  <w:vAlign w:val="center"/>
                </w:tcPr>
                <w:p w14:paraId="495E634A">
                  <w:pPr>
                    <w:jc w:val="center"/>
                    <w:rPr>
                      <w:szCs w:val="21"/>
                    </w:rPr>
                  </w:pPr>
                  <w:r>
                    <w:rPr>
                      <w:rFonts w:hint="eastAsia"/>
                      <w:szCs w:val="21"/>
                    </w:rPr>
                    <w:t>不涉及</w:t>
                  </w:r>
                </w:p>
              </w:tc>
              <w:tc>
                <w:tcPr>
                  <w:tcW w:w="231" w:type="pct"/>
                  <w:vAlign w:val="center"/>
                </w:tcPr>
                <w:p w14:paraId="4513F91B">
                  <w:pPr>
                    <w:jc w:val="center"/>
                    <w:rPr>
                      <w:szCs w:val="21"/>
                    </w:rPr>
                  </w:pPr>
                  <w:r>
                    <w:rPr>
                      <w:szCs w:val="21"/>
                    </w:rPr>
                    <w:t>符合</w:t>
                  </w:r>
                </w:p>
              </w:tc>
            </w:tr>
            <w:tr w14:paraId="70F6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346008C3">
                  <w:pPr>
                    <w:jc w:val="center"/>
                    <w:rPr>
                      <w:szCs w:val="21"/>
                    </w:rPr>
                  </w:pPr>
                  <w:r>
                    <w:rPr>
                      <w:rFonts w:hint="eastAsia"/>
                      <w:szCs w:val="21"/>
                    </w:rPr>
                    <w:t>7</w:t>
                  </w:r>
                </w:p>
              </w:tc>
              <w:tc>
                <w:tcPr>
                  <w:tcW w:w="3865" w:type="pct"/>
                  <w:vAlign w:val="center"/>
                </w:tcPr>
                <w:p w14:paraId="633CF941">
                  <w:pPr>
                    <w:jc w:val="center"/>
                    <w:rPr>
                      <w:szCs w:val="21"/>
                    </w:rPr>
                  </w:pPr>
                  <w:r>
                    <w:rPr>
                      <w:szCs w:val="21"/>
                    </w:rPr>
                    <w:t>禁止在“一江一口两湖七河”和332个水生生物保护区开展生产性捕捞。</w:t>
                  </w:r>
                </w:p>
              </w:tc>
              <w:tc>
                <w:tcPr>
                  <w:tcW w:w="585" w:type="pct"/>
                  <w:vAlign w:val="center"/>
                </w:tcPr>
                <w:p w14:paraId="35331957">
                  <w:pPr>
                    <w:jc w:val="center"/>
                    <w:rPr>
                      <w:szCs w:val="21"/>
                    </w:rPr>
                  </w:pPr>
                  <w:r>
                    <w:rPr>
                      <w:szCs w:val="21"/>
                    </w:rPr>
                    <w:t>不涉及</w:t>
                  </w:r>
                </w:p>
              </w:tc>
              <w:tc>
                <w:tcPr>
                  <w:tcW w:w="231" w:type="pct"/>
                  <w:vAlign w:val="center"/>
                </w:tcPr>
                <w:p w14:paraId="045FF993">
                  <w:pPr>
                    <w:jc w:val="center"/>
                    <w:rPr>
                      <w:szCs w:val="21"/>
                    </w:rPr>
                  </w:pPr>
                  <w:r>
                    <w:rPr>
                      <w:szCs w:val="21"/>
                    </w:rPr>
                    <w:t>符合</w:t>
                  </w:r>
                </w:p>
              </w:tc>
            </w:tr>
            <w:tr w14:paraId="3480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2CC8FCBE">
                  <w:pPr>
                    <w:jc w:val="center"/>
                    <w:rPr>
                      <w:szCs w:val="21"/>
                    </w:rPr>
                  </w:pPr>
                  <w:r>
                    <w:rPr>
                      <w:rFonts w:hint="eastAsia"/>
                      <w:szCs w:val="21"/>
                    </w:rPr>
                    <w:t>8</w:t>
                  </w:r>
                </w:p>
              </w:tc>
              <w:tc>
                <w:tcPr>
                  <w:tcW w:w="3865" w:type="pct"/>
                  <w:vAlign w:val="center"/>
                </w:tcPr>
                <w:p w14:paraId="3594D8DF">
                  <w:pPr>
                    <w:jc w:val="center"/>
                    <w:rPr>
                      <w:szCs w:val="21"/>
                    </w:rPr>
                  </w:pPr>
                  <w:r>
                    <w:rPr>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585" w:type="pct"/>
                  <w:vAlign w:val="center"/>
                </w:tcPr>
                <w:p w14:paraId="2A50A04E">
                  <w:pPr>
                    <w:jc w:val="center"/>
                    <w:rPr>
                      <w:szCs w:val="21"/>
                    </w:rPr>
                  </w:pPr>
                  <w:r>
                    <w:rPr>
                      <w:szCs w:val="21"/>
                    </w:rPr>
                    <w:t>不涉及</w:t>
                  </w:r>
                </w:p>
              </w:tc>
              <w:tc>
                <w:tcPr>
                  <w:tcW w:w="231" w:type="pct"/>
                  <w:vAlign w:val="center"/>
                </w:tcPr>
                <w:p w14:paraId="72229A23">
                  <w:pPr>
                    <w:jc w:val="center"/>
                    <w:rPr>
                      <w:szCs w:val="21"/>
                    </w:rPr>
                  </w:pPr>
                  <w:r>
                    <w:rPr>
                      <w:szCs w:val="21"/>
                    </w:rPr>
                    <w:t>符合</w:t>
                  </w:r>
                </w:p>
              </w:tc>
            </w:tr>
            <w:tr w14:paraId="5D82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3465DE9B">
                  <w:pPr>
                    <w:jc w:val="center"/>
                    <w:rPr>
                      <w:szCs w:val="21"/>
                    </w:rPr>
                  </w:pPr>
                  <w:r>
                    <w:rPr>
                      <w:rFonts w:hint="eastAsia"/>
                      <w:szCs w:val="21"/>
                    </w:rPr>
                    <w:t>9</w:t>
                  </w:r>
                </w:p>
              </w:tc>
              <w:tc>
                <w:tcPr>
                  <w:tcW w:w="3865" w:type="pct"/>
                  <w:vAlign w:val="center"/>
                </w:tcPr>
                <w:p w14:paraId="4319AB16">
                  <w:pPr>
                    <w:jc w:val="center"/>
                    <w:rPr>
                      <w:szCs w:val="21"/>
                    </w:rPr>
                  </w:pPr>
                  <w:r>
                    <w:rPr>
                      <w:szCs w:val="21"/>
                    </w:rPr>
                    <w:t>禁止在合规园区外新建、扩建钢铁、石化、化工、焦化、建材、有色、制浆造纸等高污染项目。</w:t>
                  </w:r>
                </w:p>
              </w:tc>
              <w:tc>
                <w:tcPr>
                  <w:tcW w:w="585" w:type="pct"/>
                  <w:vAlign w:val="center"/>
                </w:tcPr>
                <w:p w14:paraId="4AC54F78">
                  <w:pPr>
                    <w:jc w:val="center"/>
                    <w:rPr>
                      <w:szCs w:val="21"/>
                    </w:rPr>
                  </w:pPr>
                  <w:r>
                    <w:rPr>
                      <w:szCs w:val="21"/>
                    </w:rPr>
                    <w:t>不涉及</w:t>
                  </w:r>
                </w:p>
              </w:tc>
              <w:tc>
                <w:tcPr>
                  <w:tcW w:w="231" w:type="pct"/>
                  <w:vAlign w:val="center"/>
                </w:tcPr>
                <w:p w14:paraId="0E869EB1">
                  <w:pPr>
                    <w:jc w:val="center"/>
                    <w:rPr>
                      <w:szCs w:val="21"/>
                    </w:rPr>
                  </w:pPr>
                  <w:r>
                    <w:rPr>
                      <w:szCs w:val="21"/>
                    </w:rPr>
                    <w:t>符合</w:t>
                  </w:r>
                </w:p>
              </w:tc>
            </w:tr>
            <w:tr w14:paraId="74D4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75B1788D">
                  <w:pPr>
                    <w:jc w:val="center"/>
                    <w:rPr>
                      <w:szCs w:val="21"/>
                    </w:rPr>
                  </w:pPr>
                  <w:r>
                    <w:rPr>
                      <w:rFonts w:hint="eastAsia"/>
                      <w:szCs w:val="21"/>
                    </w:rPr>
                    <w:t>10</w:t>
                  </w:r>
                </w:p>
              </w:tc>
              <w:tc>
                <w:tcPr>
                  <w:tcW w:w="3865" w:type="pct"/>
                  <w:vAlign w:val="center"/>
                </w:tcPr>
                <w:p w14:paraId="346AA9FE">
                  <w:pPr>
                    <w:jc w:val="center"/>
                    <w:rPr>
                      <w:szCs w:val="21"/>
                    </w:rPr>
                  </w:pPr>
                  <w:r>
                    <w:rPr>
                      <w:szCs w:val="21"/>
                    </w:rPr>
                    <w:t>禁止新建、扩建不符合国家石化、现代煤化工等产业布局规划的项目。</w:t>
                  </w:r>
                </w:p>
              </w:tc>
              <w:tc>
                <w:tcPr>
                  <w:tcW w:w="585" w:type="pct"/>
                  <w:vAlign w:val="center"/>
                </w:tcPr>
                <w:p w14:paraId="7B0836FB">
                  <w:pPr>
                    <w:jc w:val="center"/>
                    <w:rPr>
                      <w:szCs w:val="21"/>
                    </w:rPr>
                  </w:pPr>
                  <w:r>
                    <w:rPr>
                      <w:rFonts w:hint="eastAsia"/>
                      <w:szCs w:val="21"/>
                    </w:rPr>
                    <w:t>不涉及</w:t>
                  </w:r>
                </w:p>
              </w:tc>
              <w:tc>
                <w:tcPr>
                  <w:tcW w:w="231" w:type="pct"/>
                  <w:vAlign w:val="center"/>
                </w:tcPr>
                <w:p w14:paraId="053246DB">
                  <w:pPr>
                    <w:jc w:val="center"/>
                    <w:rPr>
                      <w:szCs w:val="21"/>
                    </w:rPr>
                  </w:pPr>
                  <w:r>
                    <w:rPr>
                      <w:szCs w:val="21"/>
                    </w:rPr>
                    <w:t>符合</w:t>
                  </w:r>
                </w:p>
              </w:tc>
            </w:tr>
            <w:tr w14:paraId="5269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 w:type="pct"/>
                  <w:vAlign w:val="center"/>
                </w:tcPr>
                <w:p w14:paraId="260F8DE1">
                  <w:pPr>
                    <w:jc w:val="center"/>
                    <w:rPr>
                      <w:szCs w:val="21"/>
                    </w:rPr>
                  </w:pPr>
                  <w:r>
                    <w:rPr>
                      <w:rFonts w:hint="eastAsia"/>
                      <w:szCs w:val="21"/>
                    </w:rPr>
                    <w:t>11</w:t>
                  </w:r>
                </w:p>
              </w:tc>
              <w:tc>
                <w:tcPr>
                  <w:tcW w:w="3865" w:type="pct"/>
                  <w:vAlign w:val="center"/>
                </w:tcPr>
                <w:p w14:paraId="3DC2ABB5">
                  <w:pPr>
                    <w:jc w:val="center"/>
                    <w:rPr>
                      <w:szCs w:val="21"/>
                    </w:rPr>
                  </w:pPr>
                  <w:r>
                    <w:rPr>
                      <w:szCs w:val="21"/>
                    </w:rPr>
                    <w:t>禁止新建、扩建法律法规和相关政策明令禁止的落后产能项目。禁止新建、扩建不符合国家产能置换要求的严重过剩产能行业的项目。禁止新建、扩建不符合要求的高耗能高排放</w:t>
                  </w:r>
                  <w:r>
                    <w:rPr>
                      <w:rFonts w:hint="eastAsia"/>
                      <w:szCs w:val="21"/>
                    </w:rPr>
                    <w:t>项目。</w:t>
                  </w:r>
                </w:p>
              </w:tc>
              <w:tc>
                <w:tcPr>
                  <w:tcW w:w="585" w:type="pct"/>
                  <w:vAlign w:val="center"/>
                </w:tcPr>
                <w:p w14:paraId="704216B8">
                  <w:pPr>
                    <w:jc w:val="center"/>
                    <w:rPr>
                      <w:szCs w:val="21"/>
                    </w:rPr>
                  </w:pPr>
                  <w:r>
                    <w:rPr>
                      <w:szCs w:val="21"/>
                    </w:rPr>
                    <w:t>属于鼓励类项目</w:t>
                  </w:r>
                </w:p>
              </w:tc>
              <w:tc>
                <w:tcPr>
                  <w:tcW w:w="231" w:type="pct"/>
                  <w:vAlign w:val="center"/>
                </w:tcPr>
                <w:p w14:paraId="326E7420">
                  <w:pPr>
                    <w:jc w:val="center"/>
                    <w:rPr>
                      <w:szCs w:val="21"/>
                    </w:rPr>
                  </w:pPr>
                  <w:r>
                    <w:rPr>
                      <w:szCs w:val="21"/>
                    </w:rPr>
                    <w:t>符合</w:t>
                  </w:r>
                </w:p>
              </w:tc>
            </w:tr>
          </w:tbl>
          <w:p w14:paraId="3D85815F">
            <w:pPr>
              <w:spacing w:before="120" w:beforeLines="50" w:line="360" w:lineRule="auto"/>
              <w:ind w:firstLine="480" w:firstLineChars="200"/>
              <w:rPr>
                <w:b/>
                <w:sz w:val="24"/>
              </w:rPr>
            </w:pPr>
            <w:r>
              <w:rPr>
                <w:sz w:val="24"/>
              </w:rPr>
              <w:t>项目建设满足</w:t>
            </w:r>
            <w:r>
              <w:rPr>
                <w:rFonts w:hint="eastAsia"/>
                <w:sz w:val="24"/>
              </w:rPr>
              <w:t>《四川省、重庆市长江经济带发展负面清单实施细则（试行，2022年版）》（川长江办〔2022〕17 号）</w:t>
            </w:r>
            <w:r>
              <w:rPr>
                <w:sz w:val="24"/>
              </w:rPr>
              <w:t>的相应要求。</w:t>
            </w:r>
          </w:p>
          <w:p w14:paraId="45C0EC75">
            <w:pPr>
              <w:widowControl/>
              <w:spacing w:line="360" w:lineRule="auto"/>
              <w:ind w:firstLine="482" w:firstLineChars="200"/>
              <w:jc w:val="left"/>
              <w:rPr>
                <w:b/>
                <w:bCs/>
                <w:sz w:val="24"/>
              </w:rPr>
            </w:pPr>
            <w:r>
              <w:rPr>
                <w:rFonts w:hint="eastAsia"/>
                <w:b/>
                <w:bCs/>
                <w:sz w:val="24"/>
              </w:rPr>
              <w:t>6、</w:t>
            </w:r>
            <w:r>
              <w:rPr>
                <w:b/>
                <w:kern w:val="0"/>
                <w:sz w:val="24"/>
              </w:rPr>
              <w:t>与《四川省嘉陵江流域生态环境保护条例》符合性分析</w:t>
            </w:r>
          </w:p>
          <w:p w14:paraId="153C2145">
            <w:pPr>
              <w:wordWrap w:val="0"/>
              <w:spacing w:line="360" w:lineRule="auto"/>
              <w:ind w:firstLine="522"/>
              <w:jc w:val="left"/>
              <w:rPr>
                <w:sz w:val="24"/>
              </w:rPr>
            </w:pPr>
            <w:r>
              <w:rPr>
                <w:rFonts w:eastAsia="Times New Roman"/>
                <w:spacing w:val="10"/>
                <w:sz w:val="24"/>
              </w:rPr>
              <w:t>2021</w:t>
            </w:r>
            <w:r>
              <w:rPr>
                <w:spacing w:val="10"/>
                <w:sz w:val="24"/>
              </w:rPr>
              <w:t>年</w:t>
            </w:r>
            <w:r>
              <w:rPr>
                <w:rFonts w:eastAsia="Times New Roman"/>
                <w:spacing w:val="10"/>
                <w:sz w:val="24"/>
              </w:rPr>
              <w:t>11</w:t>
            </w:r>
            <w:r>
              <w:rPr>
                <w:spacing w:val="6"/>
                <w:sz w:val="24"/>
              </w:rPr>
              <w:t>月</w:t>
            </w:r>
            <w:r>
              <w:rPr>
                <w:rFonts w:eastAsia="Times New Roman"/>
                <w:spacing w:val="4"/>
                <w:sz w:val="24"/>
              </w:rPr>
              <w:t>25</w:t>
            </w:r>
            <w:r>
              <w:rPr>
                <w:spacing w:val="4"/>
                <w:sz w:val="24"/>
              </w:rPr>
              <w:t>日四川省第十三届人民代表大会常务委员会第三十一会议通过了《四</w:t>
            </w:r>
            <w:r>
              <w:rPr>
                <w:spacing w:val="10"/>
                <w:sz w:val="24"/>
              </w:rPr>
              <w:t>川省嘉陵江流域生态环境保护条例》。本项目与嘉陵江流</w:t>
            </w:r>
            <w:r>
              <w:rPr>
                <w:spacing w:val="5"/>
                <w:sz w:val="24"/>
              </w:rPr>
              <w:t>域</w:t>
            </w:r>
            <w:r>
              <w:rPr>
                <w:spacing w:val="16"/>
                <w:sz w:val="24"/>
              </w:rPr>
              <w:t>保</w:t>
            </w:r>
            <w:r>
              <w:rPr>
                <w:spacing w:val="8"/>
                <w:sz w:val="24"/>
              </w:rPr>
              <w:t>护条例的符合性分析见下表：</w:t>
            </w:r>
          </w:p>
          <w:p w14:paraId="3ED50299">
            <w:pPr>
              <w:jc w:val="center"/>
              <w:rPr>
                <w:b/>
                <w:bCs/>
                <w:szCs w:val="21"/>
              </w:rPr>
            </w:pPr>
            <w:r>
              <w:rPr>
                <w:b/>
                <w:bCs/>
                <w:szCs w:val="21"/>
              </w:rPr>
              <w:t>表 1-</w:t>
            </w:r>
            <w:r>
              <w:rPr>
                <w:rFonts w:hint="eastAsia"/>
                <w:b/>
                <w:bCs/>
                <w:szCs w:val="21"/>
              </w:rPr>
              <w:t>8</w:t>
            </w:r>
            <w:r>
              <w:rPr>
                <w:b/>
                <w:bCs/>
                <w:szCs w:val="21"/>
              </w:rPr>
              <w:t xml:space="preserve">  与本项目与“嘉陵江流域保护条例”的符合性分析</w:t>
            </w:r>
          </w:p>
          <w:tbl>
            <w:tblPr>
              <w:tblStyle w:val="70"/>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17"/>
              <w:gridCol w:w="4734"/>
              <w:gridCol w:w="2160"/>
              <w:gridCol w:w="806"/>
            </w:tblGrid>
            <w:tr w14:paraId="3B3AC4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jc w:val="center"/>
              </w:trPr>
              <w:tc>
                <w:tcPr>
                  <w:tcW w:w="532" w:type="pct"/>
                  <w:tcBorders>
                    <w:tl2br w:val="nil"/>
                    <w:tr2bl w:val="nil"/>
                  </w:tcBorders>
                  <w:vAlign w:val="center"/>
                </w:tcPr>
                <w:p w14:paraId="0CD179B5">
                  <w:pPr>
                    <w:jc w:val="center"/>
                    <w:rPr>
                      <w:szCs w:val="21"/>
                    </w:rPr>
                  </w:pPr>
                  <w:r>
                    <w:rPr>
                      <w:rFonts w:hint="eastAsia"/>
                      <w:szCs w:val="21"/>
                    </w:rPr>
                    <w:t>序号</w:t>
                  </w:r>
                </w:p>
              </w:tc>
              <w:tc>
                <w:tcPr>
                  <w:tcW w:w="2746" w:type="pct"/>
                  <w:tcBorders>
                    <w:tl2br w:val="nil"/>
                    <w:tr2bl w:val="nil"/>
                  </w:tcBorders>
                  <w:vAlign w:val="center"/>
                </w:tcPr>
                <w:p w14:paraId="5B36CB3A">
                  <w:pPr>
                    <w:jc w:val="center"/>
                    <w:rPr>
                      <w:szCs w:val="21"/>
                    </w:rPr>
                  </w:pPr>
                  <w:r>
                    <w:rPr>
                      <w:rFonts w:hint="eastAsia"/>
                      <w:szCs w:val="21"/>
                    </w:rPr>
                    <w:t>保护条例</w:t>
                  </w:r>
                  <w:r>
                    <w:rPr>
                      <w:szCs w:val="21"/>
                    </w:rPr>
                    <w:t>相关要求</w:t>
                  </w:r>
                </w:p>
              </w:tc>
              <w:tc>
                <w:tcPr>
                  <w:tcW w:w="1253" w:type="pct"/>
                  <w:tcBorders>
                    <w:tl2br w:val="nil"/>
                    <w:tr2bl w:val="nil"/>
                  </w:tcBorders>
                  <w:vAlign w:val="center"/>
                </w:tcPr>
                <w:p w14:paraId="601F4BEE">
                  <w:pPr>
                    <w:jc w:val="center"/>
                    <w:rPr>
                      <w:szCs w:val="21"/>
                    </w:rPr>
                  </w:pPr>
                  <w:r>
                    <w:rPr>
                      <w:rFonts w:hint="eastAsia"/>
                      <w:szCs w:val="21"/>
                    </w:rPr>
                    <w:t>本项目</w:t>
                  </w:r>
                </w:p>
              </w:tc>
              <w:tc>
                <w:tcPr>
                  <w:tcW w:w="467" w:type="pct"/>
                  <w:tcBorders>
                    <w:tl2br w:val="nil"/>
                    <w:tr2bl w:val="nil"/>
                  </w:tcBorders>
                  <w:vAlign w:val="center"/>
                </w:tcPr>
                <w:p w14:paraId="2BB0DDD3">
                  <w:pPr>
                    <w:jc w:val="center"/>
                    <w:rPr>
                      <w:szCs w:val="21"/>
                    </w:rPr>
                  </w:pPr>
                  <w:r>
                    <w:rPr>
                      <w:rFonts w:hint="eastAsia"/>
                      <w:szCs w:val="21"/>
                    </w:rPr>
                    <w:t>符合性</w:t>
                  </w:r>
                </w:p>
              </w:tc>
            </w:tr>
            <w:tr w14:paraId="31287E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jc w:val="center"/>
              </w:trPr>
              <w:tc>
                <w:tcPr>
                  <w:tcW w:w="532" w:type="pct"/>
                  <w:tcBorders>
                    <w:tl2br w:val="nil"/>
                    <w:tr2bl w:val="nil"/>
                  </w:tcBorders>
                  <w:vAlign w:val="center"/>
                </w:tcPr>
                <w:p w14:paraId="589F2AA0">
                  <w:pPr>
                    <w:jc w:val="center"/>
                    <w:rPr>
                      <w:szCs w:val="21"/>
                    </w:rPr>
                  </w:pPr>
                  <w:r>
                    <w:rPr>
                      <w:szCs w:val="21"/>
                    </w:rPr>
                    <w:t>第</w:t>
                  </w:r>
                  <w:r>
                    <w:rPr>
                      <w:rFonts w:hint="eastAsia"/>
                      <w:szCs w:val="21"/>
                    </w:rPr>
                    <w:t>十七</w:t>
                  </w:r>
                  <w:r>
                    <w:rPr>
                      <w:szCs w:val="21"/>
                    </w:rPr>
                    <w:t>条</w:t>
                  </w:r>
                </w:p>
              </w:tc>
              <w:tc>
                <w:tcPr>
                  <w:tcW w:w="2746" w:type="pct"/>
                  <w:tcBorders>
                    <w:tl2br w:val="nil"/>
                    <w:tr2bl w:val="nil"/>
                  </w:tcBorders>
                  <w:vAlign w:val="center"/>
                </w:tcPr>
                <w:p w14:paraId="6D331BE2">
                  <w:pPr>
                    <w:jc w:val="center"/>
                    <w:rPr>
                      <w:szCs w:val="21"/>
                    </w:rPr>
                  </w:pPr>
                  <w:r>
                    <w:rPr>
                      <w:szCs w:val="21"/>
                    </w:rPr>
                    <w:t>禁止在嘉陵江干支流岸线一公里范围内新建、扩 建化工园区和化工项目。</w:t>
                  </w:r>
                </w:p>
              </w:tc>
              <w:tc>
                <w:tcPr>
                  <w:tcW w:w="1253" w:type="pct"/>
                  <w:tcBorders>
                    <w:tl2br w:val="nil"/>
                    <w:tr2bl w:val="nil"/>
                  </w:tcBorders>
                  <w:vAlign w:val="center"/>
                </w:tcPr>
                <w:p w14:paraId="5CC18C2F">
                  <w:pPr>
                    <w:jc w:val="center"/>
                    <w:rPr>
                      <w:szCs w:val="21"/>
                    </w:rPr>
                  </w:pPr>
                  <w:r>
                    <w:rPr>
                      <w:rFonts w:hint="eastAsia"/>
                      <w:szCs w:val="21"/>
                    </w:rPr>
                    <w:t>本</w:t>
                  </w:r>
                  <w:r>
                    <w:rPr>
                      <w:szCs w:val="21"/>
                    </w:rPr>
                    <w:t>项目为</w:t>
                  </w:r>
                  <w:r>
                    <w:rPr>
                      <w:rFonts w:hint="eastAsia"/>
                      <w:szCs w:val="21"/>
                    </w:rPr>
                    <w:t>生活垃圾中转站</w:t>
                  </w:r>
                  <w:r>
                    <w:rPr>
                      <w:szCs w:val="21"/>
                    </w:rPr>
                    <w:t>，不属于化工园区和 化工项目</w:t>
                  </w:r>
                  <w:r>
                    <w:rPr>
                      <w:rFonts w:hint="eastAsia"/>
                      <w:szCs w:val="21"/>
                    </w:rPr>
                    <w:t>。</w:t>
                  </w:r>
                </w:p>
              </w:tc>
              <w:tc>
                <w:tcPr>
                  <w:tcW w:w="467" w:type="pct"/>
                  <w:tcBorders>
                    <w:tl2br w:val="nil"/>
                    <w:tr2bl w:val="nil"/>
                  </w:tcBorders>
                  <w:vAlign w:val="center"/>
                </w:tcPr>
                <w:p w14:paraId="082BD440">
                  <w:pPr>
                    <w:jc w:val="center"/>
                    <w:rPr>
                      <w:szCs w:val="21"/>
                    </w:rPr>
                  </w:pPr>
                </w:p>
                <w:p w14:paraId="147A4151">
                  <w:pPr>
                    <w:jc w:val="center"/>
                    <w:rPr>
                      <w:szCs w:val="21"/>
                    </w:rPr>
                  </w:pPr>
                  <w:r>
                    <w:rPr>
                      <w:szCs w:val="21"/>
                    </w:rPr>
                    <w:t>符合</w:t>
                  </w:r>
                </w:p>
              </w:tc>
            </w:tr>
            <w:tr w14:paraId="0921E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jc w:val="center"/>
              </w:trPr>
              <w:tc>
                <w:tcPr>
                  <w:tcW w:w="532" w:type="pct"/>
                  <w:tcBorders>
                    <w:tl2br w:val="nil"/>
                    <w:tr2bl w:val="nil"/>
                  </w:tcBorders>
                  <w:vAlign w:val="center"/>
                </w:tcPr>
                <w:p w14:paraId="7985A47B">
                  <w:pPr>
                    <w:jc w:val="center"/>
                    <w:rPr>
                      <w:szCs w:val="21"/>
                    </w:rPr>
                  </w:pPr>
                  <w:r>
                    <w:rPr>
                      <w:szCs w:val="21"/>
                    </w:rPr>
                    <w:t>第二</w:t>
                  </w:r>
                  <w:r>
                    <w:rPr>
                      <w:rFonts w:hint="eastAsia"/>
                      <w:szCs w:val="21"/>
                    </w:rPr>
                    <w:t>十</w:t>
                  </w:r>
                  <w:r>
                    <w:rPr>
                      <w:szCs w:val="21"/>
                    </w:rPr>
                    <w:t>一条</w:t>
                  </w:r>
                </w:p>
              </w:tc>
              <w:tc>
                <w:tcPr>
                  <w:tcW w:w="2746" w:type="pct"/>
                  <w:tcBorders>
                    <w:tl2br w:val="nil"/>
                    <w:tr2bl w:val="nil"/>
                  </w:tcBorders>
                  <w:vAlign w:val="center"/>
                </w:tcPr>
                <w:p w14:paraId="170400F1">
                  <w:pPr>
                    <w:jc w:val="center"/>
                    <w:rPr>
                      <w:szCs w:val="21"/>
                    </w:rPr>
                  </w:pPr>
                  <w:r>
                    <w:rPr>
                      <w:szCs w:val="21"/>
                    </w:rPr>
                    <w:t>按照排污许可证的规定排放污染物；禁止未取得排污许可证或者违反排污许可证的</w:t>
                  </w:r>
                  <w:r>
                    <w:rPr>
                      <w:rFonts w:hint="eastAsia"/>
                      <w:szCs w:val="21"/>
                    </w:rPr>
                    <w:t>规定排放</w:t>
                  </w:r>
                  <w:r>
                    <w:rPr>
                      <w:szCs w:val="21"/>
                    </w:rPr>
                    <w:t>污染物。</w:t>
                  </w:r>
                </w:p>
              </w:tc>
              <w:tc>
                <w:tcPr>
                  <w:tcW w:w="1253" w:type="pct"/>
                  <w:tcBorders>
                    <w:tl2br w:val="nil"/>
                    <w:tr2bl w:val="nil"/>
                  </w:tcBorders>
                  <w:vAlign w:val="center"/>
                </w:tcPr>
                <w:p w14:paraId="0FA4D394">
                  <w:pPr>
                    <w:jc w:val="center"/>
                    <w:rPr>
                      <w:szCs w:val="21"/>
                    </w:rPr>
                  </w:pPr>
                  <w:r>
                    <w:rPr>
                      <w:rFonts w:hint="eastAsia"/>
                      <w:szCs w:val="21"/>
                    </w:rPr>
                    <w:t>本</w:t>
                  </w:r>
                  <w:r>
                    <w:rPr>
                      <w:szCs w:val="21"/>
                    </w:rPr>
                    <w:t>项目建成后将按</w:t>
                  </w:r>
                  <w:r>
                    <w:rPr>
                      <w:rFonts w:hint="eastAsia"/>
                      <w:szCs w:val="21"/>
                    </w:rPr>
                    <w:t>《</w:t>
                  </w:r>
                  <w:r>
                    <w:rPr>
                      <w:szCs w:val="21"/>
                    </w:rPr>
                    <w:t>固定污染源排污许可分类管理名录</w:t>
                  </w:r>
                  <w:r>
                    <w:rPr>
                      <w:rFonts w:hint="eastAsia"/>
                      <w:szCs w:val="21"/>
                    </w:rPr>
                    <w:t>》</w:t>
                  </w:r>
                  <w:r>
                    <w:rPr>
                      <w:szCs w:val="21"/>
                    </w:rPr>
                    <w:t>（2019年版</w:t>
                  </w:r>
                  <w:r>
                    <w:rPr>
                      <w:rFonts w:hint="eastAsia"/>
                      <w:szCs w:val="21"/>
                    </w:rPr>
                    <w:t>）等要求申报排污许可证，持证排污</w:t>
                  </w:r>
                  <w:r>
                    <w:rPr>
                      <w:szCs w:val="21"/>
                    </w:rPr>
                    <w:t>。</w:t>
                  </w:r>
                </w:p>
              </w:tc>
              <w:tc>
                <w:tcPr>
                  <w:tcW w:w="467" w:type="pct"/>
                  <w:tcBorders>
                    <w:tl2br w:val="nil"/>
                    <w:tr2bl w:val="nil"/>
                  </w:tcBorders>
                  <w:vAlign w:val="center"/>
                </w:tcPr>
                <w:p w14:paraId="415586D1">
                  <w:pPr>
                    <w:jc w:val="center"/>
                    <w:rPr>
                      <w:szCs w:val="21"/>
                    </w:rPr>
                  </w:pPr>
                  <w:r>
                    <w:rPr>
                      <w:szCs w:val="21"/>
                    </w:rPr>
                    <w:t>符合</w:t>
                  </w:r>
                </w:p>
              </w:tc>
            </w:tr>
            <w:tr w14:paraId="6A3CCF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3" w:hRule="atLeast"/>
                <w:jc w:val="center"/>
              </w:trPr>
              <w:tc>
                <w:tcPr>
                  <w:tcW w:w="532" w:type="pct"/>
                  <w:tcBorders>
                    <w:tl2br w:val="nil"/>
                    <w:tr2bl w:val="nil"/>
                  </w:tcBorders>
                  <w:vAlign w:val="center"/>
                </w:tcPr>
                <w:p w14:paraId="749A6FA1">
                  <w:pPr>
                    <w:jc w:val="center"/>
                    <w:rPr>
                      <w:szCs w:val="21"/>
                    </w:rPr>
                  </w:pPr>
                  <w:r>
                    <w:rPr>
                      <w:szCs w:val="21"/>
                    </w:rPr>
                    <w:t>第五十八条</w:t>
                  </w:r>
                </w:p>
              </w:tc>
              <w:tc>
                <w:tcPr>
                  <w:tcW w:w="2746" w:type="pct"/>
                  <w:tcBorders>
                    <w:tl2br w:val="nil"/>
                    <w:tr2bl w:val="nil"/>
                  </w:tcBorders>
                  <w:vAlign w:val="center"/>
                </w:tcPr>
                <w:p w14:paraId="63B960F5">
                  <w:pPr>
                    <w:jc w:val="center"/>
                    <w:rPr>
                      <w:szCs w:val="21"/>
                    </w:rPr>
                  </w:pPr>
                  <w:r>
                    <w:rPr>
                      <w:szCs w:val="21"/>
                    </w:rPr>
                    <w:t>公共污水管网覆盖区域内，从事工业、建筑、餐饮、医疗、洗车、洗衣、洗浴、美容美发等活动的企业事业单位和其他生产经营者排放污水的，应当将雨水、污水分别排入公共雨水</w:t>
                  </w:r>
                  <w:r>
                    <w:rPr>
                      <w:rFonts w:hint="eastAsia"/>
                      <w:szCs w:val="21"/>
                    </w:rPr>
                    <w:t>、</w:t>
                  </w:r>
                  <w:r>
                    <w:rPr>
                      <w:szCs w:val="21"/>
                    </w:rPr>
                    <w:t>污水管网及其附属设施，有关主管部门应当推动行业经营者设置隔油池等污水预</w:t>
                  </w:r>
                  <w:r>
                    <w:rPr>
                      <w:rFonts w:hint="eastAsia"/>
                      <w:szCs w:val="21"/>
                    </w:rPr>
                    <w:t>处</w:t>
                  </w:r>
                  <w:r>
                    <w:rPr>
                      <w:szCs w:val="21"/>
                    </w:rPr>
                    <w:t>理设施；除楼顶公共屋面雨水排放系统外，依照相关规定将阳台、露台排水管道接入污水管网。</w:t>
                  </w:r>
                </w:p>
                <w:p w14:paraId="59C97F61">
                  <w:pPr>
                    <w:jc w:val="center"/>
                    <w:rPr>
                      <w:szCs w:val="21"/>
                    </w:rPr>
                  </w:pPr>
                  <w:r>
                    <w:rPr>
                      <w:szCs w:val="21"/>
                    </w:rPr>
                    <w:t>公共污水管网未覆盖的宾馆、餐饮、洗车企业等企业事业单位和其他生产经营者应当自建配套的水污染物处理设施或者采取其他收集处理水污染物的措施﹐确保其排放的污水符合污染物排放标准。</w:t>
                  </w:r>
                </w:p>
              </w:tc>
              <w:tc>
                <w:tcPr>
                  <w:tcW w:w="1253" w:type="pct"/>
                  <w:tcBorders>
                    <w:tl2br w:val="nil"/>
                    <w:tr2bl w:val="nil"/>
                  </w:tcBorders>
                  <w:vAlign w:val="center"/>
                </w:tcPr>
                <w:p w14:paraId="2228870E">
                  <w:pPr>
                    <w:jc w:val="center"/>
                    <w:rPr>
                      <w:szCs w:val="21"/>
                    </w:rPr>
                  </w:pPr>
                </w:p>
                <w:p w14:paraId="07D1DD43">
                  <w:pPr>
                    <w:jc w:val="center"/>
                    <w:rPr>
                      <w:szCs w:val="21"/>
                    </w:rPr>
                  </w:pPr>
                </w:p>
                <w:p w14:paraId="1921F729">
                  <w:pPr>
                    <w:jc w:val="center"/>
                    <w:rPr>
                      <w:szCs w:val="21"/>
                    </w:rPr>
                  </w:pPr>
                  <w:r>
                    <w:rPr>
                      <w:szCs w:val="21"/>
                    </w:rPr>
                    <w:t>项目所在区域已有市政污水管网覆盖</w:t>
                  </w:r>
                  <w:r>
                    <w:rPr>
                      <w:rFonts w:hint="eastAsia"/>
                      <w:szCs w:val="21"/>
                    </w:rPr>
                    <w:t>，</w:t>
                  </w:r>
                  <w:r>
                    <w:rPr>
                      <w:szCs w:val="21"/>
                    </w:rPr>
                    <w:t>项目实行雨污分流制</w:t>
                  </w:r>
                  <w:r>
                    <w:rPr>
                      <w:rFonts w:hint="eastAsia"/>
                      <w:szCs w:val="21"/>
                    </w:rPr>
                    <w:t>。雨水经雨水管收集后排入市政雨水管网；渗滤液等生产废水经收集后排入污水处理站，处理达标后经</w:t>
                  </w:r>
                  <w:r>
                    <w:rPr>
                      <w:szCs w:val="21"/>
                    </w:rPr>
                    <w:t>市政</w:t>
                  </w:r>
                  <w:r>
                    <w:rPr>
                      <w:rFonts w:hint="eastAsia"/>
                      <w:szCs w:val="21"/>
                    </w:rPr>
                    <w:t>污水</w:t>
                  </w:r>
                  <w:r>
                    <w:rPr>
                      <w:szCs w:val="21"/>
                    </w:rPr>
                    <w:t>管网</w:t>
                  </w:r>
                  <w:r>
                    <w:rPr>
                      <w:rFonts w:hint="eastAsia"/>
                      <w:szCs w:val="21"/>
                    </w:rPr>
                    <w:t>排入达州市城市第二污水处理厂处理达标后外排；生活污水、生产管理用房地面清洁废水经化粪池处理后经市政污水管网排入达州市城市第二污水处理厂达标后排放。</w:t>
                  </w:r>
                </w:p>
              </w:tc>
              <w:tc>
                <w:tcPr>
                  <w:tcW w:w="467" w:type="pct"/>
                  <w:tcBorders>
                    <w:tl2br w:val="nil"/>
                    <w:tr2bl w:val="nil"/>
                  </w:tcBorders>
                  <w:vAlign w:val="center"/>
                </w:tcPr>
                <w:p w14:paraId="47138CA0">
                  <w:pPr>
                    <w:jc w:val="center"/>
                    <w:rPr>
                      <w:szCs w:val="21"/>
                    </w:rPr>
                  </w:pPr>
                </w:p>
                <w:p w14:paraId="5406C0D2">
                  <w:pPr>
                    <w:jc w:val="center"/>
                    <w:rPr>
                      <w:szCs w:val="21"/>
                    </w:rPr>
                  </w:pPr>
                </w:p>
                <w:p w14:paraId="22202B4E">
                  <w:pPr>
                    <w:jc w:val="center"/>
                    <w:rPr>
                      <w:szCs w:val="21"/>
                    </w:rPr>
                  </w:pPr>
                </w:p>
                <w:p w14:paraId="472A2235">
                  <w:pPr>
                    <w:jc w:val="center"/>
                    <w:rPr>
                      <w:szCs w:val="21"/>
                    </w:rPr>
                  </w:pPr>
                </w:p>
                <w:p w14:paraId="366F210C">
                  <w:pPr>
                    <w:jc w:val="center"/>
                    <w:rPr>
                      <w:szCs w:val="21"/>
                    </w:rPr>
                  </w:pPr>
                </w:p>
                <w:p w14:paraId="6053A25F">
                  <w:pPr>
                    <w:jc w:val="center"/>
                    <w:rPr>
                      <w:szCs w:val="21"/>
                    </w:rPr>
                  </w:pPr>
                </w:p>
                <w:p w14:paraId="03890EA0">
                  <w:pPr>
                    <w:jc w:val="center"/>
                    <w:rPr>
                      <w:szCs w:val="21"/>
                    </w:rPr>
                  </w:pPr>
                </w:p>
                <w:p w14:paraId="3C02CA1F">
                  <w:pPr>
                    <w:jc w:val="center"/>
                    <w:rPr>
                      <w:szCs w:val="21"/>
                    </w:rPr>
                  </w:pPr>
                </w:p>
                <w:p w14:paraId="5210D15D">
                  <w:pPr>
                    <w:jc w:val="center"/>
                    <w:rPr>
                      <w:szCs w:val="21"/>
                    </w:rPr>
                  </w:pPr>
                  <w:r>
                    <w:rPr>
                      <w:szCs w:val="21"/>
                    </w:rPr>
                    <w:t>符合</w:t>
                  </w:r>
                </w:p>
              </w:tc>
            </w:tr>
            <w:tr w14:paraId="346EA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5" w:hRule="atLeast"/>
                <w:jc w:val="center"/>
              </w:trPr>
              <w:tc>
                <w:tcPr>
                  <w:tcW w:w="532" w:type="pct"/>
                  <w:tcBorders>
                    <w:tl2br w:val="nil"/>
                    <w:tr2bl w:val="nil"/>
                  </w:tcBorders>
                  <w:vAlign w:val="center"/>
                </w:tcPr>
                <w:p w14:paraId="39E89F40">
                  <w:pPr>
                    <w:jc w:val="center"/>
                    <w:rPr>
                      <w:szCs w:val="21"/>
                    </w:rPr>
                  </w:pPr>
                  <w:r>
                    <w:rPr>
                      <w:szCs w:val="21"/>
                    </w:rPr>
                    <w:t>第六十二条</w:t>
                  </w:r>
                </w:p>
              </w:tc>
              <w:tc>
                <w:tcPr>
                  <w:tcW w:w="2746" w:type="pct"/>
                  <w:tcBorders>
                    <w:tl2br w:val="nil"/>
                    <w:tr2bl w:val="nil"/>
                  </w:tcBorders>
                  <w:vAlign w:val="center"/>
                </w:tcPr>
                <w:p w14:paraId="2C322687">
                  <w:pPr>
                    <w:jc w:val="center"/>
                    <w:rPr>
                      <w:szCs w:val="21"/>
                    </w:rPr>
                  </w:pPr>
                  <w:r>
                    <w:rPr>
                      <w:szCs w:val="21"/>
                    </w:rPr>
                    <w:t>学校、科研机构、企业等单位实验、检验、 化验产生的废液应当单独收集</w:t>
                  </w:r>
                  <w:r>
                    <w:rPr>
                      <w:rFonts w:hint="eastAsia"/>
                      <w:szCs w:val="21"/>
                    </w:rPr>
                    <w:t>、</w:t>
                  </w:r>
                  <w:r>
                    <w:rPr>
                      <w:szCs w:val="21"/>
                    </w:rPr>
                    <w:t>分类安全处置，不得直接排放或者倾倒。医疗卫生机构、 传染病疫情防控期间集中医学观察点，在传染病疫情等特殊时期，应当按照防控要求加密监测频次。产生的污水以及传染病病人或者疑似传染病病人的排泄物，应当按照国家规定严格消毒，达到国家规定的排放标准后，方可排入城乡污水处理系统。属于重点排污单位的医疗机构应当安装污水自动在线监控设施，并与当地生态环境部门联网。</w:t>
                  </w:r>
                </w:p>
              </w:tc>
              <w:tc>
                <w:tcPr>
                  <w:tcW w:w="1253" w:type="pct"/>
                  <w:tcBorders>
                    <w:tl2br w:val="nil"/>
                    <w:tr2bl w:val="nil"/>
                  </w:tcBorders>
                  <w:vAlign w:val="center"/>
                </w:tcPr>
                <w:p w14:paraId="1AFCDF70">
                  <w:pPr>
                    <w:jc w:val="center"/>
                    <w:rPr>
                      <w:szCs w:val="21"/>
                    </w:rPr>
                  </w:pPr>
                  <w:r>
                    <w:rPr>
                      <w:rFonts w:hint="eastAsia"/>
                      <w:szCs w:val="21"/>
                    </w:rPr>
                    <w:t>不涉及</w:t>
                  </w:r>
                </w:p>
              </w:tc>
              <w:tc>
                <w:tcPr>
                  <w:tcW w:w="467" w:type="pct"/>
                  <w:tcBorders>
                    <w:tl2br w:val="nil"/>
                    <w:tr2bl w:val="nil"/>
                  </w:tcBorders>
                  <w:vAlign w:val="center"/>
                </w:tcPr>
                <w:p w14:paraId="72148FB8">
                  <w:pPr>
                    <w:jc w:val="center"/>
                    <w:rPr>
                      <w:szCs w:val="21"/>
                    </w:rPr>
                  </w:pPr>
                </w:p>
                <w:p w14:paraId="19DA835A">
                  <w:pPr>
                    <w:jc w:val="center"/>
                    <w:rPr>
                      <w:szCs w:val="21"/>
                    </w:rPr>
                  </w:pPr>
                </w:p>
                <w:p w14:paraId="6EEDD0C2">
                  <w:pPr>
                    <w:jc w:val="center"/>
                    <w:rPr>
                      <w:szCs w:val="21"/>
                    </w:rPr>
                  </w:pPr>
                  <w:r>
                    <w:rPr>
                      <w:szCs w:val="21"/>
                    </w:rPr>
                    <w:t>符合</w:t>
                  </w:r>
                </w:p>
              </w:tc>
            </w:tr>
            <w:tr w14:paraId="545CF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jc w:val="center"/>
              </w:trPr>
              <w:tc>
                <w:tcPr>
                  <w:tcW w:w="532" w:type="pct"/>
                  <w:tcBorders>
                    <w:tl2br w:val="nil"/>
                    <w:tr2bl w:val="nil"/>
                  </w:tcBorders>
                  <w:vAlign w:val="center"/>
                </w:tcPr>
                <w:p w14:paraId="139A5C94">
                  <w:pPr>
                    <w:jc w:val="center"/>
                    <w:rPr>
                      <w:szCs w:val="21"/>
                    </w:rPr>
                  </w:pPr>
                  <w:r>
                    <w:rPr>
                      <w:szCs w:val="21"/>
                    </w:rPr>
                    <w:t>第八</w:t>
                  </w:r>
                  <w:r>
                    <w:rPr>
                      <w:rFonts w:hint="eastAsia"/>
                      <w:szCs w:val="21"/>
                    </w:rPr>
                    <w:t>十</w:t>
                  </w:r>
                  <w:r>
                    <w:rPr>
                      <w:szCs w:val="21"/>
                    </w:rPr>
                    <w:t>条</w:t>
                  </w:r>
                </w:p>
              </w:tc>
              <w:tc>
                <w:tcPr>
                  <w:tcW w:w="2746" w:type="pct"/>
                  <w:tcBorders>
                    <w:tl2br w:val="nil"/>
                    <w:tr2bl w:val="nil"/>
                  </w:tcBorders>
                  <w:vAlign w:val="center"/>
                </w:tcPr>
                <w:p w14:paraId="23DE5928">
                  <w:pPr>
                    <w:jc w:val="center"/>
                    <w:rPr>
                      <w:szCs w:val="21"/>
                    </w:rPr>
                  </w:pPr>
                  <w:r>
                    <w:rPr>
                      <w:szCs w:val="21"/>
                    </w:rPr>
                    <w:t>限期禁止生产、销售、进口、使用、转让严重污染水环境的工艺和设备</w:t>
                  </w:r>
                  <w:r>
                    <w:rPr>
                      <w:rFonts w:hint="eastAsia"/>
                      <w:szCs w:val="21"/>
                    </w:rPr>
                    <w:t>。</w:t>
                  </w:r>
                </w:p>
              </w:tc>
              <w:tc>
                <w:tcPr>
                  <w:tcW w:w="1253" w:type="pct"/>
                  <w:tcBorders>
                    <w:tl2br w:val="nil"/>
                    <w:tr2bl w:val="nil"/>
                  </w:tcBorders>
                  <w:vAlign w:val="center"/>
                </w:tcPr>
                <w:p w14:paraId="240F20A2">
                  <w:pPr>
                    <w:jc w:val="center"/>
                    <w:rPr>
                      <w:szCs w:val="21"/>
                    </w:rPr>
                  </w:pPr>
                  <w:r>
                    <w:rPr>
                      <w:szCs w:val="21"/>
                    </w:rPr>
                    <w:t>项目使用的设备不属于严重污染水环境的设备</w:t>
                  </w:r>
                  <w:r>
                    <w:rPr>
                      <w:rFonts w:hint="eastAsia"/>
                      <w:szCs w:val="21"/>
                    </w:rPr>
                    <w:t>。</w:t>
                  </w:r>
                </w:p>
              </w:tc>
              <w:tc>
                <w:tcPr>
                  <w:tcW w:w="467" w:type="pct"/>
                  <w:tcBorders>
                    <w:tl2br w:val="nil"/>
                    <w:tr2bl w:val="nil"/>
                  </w:tcBorders>
                  <w:vAlign w:val="center"/>
                </w:tcPr>
                <w:p w14:paraId="7363BD2B">
                  <w:pPr>
                    <w:jc w:val="center"/>
                    <w:rPr>
                      <w:szCs w:val="21"/>
                    </w:rPr>
                  </w:pPr>
                  <w:r>
                    <w:rPr>
                      <w:szCs w:val="21"/>
                    </w:rPr>
                    <w:t>符合</w:t>
                  </w:r>
                </w:p>
              </w:tc>
            </w:tr>
          </w:tbl>
          <w:p w14:paraId="0E8B1410">
            <w:pPr>
              <w:widowControl/>
              <w:numPr>
                <w:ilvl w:val="0"/>
                <w:numId w:val="4"/>
              </w:numPr>
              <w:spacing w:before="120" w:beforeLines="50" w:line="360" w:lineRule="auto"/>
              <w:ind w:firstLine="482" w:firstLineChars="200"/>
              <w:jc w:val="left"/>
              <w:rPr>
                <w:b/>
                <w:bCs/>
                <w:sz w:val="24"/>
              </w:rPr>
            </w:pPr>
            <w:r>
              <w:rPr>
                <w:rFonts w:hint="eastAsia"/>
                <w:b/>
                <w:bCs/>
                <w:sz w:val="24"/>
              </w:rPr>
              <w:t>与其他相关现行政策符合性分析</w:t>
            </w:r>
          </w:p>
          <w:p w14:paraId="088D6D67">
            <w:pPr>
              <w:jc w:val="center"/>
              <w:rPr>
                <w:b/>
                <w:bCs/>
                <w:szCs w:val="21"/>
              </w:rPr>
            </w:pPr>
            <w:r>
              <w:rPr>
                <w:b/>
                <w:bCs/>
                <w:szCs w:val="21"/>
              </w:rPr>
              <w:t>表 1-</w:t>
            </w:r>
            <w:r>
              <w:rPr>
                <w:rFonts w:hint="eastAsia"/>
                <w:b/>
                <w:bCs/>
                <w:szCs w:val="21"/>
              </w:rPr>
              <w:t>9</w:t>
            </w:r>
            <w:r>
              <w:rPr>
                <w:b/>
                <w:bCs/>
                <w:szCs w:val="21"/>
              </w:rPr>
              <w:t xml:space="preserve">  与</w:t>
            </w:r>
            <w:r>
              <w:rPr>
                <w:rFonts w:hint="eastAsia"/>
                <w:b/>
                <w:bCs/>
                <w:szCs w:val="21"/>
              </w:rPr>
              <w:t>其他相关现行政策</w:t>
            </w:r>
            <w:r>
              <w:rPr>
                <w:b/>
                <w:bCs/>
                <w:szCs w:val="21"/>
              </w:rPr>
              <w:t>的符合性分析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22"/>
              <w:gridCol w:w="3981"/>
              <w:gridCol w:w="2290"/>
              <w:gridCol w:w="834"/>
            </w:tblGrid>
            <w:tr w14:paraId="18EBDB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Align w:val="center"/>
                </w:tcPr>
                <w:p w14:paraId="34AAB5C0">
                  <w:pPr>
                    <w:jc w:val="center"/>
                    <w:rPr>
                      <w:rFonts w:hint="eastAsia" w:hAnsi="宋体"/>
                      <w:kern w:val="0"/>
                      <w:szCs w:val="21"/>
                    </w:rPr>
                  </w:pPr>
                  <w:r>
                    <w:rPr>
                      <w:rFonts w:hint="eastAsia" w:hAnsi="宋体"/>
                      <w:kern w:val="0"/>
                      <w:szCs w:val="21"/>
                    </w:rPr>
                    <w:t>文件名</w:t>
                  </w:r>
                </w:p>
              </w:tc>
              <w:tc>
                <w:tcPr>
                  <w:tcW w:w="2307" w:type="pct"/>
                  <w:vAlign w:val="center"/>
                </w:tcPr>
                <w:p w14:paraId="140B5C79">
                  <w:pPr>
                    <w:jc w:val="center"/>
                    <w:rPr>
                      <w:rFonts w:hint="eastAsia" w:hAnsi="宋体"/>
                      <w:kern w:val="0"/>
                      <w:szCs w:val="21"/>
                    </w:rPr>
                  </w:pPr>
                  <w:r>
                    <w:rPr>
                      <w:rFonts w:hint="eastAsia" w:hAnsi="宋体"/>
                      <w:kern w:val="0"/>
                      <w:szCs w:val="21"/>
                    </w:rPr>
                    <w:t>相关</w:t>
                  </w:r>
                  <w:r>
                    <w:rPr>
                      <w:rFonts w:hAnsi="宋体"/>
                      <w:kern w:val="0"/>
                      <w:szCs w:val="21"/>
                    </w:rPr>
                    <w:t>要求</w:t>
                  </w:r>
                </w:p>
              </w:tc>
              <w:tc>
                <w:tcPr>
                  <w:tcW w:w="1327" w:type="pct"/>
                  <w:vAlign w:val="center"/>
                </w:tcPr>
                <w:p w14:paraId="12E739A5">
                  <w:pPr>
                    <w:jc w:val="center"/>
                    <w:rPr>
                      <w:rFonts w:hint="eastAsia" w:hAnsi="宋体"/>
                      <w:kern w:val="0"/>
                      <w:szCs w:val="21"/>
                    </w:rPr>
                  </w:pPr>
                  <w:r>
                    <w:rPr>
                      <w:rFonts w:hAnsi="宋体"/>
                      <w:kern w:val="0"/>
                      <w:szCs w:val="21"/>
                    </w:rPr>
                    <w:t>本工程内容</w:t>
                  </w:r>
                </w:p>
              </w:tc>
              <w:tc>
                <w:tcPr>
                  <w:tcW w:w="483" w:type="pct"/>
                  <w:vAlign w:val="center"/>
                </w:tcPr>
                <w:p w14:paraId="4B9B1E72">
                  <w:pPr>
                    <w:jc w:val="center"/>
                    <w:rPr>
                      <w:rFonts w:hint="eastAsia" w:hAnsi="宋体"/>
                      <w:kern w:val="0"/>
                      <w:szCs w:val="21"/>
                    </w:rPr>
                  </w:pPr>
                  <w:r>
                    <w:rPr>
                      <w:rFonts w:hAnsi="宋体"/>
                      <w:kern w:val="0"/>
                      <w:szCs w:val="21"/>
                    </w:rPr>
                    <w:t>符合性</w:t>
                  </w:r>
                </w:p>
              </w:tc>
            </w:tr>
            <w:tr w14:paraId="443B8C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Merge w:val="restart"/>
                  <w:vAlign w:val="center"/>
                </w:tcPr>
                <w:p w14:paraId="2B4CA5AF">
                  <w:pPr>
                    <w:jc w:val="center"/>
                    <w:rPr>
                      <w:rFonts w:hint="eastAsia" w:hAnsi="宋体"/>
                      <w:kern w:val="0"/>
                      <w:szCs w:val="21"/>
                    </w:rPr>
                  </w:pPr>
                  <w:r>
                    <w:rPr>
                      <w:rFonts w:hint="eastAsia" w:hAnsi="宋体"/>
                      <w:kern w:val="0"/>
                      <w:szCs w:val="21"/>
                    </w:rPr>
                    <w:t>《</w:t>
                  </w:r>
                  <w:r>
                    <w:rPr>
                      <w:rFonts w:hAnsi="宋体"/>
                      <w:kern w:val="0"/>
                      <w:szCs w:val="21"/>
                    </w:rPr>
                    <w:t>“</w:t>
                  </w:r>
                  <w:r>
                    <w:rPr>
                      <w:rFonts w:hint="eastAsia" w:hAnsi="宋体"/>
                      <w:kern w:val="0"/>
                      <w:szCs w:val="21"/>
                    </w:rPr>
                    <w:t>十四五</w:t>
                  </w:r>
                  <w:r>
                    <w:rPr>
                      <w:rFonts w:hAnsi="宋体"/>
                      <w:kern w:val="0"/>
                      <w:szCs w:val="21"/>
                    </w:rPr>
                    <w:t>”</w:t>
                  </w:r>
                  <w:r>
                    <w:rPr>
                      <w:rFonts w:hint="eastAsia" w:hAnsi="宋体"/>
                      <w:kern w:val="0"/>
                      <w:szCs w:val="21"/>
                    </w:rPr>
                    <w:t>城镇生活垃圾分类和处理设施发展规划》</w:t>
                  </w:r>
                </w:p>
              </w:tc>
              <w:tc>
                <w:tcPr>
                  <w:tcW w:w="2307" w:type="pct"/>
                  <w:vAlign w:val="center"/>
                </w:tcPr>
                <w:p w14:paraId="367CE4F2">
                  <w:pPr>
                    <w:jc w:val="center"/>
                    <w:rPr>
                      <w:rFonts w:hint="eastAsia" w:hAnsi="宋体"/>
                      <w:kern w:val="0"/>
                      <w:szCs w:val="21"/>
                    </w:rPr>
                  </w:pPr>
                  <w:r>
                    <w:rPr>
                      <w:rFonts w:hint="eastAsia" w:hAnsi="宋体"/>
                      <w:kern w:val="0"/>
                      <w:szCs w:val="21"/>
                    </w:rPr>
                    <w:t>统筹推进“十四五”城镇生活垃圾分类和处理设施建设工作，加快建立分类投放、分类收集、分类运输、分类处理的生活垃圾处理系统。</w:t>
                  </w:r>
                </w:p>
              </w:tc>
              <w:tc>
                <w:tcPr>
                  <w:tcW w:w="1327" w:type="pct"/>
                  <w:vAlign w:val="center"/>
                </w:tcPr>
                <w:p w14:paraId="7067DE7E">
                  <w:pPr>
                    <w:jc w:val="center"/>
                    <w:rPr>
                      <w:rFonts w:hint="eastAsia" w:hAnsi="宋体"/>
                      <w:kern w:val="0"/>
                      <w:szCs w:val="21"/>
                    </w:rPr>
                  </w:pPr>
                  <w:r>
                    <w:rPr>
                      <w:rFonts w:hint="eastAsia" w:hAnsi="宋体"/>
                      <w:kern w:val="0"/>
                      <w:szCs w:val="21"/>
                    </w:rPr>
                    <w:t>本项目为职教园区生活垃圾中转站，属于城镇生活垃圾处理设施建设。</w:t>
                  </w:r>
                </w:p>
              </w:tc>
              <w:tc>
                <w:tcPr>
                  <w:tcW w:w="483" w:type="pct"/>
                  <w:vAlign w:val="center"/>
                </w:tcPr>
                <w:p w14:paraId="5BCF8C05">
                  <w:pPr>
                    <w:jc w:val="center"/>
                    <w:rPr>
                      <w:rFonts w:hint="eastAsia" w:hAnsi="宋体"/>
                      <w:kern w:val="0"/>
                      <w:szCs w:val="21"/>
                    </w:rPr>
                  </w:pPr>
                  <w:r>
                    <w:rPr>
                      <w:rFonts w:hAnsi="宋体"/>
                      <w:kern w:val="0"/>
                      <w:szCs w:val="21"/>
                    </w:rPr>
                    <w:t>符合</w:t>
                  </w:r>
                </w:p>
              </w:tc>
            </w:tr>
            <w:tr w14:paraId="5D3B3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Merge w:val="continue"/>
                  <w:vAlign w:val="center"/>
                </w:tcPr>
                <w:p w14:paraId="3B8D1821">
                  <w:pPr>
                    <w:jc w:val="center"/>
                    <w:rPr>
                      <w:rFonts w:hint="eastAsia" w:hAnsi="宋体"/>
                      <w:kern w:val="0"/>
                      <w:szCs w:val="21"/>
                    </w:rPr>
                  </w:pPr>
                </w:p>
              </w:tc>
              <w:tc>
                <w:tcPr>
                  <w:tcW w:w="2307" w:type="pct"/>
                  <w:vAlign w:val="center"/>
                </w:tcPr>
                <w:p w14:paraId="2EE38853">
                  <w:pPr>
                    <w:jc w:val="center"/>
                    <w:rPr>
                      <w:rFonts w:hint="eastAsia" w:hAnsi="宋体"/>
                      <w:kern w:val="0"/>
                      <w:szCs w:val="21"/>
                    </w:rPr>
                  </w:pPr>
                  <w:r>
                    <w:rPr>
                      <w:rFonts w:hint="eastAsia" w:hAnsi="宋体"/>
                      <w:kern w:val="0"/>
                      <w:szCs w:val="21"/>
                    </w:rPr>
                    <w:t>到2025年底，直辖市、省会城市和计划单列市等46个重点城市生活垃圾分类和处理能力进一步提升；地级城市因地制宜基本建成生活垃圾分类和处理系统；京津冀及周边、长三角、粤港澳大湾区、长江经济带、黄河流域、生态文明试验区具备条件的县城基本建成生活垃圾分类和处理系统；鼓励其他地区积极提升垃圾分类和处理设施覆盖水平。支持建制镇加快补齐生活垃圾收集、转运、无害化处理设施短板。</w:t>
                  </w:r>
                </w:p>
              </w:tc>
              <w:tc>
                <w:tcPr>
                  <w:tcW w:w="1327" w:type="pct"/>
                  <w:vAlign w:val="center"/>
                </w:tcPr>
                <w:p w14:paraId="69F1A5ED">
                  <w:pPr>
                    <w:jc w:val="center"/>
                    <w:rPr>
                      <w:rFonts w:hint="eastAsia" w:hAnsi="宋体"/>
                      <w:kern w:val="0"/>
                      <w:szCs w:val="21"/>
                    </w:rPr>
                  </w:pPr>
                  <w:r>
                    <w:rPr>
                      <w:rFonts w:hint="eastAsia" w:hAnsi="宋体"/>
                      <w:kern w:val="0"/>
                      <w:szCs w:val="21"/>
                    </w:rPr>
                    <w:t>本项目为职教园区生活垃圾中转站，位于达州市西南职业教育园区李家湾犀牛大道与崇德路之间，有利于加快补齐生活垃圾收集、转运、无害化处理设施短板。</w:t>
                  </w:r>
                </w:p>
              </w:tc>
              <w:tc>
                <w:tcPr>
                  <w:tcW w:w="483" w:type="pct"/>
                  <w:vAlign w:val="center"/>
                </w:tcPr>
                <w:p w14:paraId="767763C4">
                  <w:pPr>
                    <w:jc w:val="center"/>
                    <w:rPr>
                      <w:rFonts w:hint="eastAsia" w:hAnsi="宋体"/>
                      <w:kern w:val="0"/>
                      <w:szCs w:val="21"/>
                    </w:rPr>
                  </w:pPr>
                  <w:r>
                    <w:rPr>
                      <w:rFonts w:hint="eastAsia" w:hAnsi="宋体"/>
                      <w:kern w:val="0"/>
                      <w:szCs w:val="21"/>
                    </w:rPr>
                    <w:t>符合</w:t>
                  </w:r>
                </w:p>
              </w:tc>
            </w:tr>
            <w:tr w14:paraId="18D568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Align w:val="center"/>
                </w:tcPr>
                <w:p w14:paraId="444FB4EA">
                  <w:pPr>
                    <w:wordWrap w:val="0"/>
                    <w:jc w:val="center"/>
                    <w:rPr>
                      <w:rFonts w:hint="eastAsia" w:hAnsi="宋体"/>
                      <w:kern w:val="0"/>
                      <w:szCs w:val="21"/>
                    </w:rPr>
                  </w:pPr>
                  <w:r>
                    <w:rPr>
                      <w:rFonts w:hint="eastAsia" w:hAnsi="宋体"/>
                      <w:kern w:val="0"/>
                      <w:szCs w:val="21"/>
                    </w:rPr>
                    <w:t>《中华人民共和国国民经济和社会发展第十四个五年规划和2035年远景目标纲要》</w:t>
                  </w:r>
                </w:p>
              </w:tc>
              <w:tc>
                <w:tcPr>
                  <w:tcW w:w="2307" w:type="pct"/>
                  <w:vAlign w:val="center"/>
                </w:tcPr>
                <w:p w14:paraId="40DC5EA8">
                  <w:pPr>
                    <w:wordWrap w:val="0"/>
                    <w:jc w:val="center"/>
                    <w:rPr>
                      <w:rFonts w:hint="eastAsia" w:hAnsi="宋体"/>
                      <w:kern w:val="0"/>
                      <w:szCs w:val="21"/>
                    </w:rPr>
                  </w:pPr>
                  <w:r>
                    <w:rPr>
                      <w:rFonts w:hint="eastAsia" w:hAnsi="宋体"/>
                      <w:kern w:val="0"/>
                      <w:szCs w:val="21"/>
                    </w:rPr>
                    <w:t>推进县城、县级市城区及特大镇补短板，完善综合医院、疾控中心、养老中心、幼儿园、市政管网、市政交通、停车场、充电、污水垃圾处理设施和产业平台配套设施。高质量完成120个县城补短板示范任务。</w:t>
                  </w:r>
                </w:p>
              </w:tc>
              <w:tc>
                <w:tcPr>
                  <w:tcW w:w="1327" w:type="pct"/>
                  <w:vAlign w:val="center"/>
                </w:tcPr>
                <w:p w14:paraId="61283137">
                  <w:pPr>
                    <w:jc w:val="center"/>
                    <w:rPr>
                      <w:rFonts w:hint="eastAsia" w:hAnsi="宋体"/>
                      <w:kern w:val="0"/>
                      <w:szCs w:val="21"/>
                      <w:highlight w:val="yellow"/>
                    </w:rPr>
                  </w:pPr>
                  <w:r>
                    <w:rPr>
                      <w:rFonts w:hint="eastAsia" w:hAnsi="宋体"/>
                      <w:kern w:val="0"/>
                      <w:szCs w:val="21"/>
                    </w:rPr>
                    <w:t>本项目为职教园区生活垃圾中转站，为中转（压缩）站新建项目</w:t>
                  </w:r>
                </w:p>
              </w:tc>
              <w:tc>
                <w:tcPr>
                  <w:tcW w:w="483" w:type="pct"/>
                  <w:vAlign w:val="center"/>
                </w:tcPr>
                <w:p w14:paraId="5DF4F12E">
                  <w:pPr>
                    <w:jc w:val="center"/>
                    <w:rPr>
                      <w:rFonts w:hint="eastAsia" w:hAnsi="宋体"/>
                      <w:kern w:val="0"/>
                      <w:szCs w:val="21"/>
                      <w:highlight w:val="yellow"/>
                    </w:rPr>
                  </w:pPr>
                  <w:r>
                    <w:rPr>
                      <w:rFonts w:hint="eastAsia" w:hAnsi="宋体"/>
                      <w:kern w:val="0"/>
                      <w:szCs w:val="21"/>
                    </w:rPr>
                    <w:t>符合</w:t>
                  </w:r>
                </w:p>
              </w:tc>
            </w:tr>
            <w:tr w14:paraId="6021DA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Align w:val="center"/>
                </w:tcPr>
                <w:p w14:paraId="4E1B7FB7">
                  <w:pPr>
                    <w:wordWrap w:val="0"/>
                    <w:jc w:val="center"/>
                    <w:rPr>
                      <w:rFonts w:hint="eastAsia" w:hAnsi="宋体"/>
                      <w:kern w:val="0"/>
                      <w:szCs w:val="21"/>
                    </w:rPr>
                  </w:pPr>
                  <w:r>
                    <w:rPr>
                      <w:rFonts w:hint="eastAsia" w:hAnsi="宋体"/>
                      <w:kern w:val="0"/>
                      <w:szCs w:val="21"/>
                    </w:rPr>
                    <w:t>《四川省人民政府办公厅关于进一步加强城乡生活垃圾处理工作的实施意见》（川办发〔2011〕50 号</w:t>
                  </w:r>
                  <w:r>
                    <w:rPr>
                      <w:rFonts w:hint="eastAsia" w:hAnsi="宋体"/>
                      <w:kern w:val="0"/>
                      <w:szCs w:val="21"/>
                      <w:lang w:eastAsia="zh-CN"/>
                    </w:rPr>
                    <w:t>）</w:t>
                  </w:r>
                  <w:r>
                    <w:rPr>
                      <w:rFonts w:hint="eastAsia" w:hAnsi="宋体"/>
                      <w:kern w:val="0"/>
                      <w:szCs w:val="21"/>
                    </w:rPr>
                    <w:t>）</w:t>
                  </w:r>
                </w:p>
              </w:tc>
              <w:tc>
                <w:tcPr>
                  <w:tcW w:w="2307" w:type="pct"/>
                  <w:vAlign w:val="center"/>
                </w:tcPr>
                <w:p w14:paraId="0FFF7529">
                  <w:pPr>
                    <w:wordWrap w:val="0"/>
                    <w:jc w:val="center"/>
                    <w:rPr>
                      <w:rFonts w:hint="eastAsia" w:hAnsi="宋体"/>
                      <w:kern w:val="0"/>
                      <w:szCs w:val="21"/>
                    </w:rPr>
                  </w:pPr>
                  <w:r>
                    <w:rPr>
                      <w:rFonts w:hint="eastAsia" w:hAnsi="宋体"/>
                      <w:kern w:val="0"/>
                      <w:szCs w:val="21"/>
                    </w:rPr>
                    <w:t>“各地要逐步建立与生活垃圾减量化收集、资 源化利用、无害化处理相衔接的生活垃圾收运网络，加大生活垃圾收集力度、扩大收集覆盖面。同时，要按照密闭、压缩、环保、高效的要求，升级改造现有生活垃圾收集、中转和运输系统，逐步淘汰敞开式收运方式，认真解决垃圾收集、运输过程中脏、臭、噪声和遗洒问题”。“努力提高城乡生活垃圾处理能力和水平。完善收集转运体系。各地要逐步建立与生活垃圾减量化收集、资源化利用、无害化处理相衔接的生活垃圾收运网络，加大生活垃圾收集力度、扩大收集覆盖面。同时，要按照密闭、压缩、环保、高效的要求，升级改造现有生活垃圾收集、中转和运输系统，逐步淘汰敞开式收运方式，认真解决垃圾收集、运输过程中脏、臭、噪声和遗洒问题”。</w:t>
                  </w:r>
                </w:p>
              </w:tc>
              <w:tc>
                <w:tcPr>
                  <w:tcW w:w="1327" w:type="pct"/>
                  <w:vAlign w:val="center"/>
                </w:tcPr>
                <w:p w14:paraId="563E6C07">
                  <w:pPr>
                    <w:widowControl/>
                    <w:jc w:val="center"/>
                    <w:rPr>
                      <w:rFonts w:hint="eastAsia" w:hAnsi="宋体"/>
                      <w:kern w:val="0"/>
                      <w:szCs w:val="21"/>
                    </w:rPr>
                  </w:pPr>
                  <w:r>
                    <w:rPr>
                      <w:rFonts w:hint="eastAsia" w:hAnsi="宋体"/>
                      <w:kern w:val="0"/>
                      <w:szCs w:val="21"/>
                    </w:rPr>
                    <w:t>本项目为生活垃圾中转站项目，设计规模为240t/d，覆盖区域为达州市西南职业教育园区，可有效提升达州市职教园区的生活垃圾压缩转运效率。采用水平直接压缩式工艺，全过程封闭处理；配备密闭、高效、环保转运车辆，可有效避免转运过程中的环境问题。</w:t>
                  </w:r>
                </w:p>
              </w:tc>
              <w:tc>
                <w:tcPr>
                  <w:tcW w:w="483" w:type="pct"/>
                  <w:vAlign w:val="center"/>
                </w:tcPr>
                <w:p w14:paraId="33C322FC">
                  <w:pPr>
                    <w:jc w:val="center"/>
                    <w:rPr>
                      <w:rFonts w:hint="eastAsia" w:hAnsi="宋体"/>
                      <w:kern w:val="0"/>
                      <w:szCs w:val="21"/>
                    </w:rPr>
                  </w:pPr>
                  <w:r>
                    <w:rPr>
                      <w:rFonts w:hint="eastAsia" w:hAnsi="宋体"/>
                      <w:kern w:val="0"/>
                      <w:szCs w:val="21"/>
                    </w:rPr>
                    <w:t>符合</w:t>
                  </w:r>
                </w:p>
              </w:tc>
            </w:tr>
            <w:tr w14:paraId="0C0BA4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Align w:val="center"/>
                </w:tcPr>
                <w:p w14:paraId="0DBE34F3">
                  <w:pPr>
                    <w:wordWrap w:val="0"/>
                    <w:jc w:val="center"/>
                    <w:rPr>
                      <w:rFonts w:hint="eastAsia" w:hAnsi="宋体"/>
                      <w:kern w:val="0"/>
                      <w:szCs w:val="21"/>
                    </w:rPr>
                  </w:pPr>
                  <w:r>
                    <w:rPr>
                      <w:rFonts w:hint="eastAsia" w:hAnsi="宋体"/>
                      <w:kern w:val="0"/>
                      <w:szCs w:val="21"/>
                    </w:rPr>
                    <w:t>《达州市</w:t>
                  </w:r>
                  <w:r>
                    <w:rPr>
                      <w:rFonts w:hAnsi="宋体"/>
                      <w:kern w:val="0"/>
                      <w:szCs w:val="21"/>
                    </w:rPr>
                    <w:t>“</w:t>
                  </w:r>
                  <w:r>
                    <w:rPr>
                      <w:rFonts w:hint="eastAsia" w:hAnsi="宋体"/>
                      <w:kern w:val="0"/>
                      <w:szCs w:val="21"/>
                    </w:rPr>
                    <w:t>十四五</w:t>
                  </w:r>
                  <w:r>
                    <w:rPr>
                      <w:rFonts w:hAnsi="宋体"/>
                      <w:kern w:val="0"/>
                      <w:szCs w:val="21"/>
                    </w:rPr>
                    <w:t>”</w:t>
                  </w:r>
                  <w:r>
                    <w:rPr>
                      <w:rFonts w:hint="eastAsia" w:hAnsi="宋体"/>
                      <w:kern w:val="0"/>
                      <w:szCs w:val="21"/>
                    </w:rPr>
                    <w:t>生态环境保护规划》（达市府发〔2022〕18 号）</w:t>
                  </w:r>
                </w:p>
              </w:tc>
              <w:tc>
                <w:tcPr>
                  <w:tcW w:w="2307" w:type="pct"/>
                  <w:vAlign w:val="center"/>
                </w:tcPr>
                <w:p w14:paraId="5501F923">
                  <w:pPr>
                    <w:wordWrap w:val="0"/>
                    <w:jc w:val="center"/>
                    <w:rPr>
                      <w:rFonts w:hint="eastAsia" w:hAnsi="宋体"/>
                      <w:kern w:val="0"/>
                      <w:szCs w:val="21"/>
                    </w:rPr>
                  </w:pPr>
                  <w:r>
                    <w:rPr>
                      <w:rFonts w:hint="eastAsia" w:hAnsi="宋体"/>
                      <w:kern w:val="0"/>
                      <w:szCs w:val="21"/>
                    </w:rPr>
                    <w:t>提出到</w:t>
                  </w:r>
                  <w:r>
                    <w:rPr>
                      <w:rFonts w:hAnsi="宋体"/>
                      <w:kern w:val="0"/>
                      <w:szCs w:val="21"/>
                    </w:rPr>
                    <w:t>2025</w:t>
                  </w:r>
                  <w:r>
                    <w:rPr>
                      <w:rFonts w:hint="eastAsia" w:hAnsi="宋体"/>
                      <w:kern w:val="0"/>
                      <w:szCs w:val="21"/>
                    </w:rPr>
                    <w:t>年，生态环境质量明显改善，绿色低碳循环经济体系加快构建，能源资源开发利用效率大幅提升，主要污染物排放总量持续减少，二氧化碳排放强度持续下降，城乡人居环境明显改善，绿色低碳生活方式加快形成，生态文明制度体系更加健全，渠江上游生态安全屏障更加牢固，美丽达州建设初见成效。</w:t>
                  </w:r>
                </w:p>
                <w:p w14:paraId="47BF89A8">
                  <w:pPr>
                    <w:wordWrap w:val="0"/>
                    <w:jc w:val="center"/>
                    <w:rPr>
                      <w:rFonts w:hint="eastAsia" w:hAnsi="宋体"/>
                      <w:kern w:val="0"/>
                      <w:szCs w:val="21"/>
                    </w:rPr>
                  </w:pPr>
                  <w:r>
                    <w:rPr>
                      <w:rFonts w:hint="eastAsia" w:hAnsi="宋体"/>
                      <w:kern w:val="0"/>
                      <w:szCs w:val="21"/>
                    </w:rPr>
                    <w:t>同时，还提出要推动生活垃圾分类处置和污泥处置。深入实施生活垃圾分类，建立生活垃圾分类制度，完善生活垃圾分类配套体系、收集转运设施建设，开展农村垃圾就地分类和资源化利用试点，促进生活垃圾源头减量。</w:t>
                  </w:r>
                </w:p>
              </w:tc>
              <w:tc>
                <w:tcPr>
                  <w:tcW w:w="1327" w:type="pct"/>
                  <w:vAlign w:val="center"/>
                </w:tcPr>
                <w:p w14:paraId="1A10D8FC">
                  <w:pPr>
                    <w:wordWrap w:val="0"/>
                    <w:jc w:val="center"/>
                    <w:rPr>
                      <w:rFonts w:hint="eastAsia" w:hAnsi="宋体"/>
                      <w:kern w:val="0"/>
                      <w:szCs w:val="21"/>
                    </w:rPr>
                  </w:pPr>
                  <w:r>
                    <w:rPr>
                      <w:rFonts w:hint="eastAsia" w:hAnsi="宋体"/>
                      <w:kern w:val="0"/>
                      <w:szCs w:val="21"/>
                    </w:rPr>
                    <w:t>项目为生活垃圾中转站项目，属于达州市西南职业教育园区配套生活垃圾收集转运设施建设。</w:t>
                  </w:r>
                </w:p>
              </w:tc>
              <w:tc>
                <w:tcPr>
                  <w:tcW w:w="483" w:type="pct"/>
                  <w:vAlign w:val="center"/>
                </w:tcPr>
                <w:p w14:paraId="1361050E">
                  <w:pPr>
                    <w:jc w:val="center"/>
                    <w:rPr>
                      <w:rFonts w:hint="eastAsia" w:hAnsi="宋体"/>
                      <w:kern w:val="0"/>
                      <w:szCs w:val="21"/>
                    </w:rPr>
                  </w:pPr>
                  <w:r>
                    <w:rPr>
                      <w:rFonts w:hint="eastAsia" w:hAnsi="宋体"/>
                      <w:kern w:val="0"/>
                      <w:szCs w:val="21"/>
                    </w:rPr>
                    <w:t>符合</w:t>
                  </w:r>
                </w:p>
              </w:tc>
            </w:tr>
            <w:tr w14:paraId="2271ED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vAlign w:val="center"/>
                </w:tcPr>
                <w:p w14:paraId="35BF4271">
                  <w:pPr>
                    <w:jc w:val="center"/>
                    <w:rPr>
                      <w:rFonts w:hint="eastAsia" w:hAnsi="宋体"/>
                      <w:kern w:val="0"/>
                      <w:szCs w:val="21"/>
                    </w:rPr>
                  </w:pPr>
                  <w:r>
                    <w:rPr>
                      <w:rFonts w:hint="eastAsia" w:hAnsi="宋体"/>
                      <w:kern w:val="0"/>
                      <w:szCs w:val="21"/>
                    </w:rPr>
                    <w:t>《达州市人民政府办公室 关于印发〈达州市推进城镇生活污水和城乡生活垃圾处理设施建设三年实施方案（2021—2023 年）〉的通知》（达市府办发〔2021〕9 号）</w:t>
                  </w:r>
                </w:p>
              </w:tc>
              <w:tc>
                <w:tcPr>
                  <w:tcW w:w="2307" w:type="pct"/>
                  <w:vAlign w:val="center"/>
                </w:tcPr>
                <w:p w14:paraId="0564B256">
                  <w:pPr>
                    <w:jc w:val="center"/>
                    <w:rPr>
                      <w:rFonts w:hint="eastAsia" w:hAnsi="宋体"/>
                      <w:kern w:val="0"/>
                      <w:szCs w:val="21"/>
                    </w:rPr>
                  </w:pPr>
                  <w:r>
                    <w:rPr>
                      <w:rFonts w:hint="eastAsia" w:hAnsi="宋体"/>
                      <w:kern w:val="0"/>
                      <w:szCs w:val="21"/>
                    </w:rPr>
                    <w:t>建立完善生活垃圾分类收运体系。按照“适度超前、循序渐进”原则，以“全过程分类”为目标，加快建立生活垃圾分类收运网络，统筹推进收集点和中转（压缩）站新（改）建项目建设”</w:t>
                  </w:r>
                </w:p>
              </w:tc>
              <w:tc>
                <w:tcPr>
                  <w:tcW w:w="1327" w:type="pct"/>
                  <w:vAlign w:val="center"/>
                </w:tcPr>
                <w:p w14:paraId="031A3316">
                  <w:pPr>
                    <w:jc w:val="center"/>
                    <w:rPr>
                      <w:rFonts w:hint="eastAsia" w:hAnsi="宋体"/>
                      <w:kern w:val="0"/>
                      <w:szCs w:val="21"/>
                    </w:rPr>
                  </w:pPr>
                  <w:r>
                    <w:rPr>
                      <w:rFonts w:hint="eastAsia" w:hAnsi="宋体"/>
                      <w:kern w:val="0"/>
                      <w:szCs w:val="21"/>
                    </w:rPr>
                    <w:t>本项目为职教园区生活垃圾中转站，为中转（压缩）站新建项目。</w:t>
                  </w:r>
                </w:p>
              </w:tc>
              <w:tc>
                <w:tcPr>
                  <w:tcW w:w="483" w:type="pct"/>
                  <w:vAlign w:val="center"/>
                </w:tcPr>
                <w:p w14:paraId="1F267C0E">
                  <w:pPr>
                    <w:jc w:val="center"/>
                    <w:rPr>
                      <w:rFonts w:hint="eastAsia" w:hAnsi="宋体"/>
                      <w:kern w:val="0"/>
                      <w:szCs w:val="21"/>
                    </w:rPr>
                  </w:pPr>
                  <w:r>
                    <w:rPr>
                      <w:rFonts w:hint="eastAsia" w:hAnsi="宋体"/>
                      <w:kern w:val="0"/>
                      <w:szCs w:val="21"/>
                    </w:rPr>
                    <w:t>符合</w:t>
                  </w:r>
                </w:p>
              </w:tc>
            </w:tr>
          </w:tbl>
          <w:p w14:paraId="07A7514C">
            <w:pPr>
              <w:widowControl/>
              <w:numPr>
                <w:ilvl w:val="0"/>
                <w:numId w:val="4"/>
              </w:numPr>
              <w:spacing w:before="120" w:beforeLines="50" w:line="360" w:lineRule="auto"/>
              <w:ind w:firstLine="482" w:firstLineChars="200"/>
              <w:jc w:val="left"/>
              <w:rPr>
                <w:b/>
                <w:sz w:val="24"/>
              </w:rPr>
            </w:pPr>
            <w:r>
              <w:rPr>
                <w:rFonts w:hint="eastAsia"/>
                <w:b/>
                <w:sz w:val="24"/>
              </w:rPr>
              <w:t>与行业相关技术规范、标准的符合性分析</w:t>
            </w:r>
          </w:p>
          <w:p w14:paraId="38E6880F">
            <w:pPr>
              <w:spacing w:line="360" w:lineRule="auto"/>
              <w:ind w:firstLine="480" w:firstLineChars="200"/>
              <w:rPr>
                <w:sz w:val="24"/>
              </w:rPr>
            </w:pPr>
            <w:r>
              <w:rPr>
                <w:rFonts w:hint="eastAsia"/>
                <w:sz w:val="24"/>
              </w:rPr>
              <w:t>本项目为生活垃圾转运站，其与行业相关技术规范、标准的符合性分析。具体见下表。</w:t>
            </w:r>
          </w:p>
          <w:p w14:paraId="7EFE6ACE">
            <w:pPr>
              <w:jc w:val="center"/>
              <w:rPr>
                <w:b/>
                <w:bCs/>
                <w:szCs w:val="21"/>
              </w:rPr>
            </w:pPr>
            <w:r>
              <w:rPr>
                <w:b/>
                <w:bCs/>
                <w:szCs w:val="21"/>
              </w:rPr>
              <w:t>表 1-</w:t>
            </w:r>
            <w:r>
              <w:rPr>
                <w:rFonts w:hint="eastAsia"/>
                <w:b/>
                <w:bCs/>
                <w:szCs w:val="21"/>
              </w:rPr>
              <w:t>10</w:t>
            </w:r>
            <w:r>
              <w:rPr>
                <w:b/>
                <w:bCs/>
                <w:szCs w:val="21"/>
              </w:rPr>
              <w:t xml:space="preserve">  与《生活垃圾处理技术指南》的符合性分析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0"/>
              <w:gridCol w:w="2827"/>
              <w:gridCol w:w="3889"/>
              <w:gridCol w:w="934"/>
            </w:tblGrid>
            <w:tr w14:paraId="30B373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71" w:hRule="atLeast"/>
                <w:jc w:val="center"/>
              </w:trPr>
              <w:tc>
                <w:tcPr>
                  <w:tcW w:w="980" w:type="dxa"/>
                  <w:vAlign w:val="center"/>
                </w:tcPr>
                <w:p w14:paraId="01546C5B">
                  <w:pPr>
                    <w:jc w:val="center"/>
                    <w:rPr>
                      <w:rFonts w:hint="eastAsia" w:hAnsi="宋体"/>
                      <w:kern w:val="0"/>
                      <w:szCs w:val="21"/>
                    </w:rPr>
                  </w:pPr>
                  <w:r>
                    <w:rPr>
                      <w:rFonts w:hint="eastAsia" w:hAnsi="宋体"/>
                      <w:kern w:val="0"/>
                      <w:szCs w:val="21"/>
                    </w:rPr>
                    <w:t>文件名</w:t>
                  </w:r>
                </w:p>
              </w:tc>
              <w:tc>
                <w:tcPr>
                  <w:tcW w:w="2827" w:type="dxa"/>
                  <w:vAlign w:val="center"/>
                </w:tcPr>
                <w:p w14:paraId="1ECD9AEE">
                  <w:pPr>
                    <w:jc w:val="center"/>
                    <w:rPr>
                      <w:rFonts w:hint="eastAsia" w:hAnsi="宋体"/>
                      <w:kern w:val="0"/>
                      <w:szCs w:val="21"/>
                    </w:rPr>
                  </w:pPr>
                  <w:r>
                    <w:rPr>
                      <w:rFonts w:hint="eastAsia" w:hAnsi="宋体"/>
                      <w:kern w:val="0"/>
                      <w:szCs w:val="21"/>
                    </w:rPr>
                    <w:t>相关</w:t>
                  </w:r>
                  <w:r>
                    <w:rPr>
                      <w:rFonts w:hAnsi="宋体"/>
                      <w:kern w:val="0"/>
                      <w:szCs w:val="21"/>
                    </w:rPr>
                    <w:t>要求</w:t>
                  </w:r>
                </w:p>
              </w:tc>
              <w:tc>
                <w:tcPr>
                  <w:tcW w:w="3889" w:type="dxa"/>
                  <w:vAlign w:val="center"/>
                </w:tcPr>
                <w:p w14:paraId="50BD54F5">
                  <w:pPr>
                    <w:jc w:val="center"/>
                    <w:rPr>
                      <w:rFonts w:hint="eastAsia" w:hAnsi="宋体"/>
                      <w:kern w:val="0"/>
                      <w:szCs w:val="21"/>
                    </w:rPr>
                  </w:pPr>
                  <w:r>
                    <w:rPr>
                      <w:rFonts w:hAnsi="宋体"/>
                      <w:kern w:val="0"/>
                      <w:szCs w:val="21"/>
                    </w:rPr>
                    <w:t>本工程内容</w:t>
                  </w:r>
                </w:p>
              </w:tc>
              <w:tc>
                <w:tcPr>
                  <w:tcW w:w="934" w:type="dxa"/>
                  <w:vAlign w:val="center"/>
                </w:tcPr>
                <w:p w14:paraId="0A711EB3">
                  <w:pPr>
                    <w:jc w:val="center"/>
                    <w:rPr>
                      <w:rFonts w:hint="eastAsia" w:hAnsi="宋体"/>
                      <w:kern w:val="0"/>
                      <w:szCs w:val="21"/>
                    </w:rPr>
                  </w:pPr>
                  <w:r>
                    <w:rPr>
                      <w:rFonts w:hAnsi="宋体"/>
                      <w:kern w:val="0"/>
                      <w:szCs w:val="21"/>
                    </w:rPr>
                    <w:t>符合性</w:t>
                  </w:r>
                </w:p>
              </w:tc>
            </w:tr>
            <w:tr w14:paraId="3155DE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restart"/>
                  <w:vAlign w:val="center"/>
                </w:tcPr>
                <w:p w14:paraId="6F563706">
                  <w:pPr>
                    <w:jc w:val="center"/>
                    <w:rPr>
                      <w:rFonts w:hint="eastAsia" w:hAnsi="宋体"/>
                      <w:kern w:val="0"/>
                      <w:szCs w:val="21"/>
                    </w:rPr>
                  </w:pPr>
                  <w:r>
                    <w:rPr>
                      <w:rFonts w:hint="eastAsia" w:hAnsi="宋体"/>
                      <w:kern w:val="0"/>
                      <w:szCs w:val="21"/>
                    </w:rPr>
                    <w:t>《生活垃圾处理技术指南》</w:t>
                  </w:r>
                </w:p>
                <w:p w14:paraId="5989CB6D">
                  <w:pPr>
                    <w:jc w:val="center"/>
                    <w:rPr>
                      <w:rFonts w:hint="eastAsia" w:hAnsi="宋体"/>
                      <w:kern w:val="0"/>
                      <w:szCs w:val="21"/>
                    </w:rPr>
                  </w:pPr>
                </w:p>
              </w:tc>
              <w:tc>
                <w:tcPr>
                  <w:tcW w:w="2827" w:type="dxa"/>
                  <w:vAlign w:val="center"/>
                </w:tcPr>
                <w:p w14:paraId="164E0452">
                  <w:pPr>
                    <w:jc w:val="center"/>
                    <w:rPr>
                      <w:rFonts w:hint="eastAsia" w:hAnsi="宋体"/>
                      <w:kern w:val="0"/>
                      <w:szCs w:val="21"/>
                    </w:rPr>
                  </w:pPr>
                  <w:r>
                    <w:rPr>
                      <w:rFonts w:hint="eastAsia" w:hAnsi="宋体"/>
                      <w:kern w:val="0"/>
                      <w:szCs w:val="21"/>
                    </w:rPr>
                    <w:t>加快建设与生活垃圾源头分类和后续处理相配套的分类收集和分类运输体系，推进生活垃圾收集和运输的数字化管理工作。</w:t>
                  </w:r>
                </w:p>
              </w:tc>
              <w:tc>
                <w:tcPr>
                  <w:tcW w:w="3889" w:type="dxa"/>
                  <w:vAlign w:val="center"/>
                </w:tcPr>
                <w:p w14:paraId="4A086A99">
                  <w:pPr>
                    <w:jc w:val="center"/>
                    <w:rPr>
                      <w:rFonts w:hint="eastAsia" w:hAnsi="宋体"/>
                      <w:kern w:val="0"/>
                      <w:szCs w:val="21"/>
                    </w:rPr>
                  </w:pPr>
                  <w:r>
                    <w:rPr>
                      <w:rFonts w:hint="eastAsia" w:hAnsi="宋体"/>
                      <w:kern w:val="0"/>
                      <w:szCs w:val="21"/>
                    </w:rPr>
                    <w:t>本项目收集体系：采用收集点</w:t>
                  </w:r>
                  <w:r>
                    <w:rPr>
                      <w:rFonts w:hAnsi="宋体"/>
                      <w:kern w:val="0"/>
                      <w:szCs w:val="21"/>
                    </w:rPr>
                    <w:t>—</w:t>
                  </w:r>
                  <w:r>
                    <w:rPr>
                      <w:rFonts w:hint="eastAsia" w:hAnsi="宋体"/>
                      <w:kern w:val="0"/>
                      <w:szCs w:val="21"/>
                    </w:rPr>
                    <w:t>垃圾转运站</w:t>
                  </w:r>
                  <w:r>
                    <w:rPr>
                      <w:rFonts w:hAnsi="宋体"/>
                      <w:kern w:val="0"/>
                      <w:szCs w:val="21"/>
                    </w:rPr>
                    <w:t>—</w:t>
                  </w:r>
                  <w:r>
                    <w:rPr>
                      <w:rFonts w:hint="eastAsia" w:hAnsi="宋体"/>
                      <w:kern w:val="0"/>
                      <w:szCs w:val="21"/>
                    </w:rPr>
                    <w:t>生活垃圾处理厂的收集、运输、处理、处置模式；本项目建成后，不仅能够减少垃 圾运输车辆的上路、提高垃圾运输效率、减少垃圾运输成本，而且规范化的生活垃圾转运车辆能够有效杜绝生活垃圾运输过程中 的滴、洒、漏现象，避免对居民日常生活造成不便。</w:t>
                  </w:r>
                </w:p>
              </w:tc>
              <w:tc>
                <w:tcPr>
                  <w:tcW w:w="934" w:type="dxa"/>
                  <w:vAlign w:val="center"/>
                </w:tcPr>
                <w:p w14:paraId="3FEE3AE3">
                  <w:pPr>
                    <w:jc w:val="center"/>
                    <w:rPr>
                      <w:rFonts w:hint="eastAsia" w:hAnsi="宋体"/>
                      <w:kern w:val="0"/>
                      <w:szCs w:val="21"/>
                    </w:rPr>
                  </w:pPr>
                  <w:r>
                    <w:rPr>
                      <w:rFonts w:hint="eastAsia" w:hAnsi="宋体"/>
                      <w:kern w:val="0"/>
                      <w:szCs w:val="21"/>
                    </w:rPr>
                    <w:t>符合</w:t>
                  </w:r>
                </w:p>
              </w:tc>
            </w:tr>
            <w:tr w14:paraId="41437C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4658AFE2">
                  <w:pPr>
                    <w:jc w:val="left"/>
                    <w:rPr>
                      <w:rFonts w:hint="eastAsia" w:hAnsi="宋体"/>
                      <w:kern w:val="0"/>
                      <w:szCs w:val="21"/>
                    </w:rPr>
                  </w:pPr>
                </w:p>
              </w:tc>
              <w:tc>
                <w:tcPr>
                  <w:tcW w:w="2827" w:type="dxa"/>
                  <w:vAlign w:val="center"/>
                </w:tcPr>
                <w:p w14:paraId="5360435F">
                  <w:pPr>
                    <w:jc w:val="center"/>
                    <w:rPr>
                      <w:rFonts w:hint="eastAsia" w:hAnsi="宋体"/>
                      <w:kern w:val="0"/>
                      <w:szCs w:val="21"/>
                    </w:rPr>
                  </w:pPr>
                  <w:r>
                    <w:rPr>
                      <w:rFonts w:hint="eastAsia" w:hAnsi="宋体"/>
                      <w:kern w:val="0"/>
                      <w:szCs w:val="21"/>
                    </w:rPr>
                    <w:t>应实现密闭化生活垃圾收集和运输，防止生活垃 圾暴露和散落，防止垃圾渗滤液滴漏，淘汰敞开式收集方式</w:t>
                  </w:r>
                </w:p>
                <w:p w14:paraId="2F057E49">
                  <w:pPr>
                    <w:jc w:val="center"/>
                    <w:rPr>
                      <w:rFonts w:hint="eastAsia" w:hAnsi="宋体"/>
                      <w:kern w:val="0"/>
                      <w:szCs w:val="21"/>
                    </w:rPr>
                  </w:pPr>
                </w:p>
              </w:tc>
              <w:tc>
                <w:tcPr>
                  <w:tcW w:w="3889" w:type="dxa"/>
                  <w:vAlign w:val="center"/>
                </w:tcPr>
                <w:p w14:paraId="00CA8A25">
                  <w:pPr>
                    <w:jc w:val="center"/>
                    <w:rPr>
                      <w:rFonts w:hint="eastAsia" w:hAnsi="宋体"/>
                      <w:kern w:val="0"/>
                      <w:szCs w:val="21"/>
                    </w:rPr>
                  </w:pPr>
                  <w:r>
                    <w:rPr>
                      <w:rFonts w:hint="eastAsia" w:hAnsi="宋体"/>
                      <w:kern w:val="0"/>
                      <w:szCs w:val="21"/>
                    </w:rPr>
                    <w:t>本项目配备密闭、高效、环保转运车辆，可有效避免转运过程中的环境问题。</w:t>
                  </w:r>
                </w:p>
              </w:tc>
              <w:tc>
                <w:tcPr>
                  <w:tcW w:w="934" w:type="dxa"/>
                  <w:vAlign w:val="center"/>
                </w:tcPr>
                <w:p w14:paraId="752255D3">
                  <w:pPr>
                    <w:jc w:val="center"/>
                    <w:rPr>
                      <w:rFonts w:hint="eastAsia" w:hAnsi="宋体"/>
                      <w:kern w:val="0"/>
                      <w:szCs w:val="21"/>
                    </w:rPr>
                  </w:pPr>
                  <w:r>
                    <w:rPr>
                      <w:rFonts w:hint="eastAsia" w:hAnsi="宋体"/>
                      <w:kern w:val="0"/>
                      <w:szCs w:val="21"/>
                    </w:rPr>
                    <w:t>符合</w:t>
                  </w:r>
                </w:p>
              </w:tc>
            </w:tr>
            <w:tr w14:paraId="7DC9C7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54FFF81B">
                  <w:pPr>
                    <w:jc w:val="left"/>
                    <w:rPr>
                      <w:rFonts w:hint="eastAsia" w:hAnsi="宋体"/>
                      <w:kern w:val="0"/>
                      <w:szCs w:val="21"/>
                    </w:rPr>
                  </w:pPr>
                </w:p>
              </w:tc>
              <w:tc>
                <w:tcPr>
                  <w:tcW w:w="2827" w:type="dxa"/>
                  <w:vAlign w:val="center"/>
                </w:tcPr>
                <w:p w14:paraId="7ADE0643">
                  <w:pPr>
                    <w:jc w:val="center"/>
                    <w:rPr>
                      <w:rFonts w:hint="eastAsia" w:hAnsi="宋体"/>
                      <w:kern w:val="0"/>
                      <w:szCs w:val="21"/>
                    </w:rPr>
                  </w:pPr>
                  <w:r>
                    <w:rPr>
                      <w:rFonts w:hint="eastAsia" w:hAnsi="宋体"/>
                      <w:kern w:val="0"/>
                      <w:szCs w:val="21"/>
                    </w:rPr>
                    <w:t>应逐步提高生活垃圾机械化收运水平，鼓励采用压缩式方式收集和运输生活垃圾</w:t>
                  </w:r>
                </w:p>
              </w:tc>
              <w:tc>
                <w:tcPr>
                  <w:tcW w:w="3889" w:type="dxa"/>
                  <w:vAlign w:val="center"/>
                </w:tcPr>
                <w:p w14:paraId="32A32C1B">
                  <w:pPr>
                    <w:jc w:val="center"/>
                    <w:rPr>
                      <w:rFonts w:hint="eastAsia" w:hAnsi="宋体"/>
                      <w:kern w:val="0"/>
                      <w:szCs w:val="21"/>
                    </w:rPr>
                  </w:pPr>
                  <w:r>
                    <w:rPr>
                      <w:rFonts w:hint="eastAsia" w:hAnsi="宋体"/>
                      <w:kern w:val="0"/>
                      <w:szCs w:val="21"/>
                    </w:rPr>
                    <w:t>本项目采用水平式压缩工艺，压缩过程密闭</w:t>
                  </w:r>
                </w:p>
              </w:tc>
              <w:tc>
                <w:tcPr>
                  <w:tcW w:w="934" w:type="dxa"/>
                  <w:vAlign w:val="center"/>
                </w:tcPr>
                <w:p w14:paraId="38DFD3B6">
                  <w:pPr>
                    <w:jc w:val="center"/>
                    <w:rPr>
                      <w:rFonts w:hint="eastAsia" w:hAnsi="宋体"/>
                      <w:kern w:val="0"/>
                      <w:szCs w:val="21"/>
                    </w:rPr>
                  </w:pPr>
                  <w:r>
                    <w:rPr>
                      <w:rFonts w:hint="eastAsia" w:hAnsi="宋体"/>
                      <w:kern w:val="0"/>
                      <w:szCs w:val="21"/>
                    </w:rPr>
                    <w:t>符合</w:t>
                  </w:r>
                </w:p>
              </w:tc>
            </w:tr>
            <w:tr w14:paraId="3A7DA4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40E5568C">
                  <w:pPr>
                    <w:jc w:val="left"/>
                    <w:rPr>
                      <w:rFonts w:hint="eastAsia" w:hAnsi="宋体"/>
                      <w:kern w:val="0"/>
                      <w:szCs w:val="21"/>
                    </w:rPr>
                  </w:pPr>
                </w:p>
              </w:tc>
              <w:tc>
                <w:tcPr>
                  <w:tcW w:w="2827" w:type="dxa"/>
                  <w:vAlign w:val="center"/>
                </w:tcPr>
                <w:p w14:paraId="39360E34">
                  <w:pPr>
                    <w:jc w:val="center"/>
                    <w:rPr>
                      <w:rFonts w:hint="eastAsia" w:hAnsi="宋体"/>
                      <w:kern w:val="0"/>
                      <w:szCs w:val="21"/>
                    </w:rPr>
                  </w:pPr>
                  <w:r>
                    <w:rPr>
                      <w:rFonts w:hint="eastAsia" w:hAnsi="宋体"/>
                      <w:kern w:val="0"/>
                      <w:szCs w:val="21"/>
                    </w:rPr>
                    <w:t xml:space="preserve">应加强生活垃圾收运设施建设，重点是区域性大中型转运站建设 </w:t>
                  </w:r>
                </w:p>
              </w:tc>
              <w:tc>
                <w:tcPr>
                  <w:tcW w:w="3889" w:type="dxa"/>
                  <w:vAlign w:val="center"/>
                </w:tcPr>
                <w:p w14:paraId="69CBB675">
                  <w:pPr>
                    <w:jc w:val="center"/>
                    <w:rPr>
                      <w:rFonts w:hint="eastAsia" w:hAnsi="宋体"/>
                      <w:kern w:val="0"/>
                      <w:szCs w:val="21"/>
                    </w:rPr>
                  </w:pPr>
                  <w:r>
                    <w:rPr>
                      <w:rFonts w:hint="eastAsia" w:hAnsi="宋体"/>
                      <w:kern w:val="0"/>
                      <w:szCs w:val="21"/>
                    </w:rPr>
                    <w:t>本项目属于中型转运站新建项目。</w:t>
                  </w:r>
                </w:p>
              </w:tc>
              <w:tc>
                <w:tcPr>
                  <w:tcW w:w="934" w:type="dxa"/>
                  <w:vAlign w:val="center"/>
                </w:tcPr>
                <w:p w14:paraId="472390FA">
                  <w:pPr>
                    <w:jc w:val="center"/>
                    <w:rPr>
                      <w:rFonts w:hint="eastAsia" w:hAnsi="宋体"/>
                      <w:kern w:val="0"/>
                      <w:szCs w:val="21"/>
                    </w:rPr>
                  </w:pPr>
                  <w:r>
                    <w:rPr>
                      <w:rFonts w:hint="eastAsia" w:hAnsi="宋体"/>
                      <w:kern w:val="0"/>
                      <w:szCs w:val="21"/>
                    </w:rPr>
                    <w:t>符合</w:t>
                  </w:r>
                </w:p>
              </w:tc>
            </w:tr>
            <w:tr w14:paraId="02007F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012D1DB3">
                  <w:pPr>
                    <w:jc w:val="left"/>
                    <w:rPr>
                      <w:rFonts w:hint="eastAsia" w:hAnsi="宋体"/>
                      <w:kern w:val="0"/>
                      <w:szCs w:val="21"/>
                    </w:rPr>
                  </w:pPr>
                </w:p>
              </w:tc>
              <w:tc>
                <w:tcPr>
                  <w:tcW w:w="2827" w:type="dxa"/>
                  <w:vAlign w:val="center"/>
                </w:tcPr>
                <w:p w14:paraId="3AD90A55">
                  <w:pPr>
                    <w:jc w:val="center"/>
                    <w:rPr>
                      <w:rFonts w:hint="eastAsia" w:hAnsi="宋体"/>
                      <w:kern w:val="0"/>
                      <w:szCs w:val="21"/>
                    </w:rPr>
                  </w:pPr>
                  <w:r>
                    <w:rPr>
                      <w:rFonts w:hint="eastAsia" w:hAnsi="宋体"/>
                      <w:kern w:val="0"/>
                      <w:szCs w:val="21"/>
                    </w:rPr>
                    <w:t>拓展生活垃圾收运服务范围，加强县城和村镇生活垃圾的收集</w:t>
                  </w:r>
                </w:p>
              </w:tc>
              <w:tc>
                <w:tcPr>
                  <w:tcW w:w="3889" w:type="dxa"/>
                  <w:vAlign w:val="center"/>
                </w:tcPr>
                <w:p w14:paraId="336E4276">
                  <w:pPr>
                    <w:jc w:val="center"/>
                    <w:rPr>
                      <w:rFonts w:hint="eastAsia" w:hAnsi="宋体"/>
                      <w:kern w:val="0"/>
                      <w:szCs w:val="21"/>
                    </w:rPr>
                  </w:pPr>
                  <w:r>
                    <w:rPr>
                      <w:rFonts w:hint="eastAsia" w:hAnsi="宋体"/>
                      <w:kern w:val="0"/>
                      <w:szCs w:val="21"/>
                    </w:rPr>
                    <w:t>本项目覆盖区域为达州市西南职业教育园区，有效提高区域内生活垃圾转运效率。</w:t>
                  </w:r>
                </w:p>
              </w:tc>
              <w:tc>
                <w:tcPr>
                  <w:tcW w:w="934" w:type="dxa"/>
                  <w:vAlign w:val="center"/>
                </w:tcPr>
                <w:p w14:paraId="27F8772B">
                  <w:pPr>
                    <w:jc w:val="center"/>
                    <w:rPr>
                      <w:rFonts w:hint="eastAsia" w:hAnsi="宋体"/>
                      <w:kern w:val="0"/>
                      <w:szCs w:val="21"/>
                    </w:rPr>
                  </w:pPr>
                  <w:r>
                    <w:rPr>
                      <w:rFonts w:hint="eastAsia" w:hAnsi="宋体"/>
                      <w:kern w:val="0"/>
                      <w:szCs w:val="21"/>
                    </w:rPr>
                    <w:t>符合</w:t>
                  </w:r>
                </w:p>
              </w:tc>
            </w:tr>
            <w:tr w14:paraId="55494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restart"/>
                  <w:vAlign w:val="center"/>
                </w:tcPr>
                <w:p w14:paraId="68221AD3">
                  <w:pPr>
                    <w:wordWrap w:val="0"/>
                    <w:jc w:val="center"/>
                    <w:rPr>
                      <w:rFonts w:hint="eastAsia" w:hAnsi="宋体"/>
                      <w:kern w:val="0"/>
                      <w:szCs w:val="21"/>
                    </w:rPr>
                  </w:pPr>
                  <w:r>
                    <w:rPr>
                      <w:rFonts w:hint="eastAsia" w:hAnsi="宋体"/>
                      <w:kern w:val="0"/>
                      <w:szCs w:val="21"/>
                    </w:rPr>
                    <w:t>《环境卫生设施设置标准》（CJJ27-2012）</w:t>
                  </w:r>
                </w:p>
              </w:tc>
              <w:tc>
                <w:tcPr>
                  <w:tcW w:w="2827" w:type="dxa"/>
                  <w:vAlign w:val="center"/>
                </w:tcPr>
                <w:p w14:paraId="7F6BF1E8">
                  <w:pPr>
                    <w:jc w:val="center"/>
                    <w:rPr>
                      <w:rFonts w:hint="eastAsia" w:hAnsi="宋体"/>
                      <w:kern w:val="0"/>
                      <w:szCs w:val="21"/>
                    </w:rPr>
                  </w:pPr>
                  <w:r>
                    <w:rPr>
                      <w:rFonts w:hint="eastAsia" w:hAnsi="宋体"/>
                      <w:kern w:val="0"/>
                      <w:szCs w:val="21"/>
                    </w:rPr>
                    <w:t>环境卫生工程设施应根据安全、环保、经济的原则选址，应设置在交通运输方便、市政条件较好对周边居民影响较小的地区</w:t>
                  </w:r>
                </w:p>
              </w:tc>
              <w:tc>
                <w:tcPr>
                  <w:tcW w:w="3889" w:type="dxa"/>
                  <w:vAlign w:val="center"/>
                </w:tcPr>
                <w:p w14:paraId="6B2C5FA5">
                  <w:pPr>
                    <w:jc w:val="center"/>
                    <w:rPr>
                      <w:rFonts w:hint="eastAsia" w:hAnsi="宋体"/>
                      <w:kern w:val="0"/>
                      <w:szCs w:val="21"/>
                    </w:rPr>
                  </w:pPr>
                  <w:r>
                    <w:rPr>
                      <w:rFonts w:hint="eastAsia" w:hAnsi="宋体"/>
                      <w:kern w:val="0"/>
                      <w:szCs w:val="21"/>
                    </w:rPr>
                    <w:t>本项目为职教园区生活垃圾中转站，位于达州市西南职业教育园区李家湾犀牛大道与崇德路之间，交通运输方便，且压缩车间50m范围内无敏感点。</w:t>
                  </w:r>
                </w:p>
              </w:tc>
              <w:tc>
                <w:tcPr>
                  <w:tcW w:w="934" w:type="dxa"/>
                  <w:vAlign w:val="center"/>
                </w:tcPr>
                <w:p w14:paraId="205E1B47">
                  <w:pPr>
                    <w:jc w:val="center"/>
                    <w:rPr>
                      <w:rFonts w:hint="eastAsia" w:hAnsi="宋体"/>
                      <w:kern w:val="0"/>
                      <w:szCs w:val="21"/>
                    </w:rPr>
                  </w:pPr>
                  <w:r>
                    <w:rPr>
                      <w:rFonts w:hAnsi="宋体"/>
                      <w:kern w:val="0"/>
                      <w:szCs w:val="21"/>
                    </w:rPr>
                    <w:t>符合</w:t>
                  </w:r>
                </w:p>
              </w:tc>
            </w:tr>
            <w:tr w14:paraId="0CF777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7641C936">
                  <w:pPr>
                    <w:jc w:val="left"/>
                    <w:rPr>
                      <w:rFonts w:hint="eastAsia" w:hAnsi="宋体"/>
                      <w:kern w:val="0"/>
                      <w:szCs w:val="21"/>
                    </w:rPr>
                  </w:pPr>
                </w:p>
              </w:tc>
              <w:tc>
                <w:tcPr>
                  <w:tcW w:w="2827" w:type="dxa"/>
                  <w:vAlign w:val="center"/>
                </w:tcPr>
                <w:p w14:paraId="54D12390">
                  <w:pPr>
                    <w:wordWrap w:val="0"/>
                    <w:jc w:val="center"/>
                    <w:rPr>
                      <w:rFonts w:hint="eastAsia" w:hAnsi="宋体"/>
                      <w:kern w:val="0"/>
                      <w:szCs w:val="21"/>
                    </w:rPr>
                  </w:pPr>
                  <w:r>
                    <w:rPr>
                      <w:rFonts w:hint="eastAsia" w:hAnsi="宋体"/>
                      <w:kern w:val="0"/>
                      <w:szCs w:val="21"/>
                    </w:rPr>
                    <w:t>中型Ⅲ类转运站距离站外相邻建筑距离&gt;15m。</w:t>
                  </w:r>
                </w:p>
              </w:tc>
              <w:tc>
                <w:tcPr>
                  <w:tcW w:w="3889" w:type="dxa"/>
                  <w:vAlign w:val="center"/>
                </w:tcPr>
                <w:p w14:paraId="764E2A65">
                  <w:pPr>
                    <w:jc w:val="center"/>
                    <w:rPr>
                      <w:rFonts w:hint="eastAsia" w:hAnsi="宋体"/>
                      <w:kern w:val="0"/>
                      <w:szCs w:val="21"/>
                    </w:rPr>
                  </w:pPr>
                  <w:r>
                    <w:rPr>
                      <w:rFonts w:hint="eastAsia" w:hAnsi="宋体"/>
                      <w:kern w:val="0"/>
                      <w:szCs w:val="21"/>
                    </w:rPr>
                    <w:t>本项目拟建地块四周均为空地，且规划用地为城市公园绿地，远离公共服务集中区域。本环评建议，若后期规划调整，新建构筑物应距离本项目厂界15m以上。</w:t>
                  </w:r>
                </w:p>
              </w:tc>
              <w:tc>
                <w:tcPr>
                  <w:tcW w:w="934" w:type="dxa"/>
                  <w:vAlign w:val="center"/>
                </w:tcPr>
                <w:p w14:paraId="2FBD51CA">
                  <w:pPr>
                    <w:jc w:val="center"/>
                    <w:rPr>
                      <w:rFonts w:hint="eastAsia" w:hAnsi="宋体"/>
                      <w:kern w:val="0"/>
                      <w:szCs w:val="21"/>
                    </w:rPr>
                  </w:pPr>
                  <w:r>
                    <w:rPr>
                      <w:rFonts w:hint="eastAsia" w:hAnsi="宋体"/>
                      <w:kern w:val="0"/>
                      <w:szCs w:val="21"/>
                    </w:rPr>
                    <w:t>符合</w:t>
                  </w:r>
                </w:p>
              </w:tc>
            </w:tr>
            <w:tr w14:paraId="117EDF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0CBD5B8F">
                  <w:pPr>
                    <w:jc w:val="left"/>
                    <w:rPr>
                      <w:rFonts w:hint="eastAsia" w:hAnsi="宋体"/>
                      <w:kern w:val="0"/>
                      <w:szCs w:val="21"/>
                    </w:rPr>
                  </w:pPr>
                </w:p>
              </w:tc>
              <w:tc>
                <w:tcPr>
                  <w:tcW w:w="2827" w:type="dxa"/>
                  <w:vAlign w:val="center"/>
                </w:tcPr>
                <w:p w14:paraId="576E385E">
                  <w:pPr>
                    <w:jc w:val="center"/>
                    <w:rPr>
                      <w:rFonts w:hint="eastAsia" w:hAnsi="宋体"/>
                      <w:kern w:val="0"/>
                      <w:szCs w:val="21"/>
                    </w:rPr>
                  </w:pPr>
                  <w:r>
                    <w:rPr>
                      <w:rFonts w:hint="eastAsia" w:hAnsi="宋体"/>
                      <w:kern w:val="0"/>
                      <w:szCs w:val="21"/>
                    </w:rPr>
                    <w:t>中型</w:t>
                  </w:r>
                  <w:r>
                    <w:rPr>
                      <w:rFonts w:hAnsi="宋体"/>
                      <w:kern w:val="0"/>
                      <w:szCs w:val="21"/>
                    </w:rPr>
                    <w:t>Ⅲ</w:t>
                  </w:r>
                  <w:r>
                    <w:rPr>
                      <w:rFonts w:hint="eastAsia" w:hAnsi="宋体"/>
                      <w:kern w:val="0"/>
                      <w:szCs w:val="21"/>
                    </w:rPr>
                    <w:t>类转运作业功能区退界距离</w:t>
                  </w:r>
                  <w:r>
                    <w:rPr>
                      <w:rFonts w:hAnsi="宋体"/>
                      <w:kern w:val="0"/>
                      <w:szCs w:val="21"/>
                    </w:rPr>
                    <w:t>≥5m</w:t>
                  </w:r>
                </w:p>
                <w:p w14:paraId="3A754990">
                  <w:pPr>
                    <w:jc w:val="center"/>
                    <w:rPr>
                      <w:rFonts w:hint="eastAsia" w:hAnsi="宋体"/>
                      <w:kern w:val="0"/>
                      <w:szCs w:val="21"/>
                    </w:rPr>
                  </w:pPr>
                </w:p>
              </w:tc>
              <w:tc>
                <w:tcPr>
                  <w:tcW w:w="3889" w:type="dxa"/>
                  <w:vAlign w:val="center"/>
                </w:tcPr>
                <w:p w14:paraId="4093E3DE">
                  <w:pPr>
                    <w:jc w:val="center"/>
                    <w:rPr>
                      <w:rFonts w:hint="eastAsia" w:hAnsi="宋体"/>
                      <w:kern w:val="0"/>
                      <w:szCs w:val="21"/>
                    </w:rPr>
                  </w:pPr>
                  <w:r>
                    <w:rPr>
                      <w:rFonts w:hint="eastAsia" w:hAnsi="宋体"/>
                      <w:kern w:val="0"/>
                      <w:szCs w:val="21"/>
                    </w:rPr>
                    <w:t>本项目拟建地块四周均为空地，规划用途为城市公园绿地，且本项目作业功能区退界距离＞5m。</w:t>
                  </w:r>
                </w:p>
              </w:tc>
              <w:tc>
                <w:tcPr>
                  <w:tcW w:w="934" w:type="dxa"/>
                  <w:vAlign w:val="center"/>
                </w:tcPr>
                <w:p w14:paraId="04998B3A">
                  <w:pPr>
                    <w:jc w:val="center"/>
                    <w:rPr>
                      <w:rFonts w:hint="eastAsia" w:hAnsi="宋体"/>
                      <w:kern w:val="0"/>
                      <w:szCs w:val="21"/>
                    </w:rPr>
                  </w:pPr>
                  <w:r>
                    <w:rPr>
                      <w:rFonts w:hint="eastAsia" w:hAnsi="宋体"/>
                      <w:kern w:val="0"/>
                      <w:szCs w:val="21"/>
                    </w:rPr>
                    <w:t>符合</w:t>
                  </w:r>
                </w:p>
              </w:tc>
            </w:tr>
            <w:tr w14:paraId="501E5C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4B5C89FF">
                  <w:pPr>
                    <w:jc w:val="left"/>
                    <w:rPr>
                      <w:rFonts w:hint="eastAsia" w:hAnsi="宋体"/>
                      <w:kern w:val="0"/>
                      <w:szCs w:val="21"/>
                    </w:rPr>
                  </w:pPr>
                </w:p>
              </w:tc>
              <w:tc>
                <w:tcPr>
                  <w:tcW w:w="2827" w:type="dxa"/>
                  <w:vAlign w:val="center"/>
                </w:tcPr>
                <w:p w14:paraId="3826E343">
                  <w:pPr>
                    <w:jc w:val="center"/>
                    <w:rPr>
                      <w:rFonts w:hint="eastAsia" w:hAnsi="宋体"/>
                      <w:kern w:val="0"/>
                      <w:szCs w:val="21"/>
                    </w:rPr>
                  </w:pPr>
                  <w:r>
                    <w:rPr>
                      <w:rFonts w:hint="eastAsia" w:hAnsi="宋体"/>
                      <w:kern w:val="0"/>
                      <w:szCs w:val="21"/>
                    </w:rPr>
                    <w:t>垃圾转运站外形应美观，并应与周围环境协调，应采用先进设备，作业时应能实现封闭、减容、压缩。扬尘、噪声、臭气、排水等指标应符合国家相关环境保护标准要求</w:t>
                  </w:r>
                </w:p>
              </w:tc>
              <w:tc>
                <w:tcPr>
                  <w:tcW w:w="3889" w:type="dxa"/>
                  <w:vAlign w:val="center"/>
                </w:tcPr>
                <w:p w14:paraId="46E96332">
                  <w:pPr>
                    <w:jc w:val="center"/>
                    <w:rPr>
                      <w:rFonts w:hint="eastAsia" w:hAnsi="宋体"/>
                      <w:kern w:val="0"/>
                      <w:szCs w:val="21"/>
                    </w:rPr>
                  </w:pPr>
                  <w:r>
                    <w:rPr>
                      <w:rFonts w:hint="eastAsia" w:hAnsi="宋体"/>
                      <w:kern w:val="0"/>
                      <w:szCs w:val="21"/>
                    </w:rPr>
                    <w:t>本项目厂区绿化率达29.81%；封闭压缩间作业，采用水平压缩工艺，实现封闭、减容、压缩；采用喷洒植物液、组合式臭气处理工艺处理，能满足国家环保要求</w:t>
                  </w:r>
                </w:p>
              </w:tc>
              <w:tc>
                <w:tcPr>
                  <w:tcW w:w="934" w:type="dxa"/>
                  <w:vAlign w:val="center"/>
                </w:tcPr>
                <w:p w14:paraId="028F578D">
                  <w:pPr>
                    <w:jc w:val="center"/>
                    <w:rPr>
                      <w:rFonts w:hint="eastAsia" w:hAnsi="宋体"/>
                      <w:kern w:val="0"/>
                      <w:szCs w:val="21"/>
                    </w:rPr>
                  </w:pPr>
                  <w:r>
                    <w:rPr>
                      <w:rFonts w:hint="eastAsia" w:hAnsi="宋体"/>
                      <w:kern w:val="0"/>
                      <w:szCs w:val="21"/>
                    </w:rPr>
                    <w:t>符合</w:t>
                  </w:r>
                </w:p>
              </w:tc>
            </w:tr>
            <w:tr w14:paraId="52703F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restart"/>
                  <w:vAlign w:val="center"/>
                </w:tcPr>
                <w:p w14:paraId="37C77933">
                  <w:pPr>
                    <w:wordWrap w:val="0"/>
                    <w:jc w:val="center"/>
                    <w:rPr>
                      <w:rFonts w:hint="eastAsia" w:hAnsi="宋体"/>
                      <w:kern w:val="0"/>
                      <w:szCs w:val="21"/>
                    </w:rPr>
                  </w:pPr>
                  <w:r>
                    <w:rPr>
                      <w:rFonts w:hint="eastAsia" w:hAnsi="宋体"/>
                      <w:kern w:val="0"/>
                      <w:szCs w:val="21"/>
                    </w:rPr>
                    <w:t>《生活垃圾转运站技术规范》（</w:t>
                  </w:r>
                  <w:r>
                    <w:rPr>
                      <w:rFonts w:hAnsi="宋体"/>
                      <w:kern w:val="0"/>
                      <w:szCs w:val="21"/>
                    </w:rPr>
                    <w:t>CJJ/T47-2016</w:t>
                  </w:r>
                  <w:r>
                    <w:rPr>
                      <w:rFonts w:hint="eastAsia" w:hAnsi="宋体"/>
                      <w:kern w:val="0"/>
                      <w:szCs w:val="21"/>
                    </w:rPr>
                    <w:t>）</w:t>
                  </w:r>
                </w:p>
                <w:p w14:paraId="7A815CBC">
                  <w:pPr>
                    <w:wordWrap w:val="0"/>
                    <w:jc w:val="center"/>
                    <w:rPr>
                      <w:rFonts w:hint="eastAsia" w:hAnsi="宋体"/>
                      <w:kern w:val="0"/>
                      <w:szCs w:val="21"/>
                    </w:rPr>
                  </w:pPr>
                </w:p>
              </w:tc>
              <w:tc>
                <w:tcPr>
                  <w:tcW w:w="2827" w:type="dxa"/>
                  <w:vAlign w:val="center"/>
                </w:tcPr>
                <w:p w14:paraId="4FCF95E0">
                  <w:pPr>
                    <w:jc w:val="center"/>
                    <w:rPr>
                      <w:rFonts w:hint="eastAsia" w:hAnsi="宋体"/>
                      <w:kern w:val="0"/>
                      <w:szCs w:val="21"/>
                    </w:rPr>
                  </w:pPr>
                  <w:r>
                    <w:rPr>
                      <w:rFonts w:hint="eastAsia" w:hAnsi="宋体"/>
                      <w:kern w:val="0"/>
                      <w:szCs w:val="21"/>
                    </w:rPr>
                    <w:t>符合城市总体规划和环境卫生专业规划的要求。</w:t>
                  </w:r>
                </w:p>
              </w:tc>
              <w:tc>
                <w:tcPr>
                  <w:tcW w:w="3889" w:type="dxa"/>
                  <w:vAlign w:val="center"/>
                </w:tcPr>
                <w:p w14:paraId="69B59CB2">
                  <w:pPr>
                    <w:jc w:val="center"/>
                    <w:rPr>
                      <w:rFonts w:hint="eastAsia" w:hAnsi="宋体"/>
                      <w:kern w:val="0"/>
                      <w:szCs w:val="21"/>
                    </w:rPr>
                  </w:pPr>
                  <w:r>
                    <w:rPr>
                      <w:rFonts w:hint="eastAsia" w:hAnsi="宋体"/>
                      <w:kern w:val="0"/>
                      <w:szCs w:val="21"/>
                    </w:rPr>
                    <w:t>本项目为生活垃圾中转站项目，属于配套设施</w:t>
                  </w:r>
                  <w:r>
                    <w:rPr>
                      <w:rFonts w:hint="eastAsia" w:hAnsi="宋体"/>
                      <w:kern w:val="0"/>
                      <w:szCs w:val="21"/>
                      <w:lang w:eastAsia="zh-CN"/>
                    </w:rPr>
                    <w:t>建设</w:t>
                  </w:r>
                  <w:r>
                    <w:rPr>
                      <w:rFonts w:hint="eastAsia" w:hAnsi="宋体"/>
                      <w:kern w:val="0"/>
                      <w:szCs w:val="21"/>
                    </w:rPr>
                    <w:t>，位于达州市西南职业教育园区李家湾犀牛大道与崇德路之间，拟建地块规划用地性质为公共设施用地。</w:t>
                  </w:r>
                </w:p>
              </w:tc>
              <w:tc>
                <w:tcPr>
                  <w:tcW w:w="934" w:type="dxa"/>
                  <w:vAlign w:val="center"/>
                </w:tcPr>
                <w:p w14:paraId="77494F33">
                  <w:pPr>
                    <w:jc w:val="center"/>
                    <w:rPr>
                      <w:rFonts w:hint="eastAsia" w:hAnsi="宋体"/>
                      <w:kern w:val="0"/>
                      <w:szCs w:val="21"/>
                    </w:rPr>
                  </w:pPr>
                  <w:r>
                    <w:rPr>
                      <w:rFonts w:hint="eastAsia" w:hAnsi="宋体"/>
                      <w:kern w:val="0"/>
                      <w:szCs w:val="21"/>
                    </w:rPr>
                    <w:t>符合</w:t>
                  </w:r>
                </w:p>
              </w:tc>
            </w:tr>
            <w:tr w14:paraId="432F8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372DDD5C">
                  <w:pPr>
                    <w:wordWrap w:val="0"/>
                    <w:jc w:val="center"/>
                    <w:rPr>
                      <w:rFonts w:hint="eastAsia" w:hAnsi="宋体"/>
                      <w:kern w:val="0"/>
                      <w:szCs w:val="21"/>
                    </w:rPr>
                  </w:pPr>
                </w:p>
              </w:tc>
              <w:tc>
                <w:tcPr>
                  <w:tcW w:w="2827" w:type="dxa"/>
                  <w:vAlign w:val="center"/>
                </w:tcPr>
                <w:p w14:paraId="7591DDA6">
                  <w:pPr>
                    <w:jc w:val="center"/>
                    <w:rPr>
                      <w:rFonts w:hint="eastAsia" w:hAnsi="宋体"/>
                      <w:kern w:val="0"/>
                      <w:szCs w:val="21"/>
                    </w:rPr>
                  </w:pPr>
                  <w:r>
                    <w:rPr>
                      <w:rFonts w:hint="eastAsia" w:hAnsi="宋体"/>
                      <w:kern w:val="0"/>
                      <w:szCs w:val="21"/>
                    </w:rPr>
                    <w:t>综合考虑服务区域、转运能力、运输距离、污染控制、配套条件等因素的影响</w:t>
                  </w:r>
                </w:p>
                <w:p w14:paraId="77F1113A">
                  <w:pPr>
                    <w:jc w:val="center"/>
                    <w:rPr>
                      <w:rFonts w:hint="eastAsia" w:hAnsi="宋体"/>
                      <w:kern w:val="0"/>
                      <w:szCs w:val="21"/>
                    </w:rPr>
                  </w:pPr>
                </w:p>
              </w:tc>
              <w:tc>
                <w:tcPr>
                  <w:tcW w:w="3889" w:type="dxa"/>
                  <w:vAlign w:val="center"/>
                </w:tcPr>
                <w:p w14:paraId="762EDBDF">
                  <w:pPr>
                    <w:jc w:val="center"/>
                    <w:rPr>
                      <w:rFonts w:hint="eastAsia" w:hAnsi="宋体"/>
                      <w:kern w:val="0"/>
                      <w:szCs w:val="21"/>
                    </w:rPr>
                  </w:pPr>
                  <w:r>
                    <w:rPr>
                      <w:rFonts w:hint="eastAsia" w:hAnsi="宋体"/>
                      <w:kern w:val="0"/>
                      <w:szCs w:val="21"/>
                    </w:rPr>
                    <w:t>本项目位于职教园区南部，距通川区城区仅15km，紧邻犀牛大道和崇德路，交通较为便利；服务区域为达州市西南职业教育园区，收集及运</w:t>
                  </w:r>
                </w:p>
                <w:p w14:paraId="7EB5F950">
                  <w:pPr>
                    <w:jc w:val="center"/>
                    <w:rPr>
                      <w:rFonts w:hint="eastAsia" w:hAnsi="宋体"/>
                      <w:kern w:val="0"/>
                      <w:szCs w:val="21"/>
                    </w:rPr>
                  </w:pPr>
                  <w:r>
                    <w:rPr>
                      <w:rFonts w:hint="eastAsia" w:hAnsi="宋体"/>
                      <w:kern w:val="0"/>
                      <w:szCs w:val="21"/>
                    </w:rPr>
                    <w:t>输线路明确。已统筹考虑因素影响。</w:t>
                  </w:r>
                </w:p>
              </w:tc>
              <w:tc>
                <w:tcPr>
                  <w:tcW w:w="934" w:type="dxa"/>
                  <w:vAlign w:val="center"/>
                </w:tcPr>
                <w:p w14:paraId="262A6348">
                  <w:pPr>
                    <w:jc w:val="center"/>
                    <w:rPr>
                      <w:rFonts w:hint="eastAsia" w:hAnsi="宋体"/>
                      <w:kern w:val="0"/>
                      <w:szCs w:val="21"/>
                    </w:rPr>
                  </w:pPr>
                  <w:r>
                    <w:rPr>
                      <w:rFonts w:hint="eastAsia" w:hAnsi="宋体"/>
                      <w:kern w:val="0"/>
                      <w:szCs w:val="21"/>
                    </w:rPr>
                    <w:t>符合</w:t>
                  </w:r>
                </w:p>
              </w:tc>
            </w:tr>
            <w:tr w14:paraId="718710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11409E01">
                  <w:pPr>
                    <w:wordWrap w:val="0"/>
                    <w:jc w:val="center"/>
                    <w:rPr>
                      <w:rFonts w:hint="eastAsia" w:hAnsi="宋体"/>
                      <w:kern w:val="0"/>
                      <w:szCs w:val="21"/>
                    </w:rPr>
                  </w:pPr>
                </w:p>
              </w:tc>
              <w:tc>
                <w:tcPr>
                  <w:tcW w:w="2827" w:type="dxa"/>
                  <w:vAlign w:val="center"/>
                </w:tcPr>
                <w:p w14:paraId="76FA5843">
                  <w:pPr>
                    <w:jc w:val="center"/>
                    <w:rPr>
                      <w:rFonts w:hint="eastAsia" w:hAnsi="宋体"/>
                      <w:kern w:val="0"/>
                      <w:szCs w:val="21"/>
                    </w:rPr>
                  </w:pPr>
                  <w:r>
                    <w:rPr>
                      <w:rFonts w:hint="eastAsia" w:hAnsi="宋体"/>
                      <w:kern w:val="0"/>
                      <w:szCs w:val="21"/>
                    </w:rPr>
                    <w:t>设在交通便利，易安排清运线路的地方；</w:t>
                  </w:r>
                </w:p>
                <w:p w14:paraId="7D19029D">
                  <w:pPr>
                    <w:jc w:val="center"/>
                    <w:rPr>
                      <w:rFonts w:hint="eastAsia" w:hAnsi="宋体"/>
                      <w:kern w:val="0"/>
                      <w:szCs w:val="21"/>
                    </w:rPr>
                  </w:pPr>
                </w:p>
              </w:tc>
              <w:tc>
                <w:tcPr>
                  <w:tcW w:w="3889" w:type="dxa"/>
                  <w:vAlign w:val="center"/>
                </w:tcPr>
                <w:p w14:paraId="4386400A">
                  <w:pPr>
                    <w:jc w:val="center"/>
                    <w:rPr>
                      <w:rFonts w:hint="eastAsia" w:hAnsi="宋体"/>
                      <w:kern w:val="0"/>
                      <w:szCs w:val="21"/>
                    </w:rPr>
                  </w:pPr>
                  <w:r>
                    <w:rPr>
                      <w:rFonts w:hint="eastAsia" w:hAnsi="宋体"/>
                      <w:kern w:val="0"/>
                      <w:szCs w:val="21"/>
                    </w:rPr>
                    <w:t>本项目紧邻犀牛大道和崇德路，交通便利。</w:t>
                  </w:r>
                </w:p>
              </w:tc>
              <w:tc>
                <w:tcPr>
                  <w:tcW w:w="934" w:type="dxa"/>
                  <w:vAlign w:val="center"/>
                </w:tcPr>
                <w:p w14:paraId="105394FB">
                  <w:pPr>
                    <w:jc w:val="center"/>
                    <w:rPr>
                      <w:rFonts w:hint="eastAsia" w:hAnsi="宋体"/>
                      <w:kern w:val="0"/>
                      <w:szCs w:val="21"/>
                    </w:rPr>
                  </w:pPr>
                  <w:r>
                    <w:rPr>
                      <w:rFonts w:hint="eastAsia" w:hAnsi="宋体"/>
                      <w:kern w:val="0"/>
                      <w:szCs w:val="21"/>
                    </w:rPr>
                    <w:t>符合</w:t>
                  </w:r>
                </w:p>
              </w:tc>
            </w:tr>
            <w:tr w14:paraId="02FB9C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658C9070">
                  <w:pPr>
                    <w:wordWrap w:val="0"/>
                    <w:jc w:val="center"/>
                    <w:rPr>
                      <w:rFonts w:hint="eastAsia" w:hAnsi="宋体"/>
                      <w:kern w:val="0"/>
                      <w:szCs w:val="21"/>
                    </w:rPr>
                  </w:pPr>
                </w:p>
              </w:tc>
              <w:tc>
                <w:tcPr>
                  <w:tcW w:w="2827" w:type="dxa"/>
                  <w:vAlign w:val="center"/>
                </w:tcPr>
                <w:p w14:paraId="5C8DF6DF">
                  <w:pPr>
                    <w:wordWrap w:val="0"/>
                    <w:jc w:val="center"/>
                    <w:rPr>
                      <w:rFonts w:hint="eastAsia" w:hAnsi="宋体"/>
                      <w:kern w:val="0"/>
                      <w:szCs w:val="21"/>
                    </w:rPr>
                  </w:pPr>
                  <w:r>
                    <w:rPr>
                      <w:rFonts w:hint="eastAsia" w:hAnsi="宋体"/>
                      <w:kern w:val="0"/>
                      <w:szCs w:val="21"/>
                    </w:rPr>
                    <w:t>满足供水、供电、污水排放、通信等方面的要求。</w:t>
                  </w:r>
                </w:p>
              </w:tc>
              <w:tc>
                <w:tcPr>
                  <w:tcW w:w="3889" w:type="dxa"/>
                  <w:vAlign w:val="center"/>
                </w:tcPr>
                <w:p w14:paraId="4D44AF37">
                  <w:pPr>
                    <w:jc w:val="center"/>
                    <w:rPr>
                      <w:rFonts w:hint="eastAsia" w:hAnsi="宋体"/>
                      <w:kern w:val="0"/>
                      <w:szCs w:val="21"/>
                    </w:rPr>
                  </w:pPr>
                  <w:r>
                    <w:rPr>
                      <w:rFonts w:hint="eastAsia" w:hAnsi="宋体"/>
                      <w:kern w:val="0"/>
                      <w:szCs w:val="21"/>
                    </w:rPr>
                    <w:t>交通较为便利，电力、给水、排水等基础设施完善。</w:t>
                  </w:r>
                </w:p>
              </w:tc>
              <w:tc>
                <w:tcPr>
                  <w:tcW w:w="934" w:type="dxa"/>
                  <w:vAlign w:val="center"/>
                </w:tcPr>
                <w:p w14:paraId="5F02A187">
                  <w:pPr>
                    <w:jc w:val="center"/>
                    <w:rPr>
                      <w:rFonts w:hint="eastAsia" w:hAnsi="宋体"/>
                      <w:kern w:val="0"/>
                      <w:szCs w:val="21"/>
                    </w:rPr>
                  </w:pPr>
                  <w:r>
                    <w:rPr>
                      <w:rFonts w:hint="eastAsia" w:hAnsi="宋体"/>
                      <w:kern w:val="0"/>
                      <w:szCs w:val="21"/>
                    </w:rPr>
                    <w:t>符合</w:t>
                  </w:r>
                </w:p>
              </w:tc>
            </w:tr>
            <w:tr w14:paraId="47945E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dxa"/>
                  <w:vMerge w:val="continue"/>
                  <w:vAlign w:val="center"/>
                </w:tcPr>
                <w:p w14:paraId="099C6B51">
                  <w:pPr>
                    <w:jc w:val="left"/>
                    <w:rPr>
                      <w:rFonts w:hint="eastAsia" w:hAnsi="宋体"/>
                      <w:kern w:val="0"/>
                      <w:szCs w:val="21"/>
                    </w:rPr>
                  </w:pPr>
                </w:p>
              </w:tc>
              <w:tc>
                <w:tcPr>
                  <w:tcW w:w="2827" w:type="dxa"/>
                  <w:vAlign w:val="center"/>
                </w:tcPr>
                <w:p w14:paraId="50CDC88F">
                  <w:pPr>
                    <w:jc w:val="center"/>
                    <w:rPr>
                      <w:rFonts w:hint="eastAsia" w:hAnsi="宋体"/>
                      <w:kern w:val="0"/>
                      <w:szCs w:val="21"/>
                    </w:rPr>
                  </w:pPr>
                  <w:r>
                    <w:rPr>
                      <w:rFonts w:hint="eastAsia" w:hAnsi="宋体"/>
                      <w:kern w:val="0"/>
                      <w:szCs w:val="21"/>
                    </w:rPr>
                    <w:t>不宜设在公共设施集中区域和人流、车流集中的地段。</w:t>
                  </w:r>
                </w:p>
              </w:tc>
              <w:tc>
                <w:tcPr>
                  <w:tcW w:w="3889" w:type="dxa"/>
                  <w:vAlign w:val="center"/>
                </w:tcPr>
                <w:p w14:paraId="01940763">
                  <w:pPr>
                    <w:jc w:val="center"/>
                    <w:rPr>
                      <w:rFonts w:hint="eastAsia" w:hAnsi="宋体"/>
                      <w:kern w:val="0"/>
                      <w:szCs w:val="21"/>
                    </w:rPr>
                  </w:pPr>
                  <w:r>
                    <w:rPr>
                      <w:rFonts w:hint="eastAsia" w:hAnsi="宋体"/>
                      <w:kern w:val="0"/>
                      <w:szCs w:val="21"/>
                    </w:rPr>
                    <w:t>项目所在地周边规划用地为城市公园绿地，不涉及公共设施集中区，距离达职院约1000米，距离技师学院约800米，满足该要求。</w:t>
                  </w:r>
                </w:p>
              </w:tc>
              <w:tc>
                <w:tcPr>
                  <w:tcW w:w="934" w:type="dxa"/>
                  <w:vAlign w:val="center"/>
                </w:tcPr>
                <w:p w14:paraId="26EC054F">
                  <w:pPr>
                    <w:jc w:val="center"/>
                    <w:rPr>
                      <w:rFonts w:hint="eastAsia" w:hAnsi="宋体"/>
                      <w:kern w:val="0"/>
                      <w:szCs w:val="21"/>
                    </w:rPr>
                  </w:pPr>
                  <w:r>
                    <w:rPr>
                      <w:rFonts w:hint="eastAsia" w:hAnsi="宋体"/>
                      <w:kern w:val="0"/>
                      <w:szCs w:val="21"/>
                    </w:rPr>
                    <w:t>符合</w:t>
                  </w:r>
                </w:p>
              </w:tc>
            </w:tr>
          </w:tbl>
          <w:p w14:paraId="22078430">
            <w:pPr>
              <w:widowControl/>
              <w:numPr>
                <w:ilvl w:val="0"/>
                <w:numId w:val="4"/>
              </w:numPr>
              <w:spacing w:before="120" w:beforeLines="50" w:line="360" w:lineRule="auto"/>
              <w:ind w:firstLine="482" w:firstLineChars="200"/>
              <w:jc w:val="left"/>
              <w:rPr>
                <w:b/>
                <w:sz w:val="24"/>
              </w:rPr>
            </w:pPr>
            <w:r>
              <w:rPr>
                <w:b/>
                <w:sz w:val="24"/>
              </w:rPr>
              <w:t>与</w:t>
            </w:r>
            <w:r>
              <w:rPr>
                <w:rFonts w:hint="eastAsia"/>
                <w:b/>
                <w:sz w:val="24"/>
              </w:rPr>
              <w:t>饮用水水源关系符合性分析</w:t>
            </w:r>
          </w:p>
          <w:p w14:paraId="1566DD0A">
            <w:pPr>
              <w:spacing w:line="360" w:lineRule="auto"/>
              <w:ind w:firstLine="480" w:firstLineChars="200"/>
              <w:rPr>
                <w:sz w:val="24"/>
              </w:rPr>
            </w:pPr>
            <w:r>
              <w:rPr>
                <w:sz w:val="24"/>
              </w:rPr>
              <w:t>根据达州市人民政府《关于通川区乡镇集中式饮用水水源地保护区划定调整的批复》（达市府函〔20</w:t>
            </w:r>
            <w:r>
              <w:rPr>
                <w:rFonts w:hint="eastAsia"/>
                <w:sz w:val="24"/>
              </w:rPr>
              <w:t>19</w:t>
            </w:r>
            <w:r>
              <w:rPr>
                <w:sz w:val="24"/>
              </w:rPr>
              <w:t>〕1</w:t>
            </w:r>
            <w:r>
              <w:rPr>
                <w:rFonts w:hint="eastAsia"/>
                <w:sz w:val="24"/>
              </w:rPr>
              <w:t>65</w:t>
            </w:r>
            <w:r>
              <w:rPr>
                <w:sz w:val="24"/>
              </w:rPr>
              <w:t>号</w:t>
            </w:r>
            <w:r>
              <w:rPr>
                <w:rFonts w:hint="eastAsia"/>
                <w:sz w:val="24"/>
              </w:rPr>
              <w:t>）</w:t>
            </w:r>
            <w:r>
              <w:rPr>
                <w:sz w:val="24"/>
              </w:rPr>
              <w:t>可知，本项目位于罗江镇州河山桥社区水源地取水口（E107°</w:t>
            </w:r>
            <w:r>
              <w:rPr>
                <w:rFonts w:hint="eastAsia"/>
                <w:sz w:val="24"/>
              </w:rPr>
              <w:t>31</w:t>
            </w:r>
            <w:r>
              <w:rPr>
                <w:sz w:val="24"/>
              </w:rPr>
              <w:t>′5</w:t>
            </w:r>
            <w:r>
              <w:rPr>
                <w:rFonts w:hint="eastAsia"/>
                <w:sz w:val="24"/>
              </w:rPr>
              <w:t>5</w:t>
            </w:r>
            <w:r>
              <w:rPr>
                <w:sz w:val="24"/>
              </w:rPr>
              <w:t>″、N31°</w:t>
            </w:r>
            <w:r>
              <w:rPr>
                <w:rFonts w:hint="eastAsia"/>
                <w:sz w:val="24"/>
              </w:rPr>
              <w:t>18</w:t>
            </w:r>
            <w:r>
              <w:rPr>
                <w:sz w:val="24"/>
              </w:rPr>
              <w:t>′</w:t>
            </w:r>
            <w:r>
              <w:rPr>
                <w:rFonts w:hint="eastAsia"/>
                <w:sz w:val="24"/>
              </w:rPr>
              <w:t>17</w:t>
            </w:r>
            <w:r>
              <w:rPr>
                <w:sz w:val="24"/>
              </w:rPr>
              <w:t>″</w:t>
            </w:r>
            <w:r>
              <w:rPr>
                <w:rFonts w:hint="eastAsia"/>
                <w:sz w:val="24"/>
              </w:rPr>
              <w:t>）</w:t>
            </w:r>
            <w:r>
              <w:rPr>
                <w:sz w:val="24"/>
              </w:rPr>
              <w:t>下游直线距离约</w:t>
            </w:r>
            <w:r>
              <w:rPr>
                <w:rFonts w:hint="eastAsia"/>
                <w:sz w:val="24"/>
              </w:rPr>
              <w:t>4.5</w:t>
            </w:r>
            <w:r>
              <w:rPr>
                <w:sz w:val="24"/>
              </w:rPr>
              <w:t>km处，不属于</w:t>
            </w:r>
            <w:r>
              <w:rPr>
                <w:rFonts w:hint="eastAsia"/>
                <w:sz w:val="24"/>
                <w:lang w:eastAsia="zh-CN"/>
              </w:rPr>
              <w:t>其一，</w:t>
            </w:r>
            <w:r>
              <w:rPr>
                <w:sz w:val="24"/>
              </w:rPr>
              <w:t>二级</w:t>
            </w:r>
            <w:r>
              <w:rPr>
                <w:rFonts w:hint="eastAsia"/>
                <w:sz w:val="24"/>
              </w:rPr>
              <w:t>、准保护区。本项目施工废水回用不外排；施工人员</w:t>
            </w:r>
            <w:r>
              <w:rPr>
                <w:sz w:val="24"/>
              </w:rPr>
              <w:t>生活污水利用周边公共生活设施</w:t>
            </w:r>
            <w:r>
              <w:rPr>
                <w:rFonts w:hint="eastAsia"/>
                <w:sz w:val="24"/>
              </w:rPr>
              <w:t>处理。</w:t>
            </w:r>
            <w:r>
              <w:rPr>
                <w:sz w:val="24"/>
              </w:rPr>
              <w:t>项目营运期</w:t>
            </w:r>
            <w:r>
              <w:rPr>
                <w:rFonts w:hint="eastAsia"/>
                <w:sz w:val="24"/>
              </w:rPr>
              <w:t>生活废水、垃圾渗滤液一同处理</w:t>
            </w:r>
            <w:r>
              <w:rPr>
                <w:rFonts w:hint="eastAsia"/>
                <w:sz w:val="24"/>
                <w:lang w:eastAsia="zh-CN"/>
              </w:rPr>
              <w:t>达到</w:t>
            </w:r>
            <w:r>
              <w:rPr>
                <w:rFonts w:hint="eastAsia"/>
                <w:sz w:val="24"/>
              </w:rPr>
              <w:t>《污水综合排放标准》（GB8978-1996）中三级排放标准后排入市政污水管网。故本项目不会对饮用水源造成影响，本项目建设与饮用水水源地相容。</w:t>
            </w:r>
          </w:p>
          <w:p w14:paraId="263A7392">
            <w:pPr>
              <w:spacing w:line="360" w:lineRule="auto"/>
              <w:ind w:firstLine="480" w:firstLineChars="200"/>
              <w:rPr>
                <w:sz w:val="24"/>
              </w:rPr>
            </w:pPr>
            <w:r>
              <w:rPr>
                <w:sz w:val="24"/>
              </w:rPr>
              <w:t>项目与集中式饮用水水源保护区关系表见下表。</w:t>
            </w:r>
          </w:p>
          <w:p w14:paraId="2B705E97">
            <w:pPr>
              <w:jc w:val="center"/>
              <w:rPr>
                <w:b/>
                <w:bCs/>
                <w:szCs w:val="21"/>
              </w:rPr>
            </w:pPr>
            <w:r>
              <w:rPr>
                <w:b/>
                <w:bCs/>
                <w:szCs w:val="21"/>
              </w:rPr>
              <w:t>表1-</w:t>
            </w:r>
            <w:r>
              <w:rPr>
                <w:rFonts w:hint="eastAsia"/>
                <w:b/>
                <w:bCs/>
                <w:szCs w:val="21"/>
              </w:rPr>
              <w:t xml:space="preserve">11 </w:t>
            </w:r>
            <w:r>
              <w:rPr>
                <w:b/>
                <w:bCs/>
                <w:szCs w:val="21"/>
              </w:rPr>
              <w:t>本项目与集中式饮用水水源保护区关系表</w:t>
            </w:r>
          </w:p>
          <w:tbl>
            <w:tblPr>
              <w:tblStyle w:val="27"/>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783"/>
              <w:gridCol w:w="1783"/>
              <w:gridCol w:w="1787"/>
              <w:gridCol w:w="1385"/>
              <w:gridCol w:w="1017"/>
            </w:tblGrid>
            <w:tr w14:paraId="01EA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4" w:type="pct"/>
                  <w:tcBorders>
                    <w:top w:val="single" w:color="auto" w:sz="4" w:space="0"/>
                    <w:left w:val="single" w:color="auto" w:sz="4" w:space="0"/>
                    <w:bottom w:val="single" w:color="auto" w:sz="4" w:space="0"/>
                    <w:right w:val="single" w:color="auto" w:sz="4" w:space="0"/>
                  </w:tcBorders>
                  <w:vAlign w:val="center"/>
                </w:tcPr>
                <w:p w14:paraId="10E98353">
                  <w:pPr>
                    <w:pStyle w:val="15"/>
                    <w:spacing w:after="0" w:line="240" w:lineRule="auto"/>
                    <w:ind w:left="0" w:leftChars="0"/>
                    <w:jc w:val="center"/>
                    <w:rPr>
                      <w:b/>
                    </w:rPr>
                  </w:pPr>
                  <w:r>
                    <w:rPr>
                      <w:b/>
                    </w:rPr>
                    <w:t>取水点位置</w:t>
                  </w:r>
                </w:p>
              </w:tc>
              <w:tc>
                <w:tcPr>
                  <w:tcW w:w="1033" w:type="pct"/>
                  <w:tcBorders>
                    <w:top w:val="single" w:color="auto" w:sz="4" w:space="0"/>
                    <w:left w:val="single" w:color="auto" w:sz="4" w:space="0"/>
                    <w:bottom w:val="single" w:color="auto" w:sz="4" w:space="0"/>
                    <w:right w:val="single" w:color="auto" w:sz="4" w:space="0"/>
                  </w:tcBorders>
                  <w:vAlign w:val="center"/>
                </w:tcPr>
                <w:p w14:paraId="695FD108">
                  <w:pPr>
                    <w:pStyle w:val="15"/>
                    <w:spacing w:after="0" w:line="240" w:lineRule="auto"/>
                    <w:ind w:left="0" w:leftChars="0"/>
                    <w:jc w:val="center"/>
                    <w:rPr>
                      <w:b/>
                    </w:rPr>
                  </w:pPr>
                  <w:r>
                    <w:rPr>
                      <w:b/>
                    </w:rPr>
                    <w:t>一级保护区</w:t>
                  </w:r>
                </w:p>
              </w:tc>
              <w:tc>
                <w:tcPr>
                  <w:tcW w:w="1033" w:type="pct"/>
                  <w:tcBorders>
                    <w:top w:val="single" w:color="auto" w:sz="4" w:space="0"/>
                    <w:left w:val="single" w:color="auto" w:sz="4" w:space="0"/>
                    <w:bottom w:val="single" w:color="auto" w:sz="4" w:space="0"/>
                    <w:right w:val="single" w:color="auto" w:sz="4" w:space="0"/>
                  </w:tcBorders>
                  <w:vAlign w:val="center"/>
                </w:tcPr>
                <w:p w14:paraId="1BE2FD7F">
                  <w:pPr>
                    <w:pStyle w:val="15"/>
                    <w:spacing w:after="0" w:line="240" w:lineRule="auto"/>
                    <w:ind w:left="0" w:leftChars="0"/>
                    <w:jc w:val="center"/>
                    <w:rPr>
                      <w:b/>
                    </w:rPr>
                  </w:pPr>
                  <w:r>
                    <w:rPr>
                      <w:b/>
                    </w:rPr>
                    <w:t>二级保护区</w:t>
                  </w:r>
                </w:p>
              </w:tc>
              <w:tc>
                <w:tcPr>
                  <w:tcW w:w="1035" w:type="pct"/>
                  <w:tcBorders>
                    <w:top w:val="single" w:color="auto" w:sz="4" w:space="0"/>
                    <w:left w:val="single" w:color="auto" w:sz="4" w:space="0"/>
                    <w:bottom w:val="single" w:color="auto" w:sz="4" w:space="0"/>
                    <w:right w:val="single" w:color="auto" w:sz="4" w:space="0"/>
                  </w:tcBorders>
                  <w:vAlign w:val="center"/>
                </w:tcPr>
                <w:p w14:paraId="6E239F97">
                  <w:pPr>
                    <w:pStyle w:val="15"/>
                    <w:spacing w:after="0" w:line="240" w:lineRule="auto"/>
                    <w:ind w:left="0" w:leftChars="0"/>
                    <w:jc w:val="center"/>
                    <w:rPr>
                      <w:b/>
                    </w:rPr>
                  </w:pPr>
                  <w:r>
                    <w:rPr>
                      <w:rFonts w:hint="eastAsia"/>
                      <w:b/>
                    </w:rPr>
                    <w:t>准保护区</w:t>
                  </w:r>
                </w:p>
              </w:tc>
              <w:tc>
                <w:tcPr>
                  <w:tcW w:w="802" w:type="pct"/>
                  <w:tcBorders>
                    <w:top w:val="single" w:color="auto" w:sz="4" w:space="0"/>
                    <w:left w:val="single" w:color="auto" w:sz="4" w:space="0"/>
                    <w:bottom w:val="single" w:color="auto" w:sz="4" w:space="0"/>
                    <w:right w:val="single" w:color="auto" w:sz="4" w:space="0"/>
                  </w:tcBorders>
                  <w:vAlign w:val="center"/>
                </w:tcPr>
                <w:p w14:paraId="67AE555F">
                  <w:pPr>
                    <w:pStyle w:val="15"/>
                    <w:spacing w:after="0" w:line="240" w:lineRule="auto"/>
                    <w:ind w:left="0" w:leftChars="0"/>
                    <w:jc w:val="center"/>
                    <w:rPr>
                      <w:b/>
                    </w:rPr>
                  </w:pPr>
                  <w:r>
                    <w:rPr>
                      <w:b/>
                    </w:rPr>
                    <w:t>项目排污口与取水点位置关系</w:t>
                  </w:r>
                </w:p>
              </w:tc>
              <w:tc>
                <w:tcPr>
                  <w:tcW w:w="589" w:type="pct"/>
                  <w:tcBorders>
                    <w:top w:val="single" w:color="auto" w:sz="4" w:space="0"/>
                    <w:left w:val="single" w:color="auto" w:sz="4" w:space="0"/>
                    <w:bottom w:val="single" w:color="auto" w:sz="4" w:space="0"/>
                    <w:right w:val="single" w:color="auto" w:sz="4" w:space="0"/>
                  </w:tcBorders>
                  <w:vAlign w:val="center"/>
                </w:tcPr>
                <w:p w14:paraId="260DFE8C">
                  <w:pPr>
                    <w:pStyle w:val="15"/>
                    <w:spacing w:after="0" w:line="240" w:lineRule="auto"/>
                    <w:ind w:left="0" w:leftChars="0"/>
                    <w:jc w:val="center"/>
                    <w:rPr>
                      <w:b/>
                    </w:rPr>
                  </w:pPr>
                  <w:r>
                    <w:rPr>
                      <w:b/>
                    </w:rPr>
                    <w:t>是否涉及饮用水源保护区</w:t>
                  </w:r>
                </w:p>
              </w:tc>
            </w:tr>
            <w:tr w14:paraId="1F89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4" w:type="pct"/>
                  <w:tcBorders>
                    <w:top w:val="single" w:color="auto" w:sz="4" w:space="0"/>
                    <w:left w:val="single" w:color="auto" w:sz="4" w:space="0"/>
                    <w:bottom w:val="single" w:color="auto" w:sz="4" w:space="0"/>
                    <w:right w:val="single" w:color="auto" w:sz="4" w:space="0"/>
                  </w:tcBorders>
                  <w:vAlign w:val="center"/>
                </w:tcPr>
                <w:p w14:paraId="2EF6EA0B">
                  <w:pPr>
                    <w:pStyle w:val="15"/>
                    <w:spacing w:after="0" w:line="240" w:lineRule="auto"/>
                    <w:ind w:left="0" w:leftChars="0"/>
                    <w:jc w:val="center"/>
                    <w:rPr>
                      <w:bCs/>
                    </w:rPr>
                  </w:pPr>
                  <w:r>
                    <w:rPr>
                      <w:szCs w:val="21"/>
                    </w:rPr>
                    <w:t>罗江镇州河山桥社区水源地取水口</w:t>
                  </w:r>
                </w:p>
              </w:tc>
              <w:tc>
                <w:tcPr>
                  <w:tcW w:w="1033" w:type="pct"/>
                  <w:tcBorders>
                    <w:top w:val="single" w:color="auto" w:sz="4" w:space="0"/>
                    <w:left w:val="single" w:color="auto" w:sz="4" w:space="0"/>
                    <w:bottom w:val="single" w:color="auto" w:sz="4" w:space="0"/>
                    <w:right w:val="single" w:color="auto" w:sz="4" w:space="0"/>
                  </w:tcBorders>
                  <w:vAlign w:val="center"/>
                </w:tcPr>
                <w:p w14:paraId="517D73D3">
                  <w:pPr>
                    <w:pStyle w:val="15"/>
                    <w:spacing w:after="0" w:line="240" w:lineRule="auto"/>
                    <w:ind w:left="0" w:leftChars="0"/>
                    <w:rPr>
                      <w:bCs/>
                    </w:rPr>
                  </w:pPr>
                  <w:r>
                    <w:rPr>
                      <w:bCs/>
                    </w:rPr>
                    <w:t>以州河为水源</w:t>
                  </w:r>
                  <w:r>
                    <w:rPr>
                      <w:rFonts w:hint="eastAsia"/>
                      <w:bCs/>
                    </w:rPr>
                    <w:t>，</w:t>
                  </w:r>
                  <w:r>
                    <w:rPr>
                      <w:bCs/>
                    </w:rPr>
                    <w:t>从取水口</w:t>
                  </w:r>
                  <w:r>
                    <w:rPr>
                      <w:rFonts w:hint="eastAsia"/>
                      <w:bCs/>
                    </w:rPr>
                    <w:t>（</w:t>
                  </w:r>
                  <w:r>
                    <w:rPr>
                      <w:bCs/>
                    </w:rPr>
                    <w:t>灌子滩上口</w:t>
                  </w:r>
                  <w:r>
                    <w:rPr>
                      <w:rFonts w:hint="eastAsia"/>
                      <w:bCs/>
                    </w:rPr>
                    <w:t>）</w:t>
                  </w:r>
                  <w:r>
                    <w:rPr>
                      <w:bCs/>
                    </w:rPr>
                    <w:t>上溯1000米</w:t>
                  </w:r>
                  <w:r>
                    <w:rPr>
                      <w:rFonts w:hint="eastAsia"/>
                      <w:bCs/>
                    </w:rPr>
                    <w:t>（</w:t>
                  </w:r>
                  <w:r>
                    <w:rPr>
                      <w:bCs/>
                    </w:rPr>
                    <w:t>敖烈子</w:t>
                  </w:r>
                  <w:r>
                    <w:rPr>
                      <w:rFonts w:hint="eastAsia"/>
                      <w:bCs/>
                    </w:rPr>
                    <w:t>）</w:t>
                  </w:r>
                  <w:r>
                    <w:rPr>
                      <w:bCs/>
                    </w:rPr>
                    <w:t>至下游100米（灌子滩下口</w:t>
                  </w:r>
                  <w:r>
                    <w:rPr>
                      <w:rFonts w:hint="eastAsia"/>
                      <w:bCs/>
                    </w:rPr>
                    <w:t>）</w:t>
                  </w:r>
                  <w:r>
                    <w:rPr>
                      <w:bCs/>
                    </w:rPr>
                    <w:t>的水域及其河岸两侧纵深各200米的陆域。</w:t>
                  </w:r>
                </w:p>
              </w:tc>
              <w:tc>
                <w:tcPr>
                  <w:tcW w:w="1033" w:type="pct"/>
                  <w:tcBorders>
                    <w:top w:val="single" w:color="auto" w:sz="4" w:space="0"/>
                    <w:left w:val="single" w:color="auto" w:sz="4" w:space="0"/>
                    <w:bottom w:val="single" w:color="auto" w:sz="4" w:space="0"/>
                    <w:right w:val="single" w:color="auto" w:sz="4" w:space="0"/>
                  </w:tcBorders>
                  <w:vAlign w:val="center"/>
                </w:tcPr>
                <w:p w14:paraId="54D14F9A">
                  <w:pPr>
                    <w:pStyle w:val="15"/>
                    <w:spacing w:after="0" w:line="240" w:lineRule="auto"/>
                    <w:ind w:left="0" w:leftChars="0"/>
                  </w:pPr>
                  <w:r>
                    <w:rPr>
                      <w:rFonts w:hint="eastAsia"/>
                    </w:rPr>
                    <w:t>以州河为水源，从取水口（灌子滩上口）上溯1000米（敖烈子）至下游100米（灌子滩下口）的水域及其河岸两侧纵深各200米的陆域。</w:t>
                  </w:r>
                </w:p>
              </w:tc>
              <w:tc>
                <w:tcPr>
                  <w:tcW w:w="1035" w:type="pct"/>
                  <w:tcBorders>
                    <w:top w:val="single" w:color="auto" w:sz="4" w:space="0"/>
                    <w:left w:val="single" w:color="auto" w:sz="4" w:space="0"/>
                    <w:bottom w:val="single" w:color="auto" w:sz="4" w:space="0"/>
                    <w:right w:val="single" w:color="auto" w:sz="4" w:space="0"/>
                  </w:tcBorders>
                  <w:vAlign w:val="center"/>
                </w:tcPr>
                <w:p w14:paraId="7CE79AA3">
                  <w:pPr>
                    <w:pStyle w:val="15"/>
                    <w:spacing w:after="0" w:line="240" w:lineRule="auto"/>
                    <w:ind w:left="0" w:leftChars="0"/>
                  </w:pPr>
                  <w:r>
                    <w:rPr>
                      <w:rFonts w:hint="eastAsia"/>
                    </w:rPr>
                    <w:t>从二级保护区上界牛滩弯（罗江电站）起，上溯5000米（水滩河）的水域及其河岸两侧纵深各200米的陆域。</w:t>
                  </w:r>
                </w:p>
              </w:tc>
              <w:tc>
                <w:tcPr>
                  <w:tcW w:w="802" w:type="pct"/>
                  <w:tcBorders>
                    <w:top w:val="single" w:color="auto" w:sz="4" w:space="0"/>
                    <w:left w:val="single" w:color="auto" w:sz="4" w:space="0"/>
                    <w:bottom w:val="single" w:color="auto" w:sz="4" w:space="0"/>
                    <w:right w:val="single" w:color="auto" w:sz="4" w:space="0"/>
                  </w:tcBorders>
                  <w:vAlign w:val="center"/>
                </w:tcPr>
                <w:p w14:paraId="5C245B4B">
                  <w:pPr>
                    <w:pStyle w:val="15"/>
                    <w:wordWrap w:val="0"/>
                    <w:spacing w:after="0" w:line="240" w:lineRule="auto"/>
                    <w:ind w:left="0" w:leftChars="0"/>
                    <w:jc w:val="left"/>
                    <w:rPr>
                      <w:bCs/>
                    </w:rPr>
                  </w:pPr>
                  <w:r>
                    <w:rPr>
                      <w:rFonts w:hint="eastAsia"/>
                      <w:bCs/>
                    </w:rPr>
                    <w:t>下游直线距离约4.5</w:t>
                  </w:r>
                  <w:r>
                    <w:rPr>
                      <w:bCs/>
                    </w:rPr>
                    <w:t>km</w:t>
                  </w:r>
                  <w:r>
                    <w:rPr>
                      <w:rFonts w:hint="eastAsia"/>
                      <w:bCs/>
                    </w:rPr>
                    <w:t>。</w:t>
                  </w:r>
                </w:p>
              </w:tc>
              <w:tc>
                <w:tcPr>
                  <w:tcW w:w="589" w:type="pct"/>
                  <w:tcBorders>
                    <w:top w:val="single" w:color="auto" w:sz="4" w:space="0"/>
                    <w:left w:val="single" w:color="auto" w:sz="4" w:space="0"/>
                    <w:bottom w:val="single" w:color="auto" w:sz="4" w:space="0"/>
                    <w:right w:val="single" w:color="auto" w:sz="4" w:space="0"/>
                  </w:tcBorders>
                  <w:vAlign w:val="center"/>
                </w:tcPr>
                <w:p w14:paraId="79CF44A7">
                  <w:pPr>
                    <w:pStyle w:val="15"/>
                    <w:spacing w:after="0" w:line="240" w:lineRule="auto"/>
                    <w:ind w:left="0" w:leftChars="0"/>
                    <w:jc w:val="center"/>
                    <w:rPr>
                      <w:bCs/>
                    </w:rPr>
                  </w:pPr>
                  <w:r>
                    <w:rPr>
                      <w:bCs/>
                    </w:rPr>
                    <w:t>否</w:t>
                  </w:r>
                </w:p>
              </w:tc>
            </w:tr>
          </w:tbl>
          <w:p w14:paraId="013A75B1">
            <w:pPr>
              <w:widowControl/>
              <w:jc w:val="left"/>
              <w:rPr>
                <w:rFonts w:hint="eastAsia" w:ascii="宋体" w:hAnsi="宋体" w:cs="宋体"/>
                <w:kern w:val="0"/>
                <w:sz w:val="24"/>
                <w:lang w:bidi="ar"/>
              </w:rPr>
            </w:pPr>
          </w:p>
          <w:p w14:paraId="3AC1BC80">
            <w:pPr>
              <w:widowControl/>
              <w:spacing w:line="360" w:lineRule="auto"/>
              <w:jc w:val="center"/>
            </w:pPr>
            <w:r>
              <mc:AlternateContent>
                <mc:Choice Requires="wps">
                  <w:drawing>
                    <wp:anchor distT="0" distB="0" distL="114300" distR="114300" simplePos="0" relativeHeight="251664384" behindDoc="0" locked="0" layoutInCell="1" allowOverlap="1">
                      <wp:simplePos x="0" y="0"/>
                      <wp:positionH relativeFrom="column">
                        <wp:posOffset>2697480</wp:posOffset>
                      </wp:positionH>
                      <wp:positionV relativeFrom="paragraph">
                        <wp:posOffset>1729105</wp:posOffset>
                      </wp:positionV>
                      <wp:extent cx="619125" cy="266065"/>
                      <wp:effectExtent l="4445" t="4445" r="5080" b="15240"/>
                      <wp:wrapNone/>
                      <wp:docPr id="4" name="文本框 4"/>
                      <wp:cNvGraphicFramePr/>
                      <a:graphic xmlns:a="http://schemas.openxmlformats.org/drawingml/2006/main">
                        <a:graphicData uri="http://schemas.microsoft.com/office/word/2010/wordprocessingShape">
                          <wps:wsp>
                            <wps:cNvSpPr txBox="1"/>
                            <wps:spPr>
                              <a:xfrm>
                                <a:off x="0" y="0"/>
                                <a:ext cx="619125" cy="266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170199">
                                  <w:pPr>
                                    <w:rPr>
                                      <w:color w:val="FF0000"/>
                                    </w:rPr>
                                  </w:pPr>
                                  <w:r>
                                    <w:rPr>
                                      <w:rFonts w:hint="eastAsia"/>
                                      <w:color w:val="FF0000"/>
                                    </w:rPr>
                                    <w:t>4.5Km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pt;margin-top:136.15pt;height:20.95pt;width:48.75pt;z-index:251664384;mso-width-relative:page;mso-height-relative:page;" fillcolor="#FFFFFF [3201]" filled="t" stroked="t" coordsize="21600,21600" o:gfxdata="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wx3VdcAAAAL&#10;AQAADwAAAAAAAAABACAAAAAiAAAAZHJzL2Rvd25yZXYueG1sUEsBAhQAFAAAAAgAh07iQI3WCnBW&#10;AgAAtgQAAA4AAAAAAAAAAQAgAAAAJgEAAGRycy9lMm9Eb2MueG1sUEsFBgAAAAAGAAYAWQEAAO4F&#10;AAAAAA==&#10;">
                      <v:fill on="t" focussize="0,0"/>
                      <v:stroke weight="0.5pt" color="#000000 [3204]" joinstyle="round"/>
                      <v:imagedata o:title=""/>
                      <o:lock v:ext="edit" aspectratio="f"/>
                      <v:textbox>
                        <w:txbxContent>
                          <w:p w14:paraId="2B170199">
                            <w:pPr>
                              <w:rPr>
                                <w:color w:val="FF0000"/>
                              </w:rPr>
                            </w:pPr>
                            <w:r>
                              <w:rPr>
                                <w:rFonts w:hint="eastAsia"/>
                                <w:color w:val="FF0000"/>
                              </w:rPr>
                              <w:t>4.5Km</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2678430</wp:posOffset>
                      </wp:positionH>
                      <wp:positionV relativeFrom="paragraph">
                        <wp:posOffset>35560</wp:posOffset>
                      </wp:positionV>
                      <wp:extent cx="2305050" cy="266065"/>
                      <wp:effectExtent l="4445" t="4445" r="14605" b="15240"/>
                      <wp:wrapNone/>
                      <wp:docPr id="41" name="文本框 41"/>
                      <wp:cNvGraphicFramePr/>
                      <a:graphic xmlns:a="http://schemas.openxmlformats.org/drawingml/2006/main">
                        <a:graphicData uri="http://schemas.microsoft.com/office/word/2010/wordprocessingShape">
                          <wps:wsp>
                            <wps:cNvSpPr txBox="1"/>
                            <wps:spPr>
                              <a:xfrm>
                                <a:off x="0" y="0"/>
                                <a:ext cx="2305050" cy="266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B868D2">
                                  <w:pPr>
                                    <w:rPr>
                                      <w:color w:val="FF0000"/>
                                    </w:rPr>
                                  </w:pPr>
                                  <w:r>
                                    <w:rPr>
                                      <w:rFonts w:hint="eastAsia"/>
                                      <w:color w:val="FF0000"/>
                                    </w:rPr>
                                    <w:t>罗江镇州河山桥社区水源地取水口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9pt;margin-top:2.8pt;height:20.95pt;width:181.5pt;z-index:251663360;mso-width-relative:page;mso-height-relative:page;" fillcolor="#FFFFFF [3201]" filled="t" stroked="t" coordsize="21600,21600" o:gfxdata="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9KYF1QAAAAgB&#10;AAAPAAAAAAAAAAEAIAAAACIAAABkcnMvZG93bnJldi54bWxQSwECFAAUAAAACACHTuJAUR3LX1cC&#10;AAC5BAAADgAAAAAAAAABACAAAAAkAQAAZHJzL2Uyb0RvYy54bWxQSwUGAAAAAAYABgBZAQAA7QUA&#10;AAAA&#10;">
                      <v:fill on="t" focussize="0,0"/>
                      <v:stroke weight="0.5pt" color="#000000 [3204]" joinstyle="round"/>
                      <v:imagedata o:title=""/>
                      <o:lock v:ext="edit" aspectratio="f"/>
                      <v:textbox>
                        <w:txbxContent>
                          <w:p w14:paraId="54B868D2">
                            <w:pPr>
                              <w:rPr>
                                <w:color w:val="FF0000"/>
                              </w:rPr>
                            </w:pPr>
                            <w:r>
                              <w:rPr>
                                <w:rFonts w:hint="eastAsia"/>
                                <w:color w:val="FF0000"/>
                              </w:rPr>
                              <w:t>罗江镇州河山桥社区水源地取水口</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2783205</wp:posOffset>
                      </wp:positionH>
                      <wp:positionV relativeFrom="paragraph">
                        <wp:posOffset>3255010</wp:posOffset>
                      </wp:positionV>
                      <wp:extent cx="619125" cy="266065"/>
                      <wp:effectExtent l="4445" t="4445" r="5080" b="15240"/>
                      <wp:wrapNone/>
                      <wp:docPr id="40" name="文本框 40"/>
                      <wp:cNvGraphicFramePr/>
                      <a:graphic xmlns:a="http://schemas.openxmlformats.org/drawingml/2006/main">
                        <a:graphicData uri="http://schemas.microsoft.com/office/word/2010/wordprocessingShape">
                          <wps:wsp>
                            <wps:cNvSpPr txBox="1"/>
                            <wps:spPr>
                              <a:xfrm>
                                <a:off x="4232910" y="1369695"/>
                                <a:ext cx="619125" cy="266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F7127C">
                                  <w:pPr>
                                    <w:rPr>
                                      <w:color w:val="FF0000"/>
                                    </w:rPr>
                                  </w:pPr>
                                  <w:r>
                                    <w:rPr>
                                      <w:rFonts w:hint="eastAsia"/>
                                      <w:color w:val="FF0000"/>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15pt;margin-top:256.3pt;height:20.95pt;width:48.75pt;z-index:251662336;mso-width-relative:page;mso-height-relative:page;" fillcolor="#FFFFFF [3201]" filled="t" stroked="t" coordsize="21600,21600" o:gfxdata="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b0VoNcAAAALAQAADwAAAAAAAAABACAAAAAiAAAAZHJzL2Rvd25yZXYueG1sUEsBAhQA&#10;FAAAAAgAh07iQAOt4r9lAgAAxAQAAA4AAAAAAAAAAQAgAAAAJgEAAGRycy9lMm9Eb2MueG1sUEsF&#10;BgAAAAAGAAYAWQEAAP0FAAAAAA==&#10;">
                      <v:fill on="t" focussize="0,0"/>
                      <v:stroke weight="0.5pt" color="#000000 [3204]" joinstyle="round"/>
                      <v:imagedata o:title=""/>
                      <o:lock v:ext="edit" aspectratio="f"/>
                      <v:textbox>
                        <w:txbxContent>
                          <w:p w14:paraId="52F7127C">
                            <w:pPr>
                              <w:rPr>
                                <w:color w:val="FF0000"/>
                              </w:rPr>
                            </w:pPr>
                            <w:r>
                              <w:rPr>
                                <w:rFonts w:hint="eastAsia"/>
                                <w:color w:val="FF0000"/>
                              </w:rPr>
                              <w:t>本项目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2602230</wp:posOffset>
                      </wp:positionH>
                      <wp:positionV relativeFrom="paragraph">
                        <wp:posOffset>252730</wp:posOffset>
                      </wp:positionV>
                      <wp:extent cx="76200" cy="3114675"/>
                      <wp:effectExtent l="48260" t="0" r="66040" b="9525"/>
                      <wp:wrapNone/>
                      <wp:docPr id="39" name="直接箭头连接符 39"/>
                      <wp:cNvGraphicFramePr/>
                      <a:graphic xmlns:a="http://schemas.openxmlformats.org/drawingml/2006/main">
                        <a:graphicData uri="http://schemas.microsoft.com/office/word/2010/wordprocessingShape">
                          <wps:wsp>
                            <wps:cNvCnPr/>
                            <wps:spPr>
                              <a:xfrm>
                                <a:off x="3899535" y="1339215"/>
                                <a:ext cx="76200" cy="3114675"/>
                              </a:xfrm>
                              <a:prstGeom prst="straightConnector1">
                                <a:avLst/>
                              </a:prstGeom>
                              <a:ln w="12700">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4.9pt;margin-top:19.9pt;height:245.25pt;width:6pt;z-index:251661312;mso-width-relative:page;mso-height-relative:page;" filled="f" stroked="t" coordsize="21600,21600" o:gfxdata="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3X1fPXAAAACgEAAA8AAAAAAAAA&#10;AQAgAAAAIgAAAGRycy9kb3ducmV2LnhtbFBLAQIUABQAAAAIAIdO4kBSqMbyEgIAAPMDAAAOAAAA&#10;AAAAAAEAIAAAACYBAABkcnMvZTJvRG9jLnhtbFBLBQYAAAAABgAGAFkBAACqBQAAAAA=&#10;">
                      <v:fill on="f" focussize="0,0"/>
                      <v:stroke weight="1pt" color="#FFFF00 [3204]" joinstyle="round" startarrow="open" endarrow="open"/>
                      <v:imagedata o:title=""/>
                      <o:lock v:ext="edit" aspectratio="f"/>
                    </v:shape>
                  </w:pict>
                </mc:Fallback>
              </mc:AlternateContent>
            </w:r>
            <w:r>
              <w:drawing>
                <wp:inline distT="0" distB="0" distL="114300" distR="114300">
                  <wp:extent cx="5482590" cy="3712210"/>
                  <wp:effectExtent l="0" t="0" r="3810" b="254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1"/>
                          <a:stretch>
                            <a:fillRect/>
                          </a:stretch>
                        </pic:blipFill>
                        <pic:spPr>
                          <a:xfrm>
                            <a:off x="0" y="0"/>
                            <a:ext cx="5482590" cy="3712210"/>
                          </a:xfrm>
                          <a:prstGeom prst="rect">
                            <a:avLst/>
                          </a:prstGeom>
                          <a:noFill/>
                          <a:ln>
                            <a:noFill/>
                          </a:ln>
                        </pic:spPr>
                      </pic:pic>
                    </a:graphicData>
                  </a:graphic>
                </wp:inline>
              </w:drawing>
            </w:r>
          </w:p>
          <w:p w14:paraId="356952FE">
            <w:pPr>
              <w:widowControl/>
              <w:spacing w:line="360" w:lineRule="auto"/>
              <w:jc w:val="center"/>
              <w:rPr>
                <w:rFonts w:eastAsia="黑体" w:cs="黑体"/>
                <w:szCs w:val="21"/>
              </w:rPr>
            </w:pPr>
            <w:r>
              <w:rPr>
                <w:rFonts w:eastAsia="黑体" w:cs="黑体"/>
                <w:szCs w:val="21"/>
              </w:rPr>
              <w:t>图1-</w:t>
            </w:r>
            <w:r>
              <w:rPr>
                <w:rFonts w:hint="eastAsia" w:eastAsia="黑体" w:cs="黑体"/>
                <w:szCs w:val="21"/>
              </w:rPr>
              <w:t>4</w:t>
            </w:r>
            <w:r>
              <w:rPr>
                <w:rFonts w:eastAsia="黑体" w:cs="黑体"/>
                <w:szCs w:val="21"/>
              </w:rPr>
              <w:t xml:space="preserve">  项目与周边饮用水源位置关系图</w:t>
            </w:r>
          </w:p>
          <w:p w14:paraId="24A1AD12">
            <w:pPr>
              <w:widowControl/>
              <w:spacing w:line="360" w:lineRule="auto"/>
              <w:ind w:firstLine="482" w:firstLineChars="200"/>
              <w:jc w:val="left"/>
              <w:rPr>
                <w:b/>
                <w:bCs/>
                <w:sz w:val="24"/>
              </w:rPr>
            </w:pPr>
            <w:r>
              <w:rPr>
                <w:rFonts w:hint="eastAsia"/>
                <w:b/>
                <w:bCs/>
                <w:sz w:val="24"/>
              </w:rPr>
              <w:t>8、选址合理性及外环境相容性分析</w:t>
            </w:r>
          </w:p>
          <w:p w14:paraId="69795A5D">
            <w:pPr>
              <w:pStyle w:val="22"/>
              <w:spacing w:line="360" w:lineRule="auto"/>
              <w:ind w:firstLine="482"/>
              <w:jc w:val="both"/>
              <w:rPr>
                <w:rFonts w:hint="default" w:ascii="Times New Roman" w:eastAsia="宋体"/>
                <w:b/>
                <w:kern w:val="0"/>
                <w:sz w:val="24"/>
                <w:lang w:bidi="ar"/>
              </w:rPr>
            </w:pPr>
            <w:r>
              <w:rPr>
                <w:rFonts w:ascii="Times New Roman" w:eastAsia="宋体"/>
                <w:b/>
                <w:kern w:val="0"/>
                <w:sz w:val="24"/>
                <w:lang w:bidi="ar"/>
              </w:rPr>
              <w:t>（1）外环境关系</w:t>
            </w:r>
          </w:p>
          <w:p w14:paraId="6F8C7EEB">
            <w:pPr>
              <w:pStyle w:val="22"/>
              <w:wordWrap w:val="0"/>
              <w:spacing w:line="360" w:lineRule="auto"/>
              <w:ind w:firstLine="480"/>
              <w:jc w:val="both"/>
              <w:rPr>
                <w:rFonts w:hint="default" w:ascii="Times New Roman" w:eastAsia="宋体"/>
                <w:bCs w:val="0"/>
                <w:sz w:val="24"/>
              </w:rPr>
            </w:pPr>
            <w:r>
              <w:rPr>
                <w:rFonts w:ascii="Times New Roman" w:eastAsia="宋体"/>
                <w:bCs w:val="0"/>
                <w:sz w:val="24"/>
              </w:rPr>
              <w:t>根据现场踏勘可知：</w:t>
            </w:r>
            <w:r>
              <w:rPr>
                <w:rFonts w:hint="default" w:ascii="Times New Roman" w:eastAsia="宋体"/>
                <w:bCs w:val="0"/>
                <w:sz w:val="24"/>
              </w:rPr>
              <w:t>本项目</w:t>
            </w:r>
            <w:r>
              <w:rPr>
                <w:rFonts w:ascii="Times New Roman" w:eastAsia="宋体"/>
                <w:bCs w:val="0"/>
                <w:sz w:val="24"/>
              </w:rPr>
              <w:t>位于西南职教园区内，四周相邻均为空地。西</w:t>
            </w:r>
            <w:r>
              <w:rPr>
                <w:rFonts w:hint="default" w:ascii="Times New Roman" w:eastAsia="宋体"/>
                <w:bCs w:val="0"/>
                <w:sz w:val="24"/>
              </w:rPr>
              <w:t>侧约</w:t>
            </w:r>
            <w:r>
              <w:rPr>
                <w:rFonts w:ascii="Times New Roman" w:eastAsia="宋体"/>
                <w:bCs w:val="0"/>
                <w:sz w:val="24"/>
              </w:rPr>
              <w:t>95</w:t>
            </w:r>
            <w:r>
              <w:rPr>
                <w:rFonts w:hint="default" w:ascii="Times New Roman" w:eastAsia="宋体"/>
                <w:bCs w:val="0"/>
                <w:sz w:val="24"/>
              </w:rPr>
              <w:t>m为</w:t>
            </w:r>
            <w:r>
              <w:rPr>
                <w:rFonts w:ascii="Times New Roman" w:eastAsia="宋体"/>
                <w:bCs w:val="0"/>
                <w:sz w:val="24"/>
              </w:rPr>
              <w:t>犀牛大道，东侧约117m为崇德路，西侧约550m为州河。</w:t>
            </w:r>
          </w:p>
          <w:p w14:paraId="7BEDF51A">
            <w:pPr>
              <w:widowControl/>
              <w:spacing w:line="360" w:lineRule="auto"/>
              <w:ind w:firstLine="480" w:firstLineChars="200"/>
              <w:jc w:val="left"/>
              <w:rPr>
                <w:kern w:val="0"/>
                <w:sz w:val="24"/>
                <w:lang w:bidi="ar"/>
              </w:rPr>
            </w:pPr>
            <w:r>
              <w:rPr>
                <w:rFonts w:hint="eastAsia"/>
                <w:kern w:val="0"/>
                <w:sz w:val="24"/>
                <w:lang w:bidi="ar"/>
              </w:rPr>
              <w:t>本项目外环境情况见下表，外环境关系图见附图。</w:t>
            </w:r>
          </w:p>
          <w:p w14:paraId="72E0F0D6">
            <w:pPr>
              <w:jc w:val="center"/>
              <w:rPr>
                <w:b/>
                <w:bCs/>
                <w:szCs w:val="21"/>
              </w:rPr>
            </w:pPr>
            <w:r>
              <w:rPr>
                <w:b/>
                <w:bCs/>
                <w:szCs w:val="21"/>
              </w:rPr>
              <w:t>表</w:t>
            </w:r>
            <w:r>
              <w:rPr>
                <w:rFonts w:hint="eastAsia"/>
                <w:b/>
                <w:bCs/>
                <w:szCs w:val="21"/>
              </w:rPr>
              <w:t>1-12</w:t>
            </w:r>
            <w:r>
              <w:rPr>
                <w:b/>
                <w:bCs/>
                <w:szCs w:val="21"/>
              </w:rPr>
              <w:t xml:space="preserve">  </w:t>
            </w:r>
            <w:r>
              <w:rPr>
                <w:rFonts w:hint="eastAsia"/>
                <w:b/>
                <w:bCs/>
                <w:szCs w:val="21"/>
              </w:rPr>
              <w:t>项目外环境关系一览表</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14"/>
              <w:gridCol w:w="3434"/>
              <w:gridCol w:w="1136"/>
              <w:gridCol w:w="1098"/>
              <w:gridCol w:w="2235"/>
            </w:tblGrid>
            <w:tr w14:paraId="4A087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14" w:type="pct"/>
                  <w:tcBorders>
                    <w:tl2br w:val="nil"/>
                    <w:tr2bl w:val="nil"/>
                  </w:tcBorders>
                  <w:vAlign w:val="center"/>
                </w:tcPr>
                <w:p w14:paraId="3A842E77">
                  <w:pPr>
                    <w:jc w:val="center"/>
                    <w:rPr>
                      <w:b/>
                      <w:bCs/>
                      <w:szCs w:val="21"/>
                    </w:rPr>
                  </w:pPr>
                  <w:r>
                    <w:rPr>
                      <w:b/>
                      <w:bCs/>
                      <w:szCs w:val="21"/>
                    </w:rPr>
                    <w:t>序号</w:t>
                  </w:r>
                </w:p>
              </w:tc>
              <w:tc>
                <w:tcPr>
                  <w:tcW w:w="1992" w:type="pct"/>
                  <w:tcBorders>
                    <w:tl2br w:val="nil"/>
                    <w:tr2bl w:val="nil"/>
                  </w:tcBorders>
                  <w:vAlign w:val="center"/>
                </w:tcPr>
                <w:p w14:paraId="7BF75448">
                  <w:pPr>
                    <w:jc w:val="center"/>
                    <w:rPr>
                      <w:b/>
                      <w:bCs/>
                      <w:szCs w:val="21"/>
                    </w:rPr>
                  </w:pPr>
                  <w:r>
                    <w:rPr>
                      <w:b/>
                      <w:bCs/>
                      <w:szCs w:val="21"/>
                    </w:rPr>
                    <w:t>名称</w:t>
                  </w:r>
                </w:p>
              </w:tc>
              <w:tc>
                <w:tcPr>
                  <w:tcW w:w="659" w:type="pct"/>
                  <w:tcBorders>
                    <w:tl2br w:val="nil"/>
                    <w:tr2bl w:val="nil"/>
                  </w:tcBorders>
                  <w:vAlign w:val="center"/>
                </w:tcPr>
                <w:p w14:paraId="5A69522E">
                  <w:pPr>
                    <w:jc w:val="center"/>
                    <w:rPr>
                      <w:b/>
                      <w:bCs/>
                      <w:szCs w:val="21"/>
                    </w:rPr>
                  </w:pPr>
                  <w:r>
                    <w:rPr>
                      <w:b/>
                      <w:bCs/>
                      <w:szCs w:val="21"/>
                    </w:rPr>
                    <w:t>方位</w:t>
                  </w:r>
                </w:p>
              </w:tc>
              <w:tc>
                <w:tcPr>
                  <w:tcW w:w="637" w:type="pct"/>
                  <w:tcBorders>
                    <w:tl2br w:val="nil"/>
                    <w:tr2bl w:val="nil"/>
                  </w:tcBorders>
                  <w:vAlign w:val="center"/>
                </w:tcPr>
                <w:p w14:paraId="15828AA7">
                  <w:pPr>
                    <w:jc w:val="center"/>
                    <w:rPr>
                      <w:b/>
                      <w:bCs/>
                      <w:szCs w:val="21"/>
                    </w:rPr>
                  </w:pPr>
                  <w:r>
                    <w:rPr>
                      <w:b/>
                      <w:bCs/>
                      <w:szCs w:val="21"/>
                    </w:rPr>
                    <w:t>距离</w:t>
                  </w:r>
                </w:p>
              </w:tc>
              <w:tc>
                <w:tcPr>
                  <w:tcW w:w="1296" w:type="pct"/>
                  <w:tcBorders>
                    <w:tl2br w:val="nil"/>
                    <w:tr2bl w:val="nil"/>
                  </w:tcBorders>
                  <w:vAlign w:val="center"/>
                </w:tcPr>
                <w:p w14:paraId="4C0DD746">
                  <w:pPr>
                    <w:jc w:val="center"/>
                    <w:rPr>
                      <w:b/>
                      <w:bCs/>
                      <w:szCs w:val="21"/>
                    </w:rPr>
                  </w:pPr>
                  <w:r>
                    <w:rPr>
                      <w:b/>
                      <w:bCs/>
                      <w:szCs w:val="21"/>
                    </w:rPr>
                    <w:t>类型</w:t>
                  </w:r>
                </w:p>
              </w:tc>
            </w:tr>
            <w:tr w14:paraId="2B149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 w:type="pct"/>
                  <w:tcBorders>
                    <w:tl2br w:val="nil"/>
                    <w:tr2bl w:val="nil"/>
                  </w:tcBorders>
                  <w:vAlign w:val="center"/>
                </w:tcPr>
                <w:p w14:paraId="40F7D408">
                  <w:pPr>
                    <w:widowControl/>
                    <w:jc w:val="center"/>
                    <w:rPr>
                      <w:szCs w:val="21"/>
                    </w:rPr>
                  </w:pPr>
                  <w:r>
                    <w:rPr>
                      <w:szCs w:val="21"/>
                    </w:rPr>
                    <w:t>1</w:t>
                  </w:r>
                </w:p>
              </w:tc>
              <w:tc>
                <w:tcPr>
                  <w:tcW w:w="1992" w:type="pct"/>
                  <w:tcBorders>
                    <w:tl2br w:val="nil"/>
                    <w:tr2bl w:val="nil"/>
                  </w:tcBorders>
                  <w:vAlign w:val="center"/>
                </w:tcPr>
                <w:p w14:paraId="7E8E1324">
                  <w:pPr>
                    <w:widowControl/>
                    <w:jc w:val="center"/>
                    <w:rPr>
                      <w:szCs w:val="21"/>
                    </w:rPr>
                  </w:pPr>
                  <w:r>
                    <w:rPr>
                      <w:kern w:val="0"/>
                      <w:szCs w:val="21"/>
                      <w:lang w:bidi="ar"/>
                    </w:rPr>
                    <w:t>犀牛大道</w:t>
                  </w:r>
                </w:p>
              </w:tc>
              <w:tc>
                <w:tcPr>
                  <w:tcW w:w="659" w:type="pct"/>
                  <w:tcBorders>
                    <w:tl2br w:val="nil"/>
                    <w:tr2bl w:val="nil"/>
                  </w:tcBorders>
                  <w:vAlign w:val="center"/>
                </w:tcPr>
                <w:p w14:paraId="2B813CEC">
                  <w:pPr>
                    <w:widowControl/>
                    <w:jc w:val="center"/>
                    <w:rPr>
                      <w:szCs w:val="21"/>
                    </w:rPr>
                  </w:pPr>
                  <w:r>
                    <w:rPr>
                      <w:szCs w:val="21"/>
                    </w:rPr>
                    <w:t>西侧</w:t>
                  </w:r>
                </w:p>
              </w:tc>
              <w:tc>
                <w:tcPr>
                  <w:tcW w:w="637" w:type="pct"/>
                  <w:tcBorders>
                    <w:tl2br w:val="nil"/>
                    <w:tr2bl w:val="nil"/>
                  </w:tcBorders>
                  <w:vAlign w:val="center"/>
                </w:tcPr>
                <w:p w14:paraId="180AF27E">
                  <w:pPr>
                    <w:widowControl/>
                    <w:jc w:val="center"/>
                    <w:rPr>
                      <w:szCs w:val="21"/>
                    </w:rPr>
                  </w:pPr>
                  <w:r>
                    <w:rPr>
                      <w:rFonts w:hint="eastAsia"/>
                      <w:szCs w:val="21"/>
                    </w:rPr>
                    <w:t>95m</w:t>
                  </w:r>
                </w:p>
              </w:tc>
              <w:tc>
                <w:tcPr>
                  <w:tcW w:w="1296" w:type="pct"/>
                  <w:tcBorders>
                    <w:tl2br w:val="nil"/>
                    <w:tr2bl w:val="nil"/>
                  </w:tcBorders>
                  <w:vAlign w:val="center"/>
                </w:tcPr>
                <w:p w14:paraId="77058D8F">
                  <w:pPr>
                    <w:widowControl/>
                    <w:jc w:val="center"/>
                    <w:rPr>
                      <w:szCs w:val="21"/>
                    </w:rPr>
                  </w:pPr>
                  <w:r>
                    <w:rPr>
                      <w:spacing w:val="8"/>
                      <w:szCs w:val="21"/>
                    </w:rPr>
                    <w:t>城市主干道</w:t>
                  </w:r>
                </w:p>
              </w:tc>
            </w:tr>
            <w:tr w14:paraId="78C0A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 w:type="pct"/>
                  <w:tcBorders>
                    <w:tl2br w:val="nil"/>
                    <w:tr2bl w:val="nil"/>
                  </w:tcBorders>
                  <w:vAlign w:val="center"/>
                </w:tcPr>
                <w:p w14:paraId="4F60B751">
                  <w:pPr>
                    <w:widowControl/>
                    <w:jc w:val="center"/>
                    <w:rPr>
                      <w:szCs w:val="21"/>
                    </w:rPr>
                  </w:pPr>
                  <w:r>
                    <w:rPr>
                      <w:szCs w:val="21"/>
                    </w:rPr>
                    <w:t>2</w:t>
                  </w:r>
                </w:p>
              </w:tc>
              <w:tc>
                <w:tcPr>
                  <w:tcW w:w="1992" w:type="pct"/>
                  <w:tcBorders>
                    <w:tl2br w:val="nil"/>
                    <w:tr2bl w:val="nil"/>
                  </w:tcBorders>
                  <w:vAlign w:val="center"/>
                </w:tcPr>
                <w:p w14:paraId="4C656E73">
                  <w:pPr>
                    <w:widowControl/>
                    <w:jc w:val="center"/>
                    <w:rPr>
                      <w:szCs w:val="21"/>
                    </w:rPr>
                  </w:pPr>
                  <w:r>
                    <w:rPr>
                      <w:rFonts w:hint="eastAsia"/>
                      <w:szCs w:val="21"/>
                    </w:rPr>
                    <w:t>崇德路</w:t>
                  </w:r>
                </w:p>
              </w:tc>
              <w:tc>
                <w:tcPr>
                  <w:tcW w:w="659" w:type="pct"/>
                  <w:tcBorders>
                    <w:tl2br w:val="nil"/>
                    <w:tr2bl w:val="nil"/>
                  </w:tcBorders>
                  <w:vAlign w:val="center"/>
                </w:tcPr>
                <w:p w14:paraId="6A4B0B50">
                  <w:pPr>
                    <w:widowControl/>
                    <w:jc w:val="center"/>
                    <w:rPr>
                      <w:szCs w:val="21"/>
                    </w:rPr>
                  </w:pPr>
                  <w:r>
                    <w:rPr>
                      <w:rFonts w:hint="eastAsia"/>
                      <w:szCs w:val="21"/>
                    </w:rPr>
                    <w:t>东侧</w:t>
                  </w:r>
                </w:p>
              </w:tc>
              <w:tc>
                <w:tcPr>
                  <w:tcW w:w="637" w:type="pct"/>
                  <w:tcBorders>
                    <w:tl2br w:val="nil"/>
                    <w:tr2bl w:val="nil"/>
                  </w:tcBorders>
                  <w:vAlign w:val="center"/>
                </w:tcPr>
                <w:p w14:paraId="5BFDFE96">
                  <w:pPr>
                    <w:widowControl/>
                    <w:jc w:val="center"/>
                    <w:rPr>
                      <w:szCs w:val="21"/>
                    </w:rPr>
                  </w:pPr>
                  <w:r>
                    <w:rPr>
                      <w:rFonts w:hint="eastAsia"/>
                      <w:szCs w:val="21"/>
                    </w:rPr>
                    <w:t>117m</w:t>
                  </w:r>
                </w:p>
              </w:tc>
              <w:tc>
                <w:tcPr>
                  <w:tcW w:w="1296" w:type="pct"/>
                  <w:tcBorders>
                    <w:tl2br w:val="nil"/>
                    <w:tr2bl w:val="nil"/>
                  </w:tcBorders>
                  <w:vAlign w:val="center"/>
                </w:tcPr>
                <w:p w14:paraId="3A1CAA5E">
                  <w:pPr>
                    <w:widowControl/>
                    <w:jc w:val="center"/>
                    <w:rPr>
                      <w:szCs w:val="21"/>
                    </w:rPr>
                  </w:pPr>
                  <w:r>
                    <w:rPr>
                      <w:spacing w:val="8"/>
                      <w:szCs w:val="21"/>
                    </w:rPr>
                    <w:t>城市次干道</w:t>
                  </w:r>
                </w:p>
              </w:tc>
            </w:tr>
            <w:tr w14:paraId="7F247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4" w:type="pct"/>
                  <w:tcBorders>
                    <w:tl2br w:val="nil"/>
                    <w:tr2bl w:val="nil"/>
                  </w:tcBorders>
                  <w:vAlign w:val="center"/>
                </w:tcPr>
                <w:p w14:paraId="1181FF38">
                  <w:pPr>
                    <w:widowControl/>
                    <w:jc w:val="center"/>
                    <w:rPr>
                      <w:szCs w:val="21"/>
                    </w:rPr>
                  </w:pPr>
                  <w:r>
                    <w:rPr>
                      <w:szCs w:val="21"/>
                    </w:rPr>
                    <w:t>3</w:t>
                  </w:r>
                </w:p>
              </w:tc>
              <w:tc>
                <w:tcPr>
                  <w:tcW w:w="1992" w:type="pct"/>
                  <w:tcBorders>
                    <w:tl2br w:val="nil"/>
                    <w:tr2bl w:val="nil"/>
                  </w:tcBorders>
                  <w:vAlign w:val="center"/>
                </w:tcPr>
                <w:p w14:paraId="4328B2BA">
                  <w:pPr>
                    <w:widowControl/>
                    <w:jc w:val="center"/>
                    <w:rPr>
                      <w:szCs w:val="21"/>
                    </w:rPr>
                  </w:pPr>
                  <w:r>
                    <w:rPr>
                      <w:szCs w:val="21"/>
                    </w:rPr>
                    <w:t>州河</w:t>
                  </w:r>
                </w:p>
              </w:tc>
              <w:tc>
                <w:tcPr>
                  <w:tcW w:w="659" w:type="pct"/>
                  <w:tcBorders>
                    <w:tl2br w:val="nil"/>
                    <w:tr2bl w:val="nil"/>
                  </w:tcBorders>
                  <w:vAlign w:val="center"/>
                </w:tcPr>
                <w:p w14:paraId="0B5D69EE">
                  <w:pPr>
                    <w:widowControl/>
                    <w:jc w:val="center"/>
                    <w:rPr>
                      <w:szCs w:val="21"/>
                    </w:rPr>
                  </w:pPr>
                  <w:r>
                    <w:rPr>
                      <w:szCs w:val="21"/>
                    </w:rPr>
                    <w:t>西侧</w:t>
                  </w:r>
                </w:p>
              </w:tc>
              <w:tc>
                <w:tcPr>
                  <w:tcW w:w="637" w:type="pct"/>
                  <w:tcBorders>
                    <w:tl2br w:val="nil"/>
                    <w:tr2bl w:val="nil"/>
                  </w:tcBorders>
                  <w:vAlign w:val="center"/>
                </w:tcPr>
                <w:p w14:paraId="19B59991">
                  <w:pPr>
                    <w:widowControl/>
                    <w:jc w:val="center"/>
                    <w:rPr>
                      <w:szCs w:val="21"/>
                    </w:rPr>
                  </w:pPr>
                  <w:r>
                    <w:rPr>
                      <w:rFonts w:hint="eastAsia"/>
                      <w:szCs w:val="21"/>
                    </w:rPr>
                    <w:t>550</w:t>
                  </w:r>
                  <w:r>
                    <w:rPr>
                      <w:szCs w:val="21"/>
                    </w:rPr>
                    <w:t>m</w:t>
                  </w:r>
                </w:p>
              </w:tc>
              <w:tc>
                <w:tcPr>
                  <w:tcW w:w="1296" w:type="pct"/>
                  <w:tcBorders>
                    <w:tl2br w:val="nil"/>
                    <w:tr2bl w:val="nil"/>
                  </w:tcBorders>
                  <w:vAlign w:val="center"/>
                </w:tcPr>
                <w:p w14:paraId="66D11BCD">
                  <w:pPr>
                    <w:widowControl/>
                    <w:jc w:val="center"/>
                    <w:rPr>
                      <w:szCs w:val="21"/>
                    </w:rPr>
                  </w:pPr>
                  <w:r>
                    <w:rPr>
                      <w:szCs w:val="21"/>
                    </w:rPr>
                    <w:t>河流</w:t>
                  </w:r>
                </w:p>
              </w:tc>
            </w:tr>
          </w:tbl>
          <w:p w14:paraId="34DAE786">
            <w:pPr>
              <w:widowControl/>
              <w:spacing w:before="120" w:beforeLines="50" w:line="360" w:lineRule="auto"/>
              <w:ind w:firstLine="482" w:firstLineChars="200"/>
              <w:jc w:val="left"/>
              <w:rPr>
                <w:b/>
                <w:bCs/>
                <w:kern w:val="0"/>
                <w:sz w:val="24"/>
                <w:lang w:bidi="ar"/>
              </w:rPr>
            </w:pPr>
            <w:r>
              <w:rPr>
                <w:rFonts w:hint="eastAsia"/>
                <w:b/>
                <w:bCs/>
                <w:kern w:val="0"/>
                <w:sz w:val="24"/>
                <w:lang w:bidi="ar"/>
              </w:rPr>
              <w:t>（2）选址合理性分析</w:t>
            </w:r>
          </w:p>
          <w:p w14:paraId="4CF0D639">
            <w:pPr>
              <w:widowControl/>
              <w:spacing w:line="360" w:lineRule="auto"/>
              <w:ind w:firstLine="480" w:firstLineChars="200"/>
              <w:jc w:val="left"/>
              <w:rPr>
                <w:kern w:val="0"/>
                <w:sz w:val="24"/>
                <w:lang w:bidi="ar"/>
              </w:rPr>
            </w:pPr>
            <w:r>
              <w:rPr>
                <w:kern w:val="0"/>
                <w:sz w:val="24"/>
                <w:lang w:bidi="ar"/>
              </w:rPr>
              <w:t>项目选址于达州市通川区西南职业教育园区</w:t>
            </w:r>
            <w:r>
              <w:rPr>
                <w:rFonts w:hint="eastAsia"/>
                <w:kern w:val="0"/>
                <w:sz w:val="24"/>
                <w:lang w:bidi="ar"/>
              </w:rPr>
              <w:t>内</w:t>
            </w:r>
            <w:r>
              <w:rPr>
                <w:kern w:val="0"/>
                <w:sz w:val="24"/>
                <w:lang w:bidi="ar"/>
              </w:rPr>
              <w:t>，选址合理性分析如下：</w:t>
            </w:r>
          </w:p>
          <w:p w14:paraId="4E571AAE">
            <w:pPr>
              <w:widowControl/>
              <w:spacing w:line="360" w:lineRule="auto"/>
              <w:ind w:firstLine="480" w:firstLineChars="200"/>
              <w:jc w:val="left"/>
              <w:rPr>
                <w:kern w:val="0"/>
                <w:sz w:val="24"/>
                <w:lang w:bidi="ar"/>
              </w:rPr>
            </w:pPr>
            <w:r>
              <w:rPr>
                <w:kern w:val="0"/>
                <w:sz w:val="24"/>
                <w:lang w:bidi="ar"/>
              </w:rPr>
              <w:t>①</w:t>
            </w:r>
            <w:r>
              <w:rPr>
                <w:rFonts w:hint="eastAsia"/>
                <w:kern w:val="0"/>
                <w:sz w:val="24"/>
                <w:lang w:bidi="ar"/>
              </w:rPr>
              <w:t>本项目位于达州市通川区西南职教园区，规划建设用地性质为公共设施用地（环卫用地），且已取得达州市自然资源和规划局颁发的建设项目用地预审与选址意见书（用字地5117022024XS0019446号）</w:t>
            </w:r>
            <w:r>
              <w:rPr>
                <w:rFonts w:hint="eastAsia"/>
                <w:sz w:val="24"/>
              </w:rPr>
              <w:t>，明确本项目符合国土空间用途管制要求。</w:t>
            </w:r>
          </w:p>
          <w:p w14:paraId="7EA7541B">
            <w:pPr>
              <w:widowControl/>
              <w:spacing w:line="360" w:lineRule="auto"/>
              <w:ind w:firstLine="480" w:firstLineChars="200"/>
              <w:jc w:val="left"/>
              <w:rPr>
                <w:kern w:val="0"/>
                <w:sz w:val="24"/>
                <w:lang w:bidi="ar"/>
              </w:rPr>
            </w:pPr>
            <w:r>
              <w:rPr>
                <w:kern w:val="0"/>
                <w:sz w:val="24"/>
                <w:lang w:bidi="ar"/>
              </w:rPr>
              <w:t>②项目建设影响区范围不涉及特殊环境敏感目标。项目建设区属于规划职业教育园区，评价范围内不涉及自然保护区、风景名胜区、基本农田、 饮用水源地保护区等特殊环境敏感目标。</w:t>
            </w:r>
          </w:p>
          <w:p w14:paraId="74529A46">
            <w:pPr>
              <w:widowControl/>
              <w:spacing w:line="360" w:lineRule="auto"/>
              <w:ind w:firstLine="480" w:firstLineChars="200"/>
              <w:jc w:val="left"/>
              <w:rPr>
                <w:kern w:val="0"/>
                <w:sz w:val="24"/>
                <w:lang w:bidi="ar"/>
              </w:rPr>
            </w:pPr>
            <w:r>
              <w:rPr>
                <w:kern w:val="0"/>
                <w:sz w:val="24"/>
                <w:lang w:bidi="ar"/>
              </w:rPr>
              <w:t>③项目建设与周围环境相协调。本项目为</w:t>
            </w:r>
            <w:r>
              <w:rPr>
                <w:rFonts w:hint="eastAsia"/>
                <w:kern w:val="0"/>
                <w:sz w:val="24"/>
                <w:lang w:bidi="ar"/>
              </w:rPr>
              <w:t>生活垃圾压缩中转站</w:t>
            </w:r>
            <w:r>
              <w:rPr>
                <w:kern w:val="0"/>
                <w:sz w:val="24"/>
                <w:lang w:bidi="ar"/>
              </w:rPr>
              <w:t>项目，</w:t>
            </w:r>
            <w:r>
              <w:rPr>
                <w:rFonts w:hint="eastAsia"/>
                <w:kern w:val="0"/>
                <w:sz w:val="24"/>
                <w:lang w:bidi="ar"/>
              </w:rPr>
              <w:t>属于西南职教园区配套设施建设</w:t>
            </w:r>
            <w:r>
              <w:rPr>
                <w:kern w:val="0"/>
                <w:sz w:val="24"/>
                <w:lang w:bidi="ar"/>
              </w:rPr>
              <w:t>。根据现场踏勘，项目拟建地块</w:t>
            </w:r>
            <w:r>
              <w:rPr>
                <w:rFonts w:hint="eastAsia"/>
                <w:kern w:val="0"/>
                <w:sz w:val="24"/>
                <w:lang w:bidi="ar"/>
              </w:rPr>
              <w:t>规划为公共设施用地</w:t>
            </w:r>
            <w:r>
              <w:rPr>
                <w:kern w:val="0"/>
                <w:sz w:val="24"/>
                <w:lang w:bidi="ar"/>
              </w:rPr>
              <w:t>，</w:t>
            </w:r>
            <w:r>
              <w:rPr>
                <w:rFonts w:hint="eastAsia"/>
                <w:kern w:val="0"/>
                <w:sz w:val="24"/>
                <w:lang w:bidi="ar"/>
              </w:rPr>
              <w:t>目前均为空地，</w:t>
            </w:r>
            <w:r>
              <w:rPr>
                <w:kern w:val="0"/>
                <w:sz w:val="24"/>
                <w:lang w:bidi="ar"/>
              </w:rPr>
              <w:t>项目周围无重大环境制约因素，能够满足项目建设需求。</w:t>
            </w:r>
            <w:r>
              <w:rPr>
                <w:sz w:val="24"/>
              </w:rPr>
              <w:t>根据主要环境影响和保护措施章节可知，本项目产生的废气、废水、噪声、固废在采取规范的污染物治理措施后，对区域环境不会产生明显影响，与外环境较为相容。</w:t>
            </w:r>
          </w:p>
          <w:p w14:paraId="1FF5630C">
            <w:pPr>
              <w:widowControl/>
              <w:spacing w:line="360" w:lineRule="auto"/>
              <w:ind w:firstLine="480" w:firstLineChars="200"/>
              <w:jc w:val="left"/>
              <w:rPr>
                <w:kern w:val="0"/>
                <w:sz w:val="24"/>
                <w:lang w:bidi="ar"/>
              </w:rPr>
            </w:pPr>
            <w:r>
              <w:rPr>
                <w:kern w:val="0"/>
                <w:sz w:val="24"/>
                <w:lang w:bidi="ar"/>
              </w:rPr>
              <w:t>④项目拟建区域基础道路已建设完成，交通运输方便；且已建设有雨污水管网及污水处理设施，项目外排废水处理后可排入市政污水管网，确保废水得到有效收集处理，利于项目建设。</w:t>
            </w:r>
          </w:p>
          <w:p w14:paraId="23E58154">
            <w:pPr>
              <w:widowControl/>
              <w:spacing w:line="360" w:lineRule="auto"/>
              <w:ind w:firstLine="480" w:firstLineChars="200"/>
              <w:jc w:val="left"/>
              <w:rPr>
                <w:kern w:val="0"/>
                <w:sz w:val="24"/>
                <w:lang w:bidi="ar"/>
              </w:rPr>
            </w:pPr>
            <w:r>
              <w:rPr>
                <w:kern w:val="0"/>
                <w:sz w:val="24"/>
                <w:lang w:bidi="ar"/>
              </w:rPr>
              <w:t>综上分析，本项目选址合理可行。</w:t>
            </w:r>
          </w:p>
          <w:p w14:paraId="369F2F4F">
            <w:pPr>
              <w:pStyle w:val="9"/>
            </w:pPr>
          </w:p>
          <w:p w14:paraId="13E6C198"/>
        </w:tc>
      </w:tr>
    </w:tbl>
    <w:p w14:paraId="37303512">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4F70B806">
      <w:pPr>
        <w:pStyle w:val="24"/>
        <w:spacing w:before="0" w:beforeAutospacing="0" w:after="0" w:afterAutospacing="0"/>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594"/>
      </w:tblGrid>
      <w:tr w14:paraId="2C46B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7" w:hRule="atLeast"/>
          <w:jc w:val="center"/>
        </w:trPr>
        <w:tc>
          <w:tcPr>
            <w:tcW w:w="390" w:type="dxa"/>
            <w:vAlign w:val="center"/>
          </w:tcPr>
          <w:p w14:paraId="325098C5">
            <w:pPr>
              <w:pStyle w:val="24"/>
              <w:adjustRightInd w:val="0"/>
              <w:snapToGrid w:val="0"/>
              <w:spacing w:before="0" w:beforeAutospacing="0" w:after="0" w:afterAutospacing="0" w:line="360" w:lineRule="auto"/>
              <w:jc w:val="center"/>
              <w:rPr>
                <w:rFonts w:hint="eastAsia" w:cs="宋体"/>
                <w:szCs w:val="24"/>
              </w:rPr>
            </w:pPr>
            <w:r>
              <w:rPr>
                <w:rFonts w:hint="eastAsia" w:cs="宋体"/>
                <w:szCs w:val="24"/>
              </w:rPr>
              <w:t>建设内容</w:t>
            </w:r>
          </w:p>
        </w:tc>
        <w:tc>
          <w:tcPr>
            <w:tcW w:w="8594" w:type="dxa"/>
          </w:tcPr>
          <w:p w14:paraId="59018832">
            <w:pPr>
              <w:adjustRightInd w:val="0"/>
              <w:snapToGrid w:val="0"/>
              <w:spacing w:line="360" w:lineRule="auto"/>
              <w:ind w:firstLine="482" w:firstLineChars="200"/>
              <w:rPr>
                <w:b/>
                <w:bCs/>
                <w:sz w:val="24"/>
              </w:rPr>
            </w:pPr>
            <w:r>
              <w:rPr>
                <w:rFonts w:hint="eastAsia"/>
                <w:b/>
                <w:bCs/>
                <w:sz w:val="24"/>
              </w:rPr>
              <w:t>1、项目由来</w:t>
            </w:r>
          </w:p>
          <w:p w14:paraId="2AD2BCB5">
            <w:pPr>
              <w:spacing w:line="360" w:lineRule="auto"/>
              <w:ind w:firstLine="480" w:firstLineChars="200"/>
              <w:rPr>
                <w:sz w:val="24"/>
              </w:rPr>
            </w:pPr>
            <w:r>
              <w:rPr>
                <w:rFonts w:hint="eastAsia"/>
                <w:sz w:val="24"/>
              </w:rPr>
              <w:t>随着我国经济和人口在逐年增长，人们生活质量提高，居民生活垃圾增长量日益增加，如何有效全面地解决垃圾，已经成为现阶段城乡发展急需解决的一个问题，而垃圾转运站是城乡垃圾收集处理的一种主要方法，这种方法当前在各个国家均得到了较广泛的应用，通过垃圾转运站的建设可以对垃圾进行封闭式的管理，符合节能环保的需求，在很大程度上提升了垃圾处理的能力，在城镇垃圾管理中发挥着十分重要的作用。</w:t>
            </w:r>
          </w:p>
          <w:p w14:paraId="719E3DB9">
            <w:pPr>
              <w:spacing w:line="360" w:lineRule="auto"/>
              <w:ind w:firstLine="480" w:firstLineChars="200"/>
              <w:rPr>
                <w:sz w:val="24"/>
              </w:rPr>
            </w:pPr>
            <w:r>
              <w:rPr>
                <w:rFonts w:hint="eastAsia"/>
                <w:sz w:val="24"/>
              </w:rPr>
              <w:t>《达州市推进城镇生活污水和城乡生活垃圾处理设施建设三年实施方案（2021-2023 年）》的出台，明确提出要建立完善生活垃圾分类收运体系。按照“适度超前、循序渐进”原则，以“全过程分类”为目标，加快建立生活垃圾分类收运网络，统筹推进收集点和中转（压缩）站新（改）建项目建设，配套完善分类收集、分类运输设施设备。探索直收直运模式，防止生活垃圾“先分后混”和运输环节“二次污染”。到2023年底，市中心城区城市生活垃圾回收利用率力争达30%以上。健全完善厨余垃圾收运系统，合理配置厨余垃圾收集容器和收运车辆。结合“农村清洁行动”，加强垃圾规范化收运处置，避免形成新的非正规垃圾堆放点。</w:t>
            </w:r>
          </w:p>
          <w:p w14:paraId="5EB2D778">
            <w:pPr>
              <w:spacing w:line="360" w:lineRule="auto"/>
              <w:ind w:firstLine="480" w:firstLineChars="200"/>
            </w:pPr>
            <w:r>
              <w:rPr>
                <w:rFonts w:hint="eastAsia"/>
                <w:sz w:val="24"/>
              </w:rPr>
              <w:t>西南职业教育园区是达州市建设区域职业教育高地的重大建设项目。它的建成投用，是达州市奋力打造成渝地区双城经济圈北翼振兴战略支点的重要抓手，对于增强达州职业教育吸引力及辐射力、扩大川渝陕结合部职业教育规模具有重大支撑保障作用。</w:t>
            </w:r>
          </w:p>
          <w:p w14:paraId="0E00FAC7">
            <w:pPr>
              <w:spacing w:line="360" w:lineRule="auto"/>
              <w:ind w:firstLine="480" w:firstLineChars="200"/>
              <w:rPr>
                <w:sz w:val="24"/>
              </w:rPr>
            </w:pPr>
            <w:r>
              <w:rPr>
                <w:rFonts w:hint="eastAsia"/>
                <w:sz w:val="24"/>
              </w:rPr>
              <w:t>目前，园区主要道路已基本建成，文体中心基础设施已全面完成并进入装饰装修阶段，创意产业园建设已基本完成土地整理，已经有达州中医药职业学院（西校区）等三所职业院校入驻园区，师生、员工等数量已经达到了一定的规模，规划园区缺少垃圾中转配套设施，对主城区的垃圾转运能力造成了较大压力，无法做到及时清运，可能</w:t>
            </w:r>
            <w:r>
              <w:rPr>
                <w:rFonts w:hint="eastAsia"/>
                <w:sz w:val="24"/>
                <w:lang w:eastAsia="zh-CN"/>
              </w:rPr>
              <w:t>会对</w:t>
            </w:r>
            <w:r>
              <w:rPr>
                <w:rFonts w:hint="eastAsia"/>
                <w:sz w:val="24"/>
              </w:rPr>
              <w:t>周边环境造成一定影响。因此，为了缓解该区域的生活垃圾处置压力，开展本项目建设。</w:t>
            </w:r>
          </w:p>
          <w:p w14:paraId="56A15226">
            <w:pPr>
              <w:widowControl/>
              <w:wordWrap w:val="0"/>
              <w:spacing w:line="360" w:lineRule="auto"/>
              <w:ind w:firstLine="480" w:firstLineChars="200"/>
              <w:jc w:val="left"/>
              <w:rPr>
                <w:sz w:val="24"/>
              </w:rPr>
            </w:pPr>
            <w:r>
              <w:rPr>
                <w:sz w:val="24"/>
              </w:rPr>
              <w:t>按照《中华人民共和国环境保护法》《中华人民共和国环境影响评价法》以及国务院令第682号《建设项目环境保护管理条例》的要求，本项目需进行环境影响评价。</w:t>
            </w:r>
            <w:r>
              <w:rPr>
                <w:rFonts w:hint="eastAsia"/>
                <w:sz w:val="24"/>
              </w:rPr>
              <w:t>本项目生活垃圾转运能力设计规模为240t/d，根据</w:t>
            </w:r>
            <w:r>
              <w:rPr>
                <w:sz w:val="24"/>
              </w:rPr>
              <w:t>《建设项目环境影响评价分类管理名录（2021年版</w:t>
            </w:r>
            <w:r>
              <w:rPr>
                <w:rFonts w:hint="eastAsia"/>
                <w:sz w:val="24"/>
              </w:rPr>
              <w:t>）</w:t>
            </w:r>
            <w:r>
              <w:rPr>
                <w:sz w:val="24"/>
              </w:rPr>
              <w:t>》</w:t>
            </w:r>
            <w:r>
              <w:rPr>
                <w:rFonts w:hint="eastAsia"/>
                <w:sz w:val="24"/>
              </w:rPr>
              <w:t>，本项目属于“</w:t>
            </w:r>
            <w:r>
              <w:rPr>
                <w:rFonts w:hint="eastAsia"/>
                <w:color w:val="000000"/>
                <w:kern w:val="0"/>
                <w:sz w:val="24"/>
                <w:lang w:bidi="ar"/>
              </w:rPr>
              <w:t>四十八、公共设施管理业</w:t>
            </w:r>
            <w:r>
              <w:rPr>
                <w:sz w:val="24"/>
              </w:rPr>
              <w:t>——</w:t>
            </w:r>
            <w:r>
              <w:rPr>
                <w:rFonts w:hint="eastAsia"/>
                <w:color w:val="000000"/>
                <w:kern w:val="0"/>
                <w:sz w:val="24"/>
                <w:lang w:bidi="ar"/>
              </w:rPr>
              <w:t>105、生活垃圾（含餐厨废弃物）转运站</w:t>
            </w:r>
            <w:r>
              <w:rPr>
                <w:sz w:val="24"/>
              </w:rPr>
              <w:t>——</w:t>
            </w:r>
            <w:r>
              <w:rPr>
                <w:rFonts w:hint="eastAsia"/>
                <w:b/>
                <w:bCs/>
                <w:sz w:val="24"/>
              </w:rPr>
              <w:t>日转运能力150吨及以上</w:t>
            </w:r>
            <w:r>
              <w:rPr>
                <w:rFonts w:hint="eastAsia"/>
                <w:sz w:val="24"/>
              </w:rPr>
              <w:t>”，应纳入环境影响评价管理，并编制环境影响评价报告表</w:t>
            </w:r>
            <w:r>
              <w:rPr>
                <w:sz w:val="24"/>
              </w:rPr>
              <w:t>。为此，</w:t>
            </w:r>
            <w:r>
              <w:rPr>
                <w:rFonts w:hint="eastAsia"/>
                <w:color w:val="000000"/>
                <w:sz w:val="24"/>
                <w:shd w:val="clear" w:color="auto" w:fill="FFFFFF"/>
              </w:rPr>
              <w:t>达州市环境卫生管理处</w:t>
            </w:r>
            <w:r>
              <w:rPr>
                <w:sz w:val="24"/>
              </w:rPr>
              <w:t>特委托我公司进行环境影响评价工作。我公司接受委托后，即派相关技术人员到项目现场进行实地踏勘和资料收集，并按照有关技术规范和四川省生态环境厅的有关规定，编制该项目环境影响报告表，供生态环境主管部门审查。</w:t>
            </w:r>
          </w:p>
          <w:p w14:paraId="05D95BF1">
            <w:pPr>
              <w:adjustRightInd w:val="0"/>
              <w:snapToGrid w:val="0"/>
              <w:spacing w:line="360" w:lineRule="auto"/>
              <w:ind w:firstLine="482" w:firstLineChars="200"/>
              <w:rPr>
                <w:b/>
                <w:bCs/>
              </w:rPr>
            </w:pPr>
            <w:r>
              <w:rPr>
                <w:rFonts w:hint="eastAsia"/>
                <w:b/>
                <w:bCs/>
                <w:sz w:val="24"/>
              </w:rPr>
              <w:t>2、项目基本情况</w:t>
            </w:r>
          </w:p>
          <w:p w14:paraId="7EA8E1BF">
            <w:pPr>
              <w:spacing w:line="360" w:lineRule="auto"/>
              <w:ind w:firstLine="482" w:firstLineChars="200"/>
              <w:rPr>
                <w:sz w:val="24"/>
              </w:rPr>
            </w:pPr>
            <w:r>
              <w:rPr>
                <w:rFonts w:hint="eastAsia" w:ascii="宋体" w:hAnsi="宋体" w:cs="宋体"/>
                <w:b/>
                <w:bCs/>
                <w:sz w:val="24"/>
              </w:rPr>
              <w:t>项目名称：</w:t>
            </w:r>
            <w:r>
              <w:rPr>
                <w:rFonts w:hint="eastAsia"/>
                <w:sz w:val="24"/>
                <w:lang w:val="en-GB"/>
              </w:rPr>
              <w:t>职</w:t>
            </w:r>
            <w:r>
              <w:rPr>
                <w:sz w:val="24"/>
                <w:lang w:val="en-GB"/>
              </w:rPr>
              <w:t>教园区中型垃圾转运站建设项目</w:t>
            </w:r>
          </w:p>
          <w:p w14:paraId="2FE95B3E">
            <w:pPr>
              <w:pStyle w:val="22"/>
              <w:spacing w:line="360" w:lineRule="auto"/>
              <w:ind w:firstLine="482"/>
              <w:jc w:val="both"/>
              <w:rPr>
                <w:rFonts w:hint="default" w:ascii="Times New Roman" w:eastAsia="宋体"/>
              </w:rPr>
            </w:pPr>
            <w:r>
              <w:rPr>
                <w:rFonts w:hint="default" w:ascii="Times New Roman" w:eastAsia="宋体"/>
                <w:b/>
                <w:bCs w:val="0"/>
                <w:sz w:val="24"/>
              </w:rPr>
              <w:t>建设单位</w:t>
            </w:r>
            <w:r>
              <w:rPr>
                <w:rFonts w:hint="default" w:ascii="Times New Roman" w:eastAsia="宋体"/>
                <w:sz w:val="24"/>
              </w:rPr>
              <w:t>：达州市环境卫生管理处</w:t>
            </w:r>
          </w:p>
          <w:p w14:paraId="265E20EF">
            <w:pPr>
              <w:spacing w:line="360" w:lineRule="auto"/>
              <w:ind w:firstLine="482" w:firstLineChars="200"/>
              <w:rPr>
                <w:sz w:val="24"/>
              </w:rPr>
            </w:pPr>
            <w:r>
              <w:rPr>
                <w:b/>
                <w:bCs/>
                <w:sz w:val="24"/>
              </w:rPr>
              <w:t>建设性质：</w:t>
            </w:r>
            <w:r>
              <w:rPr>
                <w:sz w:val="24"/>
              </w:rPr>
              <w:t>新建</w:t>
            </w:r>
          </w:p>
          <w:p w14:paraId="04222846">
            <w:pPr>
              <w:pStyle w:val="22"/>
              <w:spacing w:line="360" w:lineRule="auto"/>
              <w:ind w:firstLine="482"/>
              <w:jc w:val="both"/>
              <w:rPr>
                <w:rFonts w:hint="default" w:ascii="Times New Roman" w:eastAsia="宋体"/>
                <w:sz w:val="24"/>
              </w:rPr>
            </w:pPr>
            <w:r>
              <w:rPr>
                <w:rFonts w:hint="default" w:ascii="Times New Roman" w:eastAsia="宋体"/>
                <w:b/>
                <w:bCs w:val="0"/>
                <w:sz w:val="24"/>
              </w:rPr>
              <w:t>建设地点：</w:t>
            </w:r>
            <w:r>
              <w:rPr>
                <w:rFonts w:hint="default" w:ascii="Times New Roman" w:eastAsia="宋体"/>
                <w:sz w:val="24"/>
              </w:rPr>
              <w:t>达州市通川区西南职教园区崇德路</w:t>
            </w:r>
          </w:p>
          <w:p w14:paraId="2D6FC8CB">
            <w:pPr>
              <w:pStyle w:val="22"/>
              <w:spacing w:line="360" w:lineRule="auto"/>
              <w:ind w:firstLine="482"/>
              <w:jc w:val="both"/>
              <w:rPr>
                <w:rFonts w:hint="default" w:ascii="Times New Roman" w:eastAsia="宋体"/>
                <w:sz w:val="24"/>
              </w:rPr>
            </w:pPr>
            <w:r>
              <w:rPr>
                <w:rFonts w:hint="default" w:ascii="Times New Roman" w:eastAsia="宋体"/>
                <w:b/>
                <w:bCs w:val="0"/>
                <w:sz w:val="24"/>
              </w:rPr>
              <w:t>项目总投资：</w:t>
            </w:r>
            <w:r>
              <w:rPr>
                <w:rFonts w:hint="default" w:ascii="Times New Roman" w:eastAsia="宋体"/>
                <w:sz w:val="24"/>
              </w:rPr>
              <w:t>2460.19万元，资金来源为市级财政资金</w:t>
            </w:r>
          </w:p>
          <w:p w14:paraId="3476D289">
            <w:pPr>
              <w:pStyle w:val="22"/>
              <w:spacing w:line="360" w:lineRule="auto"/>
              <w:ind w:firstLine="482"/>
              <w:jc w:val="both"/>
              <w:rPr>
                <w:rFonts w:hint="default" w:ascii="Times New Roman" w:eastAsia="宋体"/>
                <w:sz w:val="24"/>
              </w:rPr>
            </w:pPr>
            <w:r>
              <w:rPr>
                <w:rFonts w:hint="default" w:ascii="Times New Roman" w:eastAsia="宋体"/>
                <w:b/>
                <w:bCs w:val="0"/>
                <w:sz w:val="24"/>
              </w:rPr>
              <w:t>占地面积：</w:t>
            </w:r>
            <w:r>
              <w:rPr>
                <w:rFonts w:hint="default" w:ascii="Times New Roman" w:eastAsia="宋体"/>
                <w:sz w:val="24"/>
              </w:rPr>
              <w:t>9.12</w:t>
            </w:r>
            <w:r>
              <w:rPr>
                <w:rFonts w:ascii="Times New Roman" w:eastAsia="宋体"/>
                <w:sz w:val="24"/>
              </w:rPr>
              <w:t>亩（约6078m</w:t>
            </w:r>
            <w:r>
              <w:rPr>
                <w:rFonts w:ascii="Times New Roman" w:eastAsia="宋体"/>
                <w:sz w:val="24"/>
                <w:vertAlign w:val="superscript"/>
              </w:rPr>
              <w:t>2</w:t>
            </w:r>
            <w:r>
              <w:rPr>
                <w:rFonts w:ascii="Times New Roman" w:eastAsia="宋体"/>
                <w:sz w:val="24"/>
              </w:rPr>
              <w:t>）</w:t>
            </w:r>
          </w:p>
          <w:p w14:paraId="4D77B3DA">
            <w:pPr>
              <w:pStyle w:val="22"/>
              <w:spacing w:line="360" w:lineRule="auto"/>
              <w:ind w:firstLine="482"/>
              <w:jc w:val="both"/>
              <w:rPr>
                <w:rFonts w:hint="default" w:ascii="Times New Roman" w:eastAsia="宋体"/>
                <w:b/>
                <w:bCs w:val="0"/>
                <w:sz w:val="24"/>
              </w:rPr>
            </w:pPr>
            <w:r>
              <w:rPr>
                <w:rFonts w:hint="default" w:ascii="Times New Roman" w:eastAsia="宋体"/>
                <w:b/>
                <w:bCs w:val="0"/>
                <w:sz w:val="24"/>
              </w:rPr>
              <w:t>劳动定员及工作制度：</w:t>
            </w:r>
            <w:r>
              <w:rPr>
                <w:rFonts w:hint="default" w:ascii="Times New Roman" w:eastAsia="宋体"/>
                <w:sz w:val="24"/>
              </w:rPr>
              <w:t>本项目劳动定员12人，年工作365天，8小时/班制。</w:t>
            </w:r>
          </w:p>
          <w:p w14:paraId="043B831F">
            <w:pPr>
              <w:pStyle w:val="22"/>
              <w:spacing w:line="360" w:lineRule="auto"/>
              <w:ind w:firstLine="482"/>
              <w:jc w:val="both"/>
              <w:rPr>
                <w:rFonts w:hint="default" w:ascii="Times New Roman" w:eastAsia="宋体"/>
                <w:sz w:val="24"/>
              </w:rPr>
            </w:pPr>
            <w:r>
              <w:rPr>
                <w:rFonts w:hint="default" w:ascii="Times New Roman" w:eastAsia="宋体"/>
                <w:b/>
                <w:bCs w:val="0"/>
                <w:sz w:val="24"/>
              </w:rPr>
              <w:t>服务范围：</w:t>
            </w:r>
            <w:r>
              <w:rPr>
                <w:rFonts w:hint="default" w:ascii="Times New Roman" w:eastAsia="宋体"/>
                <w:sz w:val="24"/>
              </w:rPr>
              <w:t>达州市西南职业教育园区</w:t>
            </w:r>
          </w:p>
          <w:p w14:paraId="7A21F654">
            <w:pPr>
              <w:pStyle w:val="22"/>
              <w:spacing w:line="360" w:lineRule="auto"/>
              <w:ind w:firstLine="482"/>
              <w:jc w:val="both"/>
              <w:rPr>
                <w:rFonts w:hint="default" w:ascii="Times New Roman" w:eastAsia="宋体"/>
                <w:b/>
                <w:bCs w:val="0"/>
                <w:sz w:val="24"/>
              </w:rPr>
            </w:pPr>
            <w:r>
              <w:rPr>
                <w:rFonts w:hint="default" w:ascii="Times New Roman" w:eastAsia="宋体"/>
                <w:b/>
                <w:bCs w:val="0"/>
                <w:sz w:val="24"/>
              </w:rPr>
              <w:t>服务人口规模：</w:t>
            </w:r>
          </w:p>
          <w:p w14:paraId="03F3EBF5">
            <w:pPr>
              <w:pStyle w:val="22"/>
              <w:spacing w:line="360" w:lineRule="auto"/>
              <w:ind w:firstLine="480"/>
              <w:jc w:val="both"/>
              <w:rPr>
                <w:rFonts w:hint="default" w:ascii="Times New Roman" w:eastAsia="宋体"/>
                <w:sz w:val="24"/>
              </w:rPr>
            </w:pPr>
            <w:r>
              <w:rPr>
                <w:rFonts w:ascii="Times New Roman" w:eastAsia="宋体"/>
                <w:sz w:val="24"/>
              </w:rPr>
              <w:t>2024年：</w:t>
            </w:r>
            <w:r>
              <w:rPr>
                <w:rFonts w:hint="default" w:ascii="Times New Roman" w:eastAsia="宋体"/>
                <w:sz w:val="24"/>
              </w:rPr>
              <w:t>园区已经完成部分建设，现已经入驻4所学校，入驻师生约22600人，当地常住人口33000人，流动人口约22800人，总人口规模达7.84万人</w:t>
            </w:r>
            <w:r>
              <w:rPr>
                <w:rFonts w:ascii="Times New Roman" w:eastAsia="宋体"/>
                <w:sz w:val="24"/>
              </w:rPr>
              <w:t>。</w:t>
            </w:r>
          </w:p>
          <w:p w14:paraId="3FAFB7CC">
            <w:pPr>
              <w:pStyle w:val="22"/>
              <w:spacing w:line="360" w:lineRule="auto"/>
              <w:ind w:firstLine="480"/>
              <w:jc w:val="both"/>
              <w:rPr>
                <w:rFonts w:hint="default" w:ascii="Times New Roman" w:eastAsia="宋体"/>
                <w:sz w:val="24"/>
              </w:rPr>
            </w:pPr>
            <w:r>
              <w:rPr>
                <w:rFonts w:hint="default" w:ascii="Times New Roman" w:eastAsia="宋体"/>
                <w:sz w:val="24"/>
              </w:rPr>
              <w:t>2026年</w:t>
            </w:r>
            <w:r>
              <w:rPr>
                <w:rFonts w:ascii="Times New Roman" w:eastAsia="宋体"/>
                <w:sz w:val="24"/>
              </w:rPr>
              <w:t>：</w:t>
            </w:r>
            <w:r>
              <w:rPr>
                <w:rFonts w:hint="default" w:ascii="Times New Roman" w:eastAsia="宋体"/>
                <w:sz w:val="24"/>
              </w:rPr>
              <w:t>规划区常住人口规模约7.35万人，流动人口约2.5万人。</w:t>
            </w:r>
          </w:p>
          <w:p w14:paraId="532AE3E0">
            <w:pPr>
              <w:pStyle w:val="22"/>
              <w:spacing w:line="360" w:lineRule="auto"/>
              <w:ind w:firstLine="480"/>
              <w:jc w:val="both"/>
              <w:rPr>
                <w:rFonts w:hint="default"/>
              </w:rPr>
            </w:pPr>
            <w:r>
              <w:rPr>
                <w:rFonts w:ascii="Times New Roman" w:eastAsia="宋体"/>
                <w:sz w:val="24"/>
              </w:rPr>
              <w:t>20241年：</w:t>
            </w:r>
            <w:r>
              <w:rPr>
                <w:rFonts w:hint="default" w:ascii="Times New Roman" w:eastAsia="宋体"/>
                <w:sz w:val="24"/>
              </w:rPr>
              <w:t>规划区常住人口规模约</w:t>
            </w:r>
            <w:r>
              <w:rPr>
                <w:rFonts w:ascii="Times New Roman" w:eastAsia="宋体"/>
                <w:sz w:val="24"/>
              </w:rPr>
              <w:t>15.2731</w:t>
            </w:r>
            <w:r>
              <w:rPr>
                <w:rFonts w:hint="default" w:ascii="Times New Roman" w:eastAsia="宋体"/>
                <w:sz w:val="24"/>
              </w:rPr>
              <w:t>万人，流动人口约</w:t>
            </w:r>
            <w:r>
              <w:rPr>
                <w:rFonts w:ascii="Times New Roman" w:eastAsia="宋体"/>
                <w:sz w:val="24"/>
              </w:rPr>
              <w:t>7.9267</w:t>
            </w:r>
            <w:r>
              <w:rPr>
                <w:rFonts w:hint="default" w:ascii="Times New Roman" w:eastAsia="宋体"/>
                <w:sz w:val="24"/>
              </w:rPr>
              <w:t>万人。</w:t>
            </w:r>
          </w:p>
          <w:p w14:paraId="2F74EF41">
            <w:pPr>
              <w:adjustRightInd w:val="0"/>
              <w:snapToGrid w:val="0"/>
              <w:spacing w:line="360" w:lineRule="auto"/>
              <w:ind w:firstLine="482" w:firstLineChars="200"/>
              <w:jc w:val="left"/>
              <w:rPr>
                <w:b/>
                <w:bCs/>
                <w:sz w:val="24"/>
              </w:rPr>
            </w:pPr>
            <w:r>
              <w:rPr>
                <w:b/>
                <w:bCs/>
                <w:sz w:val="24"/>
              </w:rPr>
              <w:t>垃圾清运量</w:t>
            </w:r>
            <w:r>
              <w:rPr>
                <w:rFonts w:hint="eastAsia"/>
                <w:b/>
                <w:bCs/>
                <w:sz w:val="24"/>
              </w:rPr>
              <w:t>现状</w:t>
            </w:r>
            <w:r>
              <w:rPr>
                <w:b/>
                <w:bCs/>
                <w:sz w:val="24"/>
              </w:rPr>
              <w:t>：</w:t>
            </w:r>
          </w:p>
          <w:p w14:paraId="340B5327">
            <w:pPr>
              <w:adjustRightInd w:val="0"/>
              <w:snapToGrid w:val="0"/>
              <w:spacing w:line="360" w:lineRule="auto"/>
              <w:ind w:firstLine="480" w:firstLineChars="200"/>
              <w:jc w:val="left"/>
              <w:rPr>
                <w:b/>
                <w:sz w:val="24"/>
              </w:rPr>
            </w:pPr>
            <w:r>
              <w:rPr>
                <w:bCs/>
                <w:sz w:val="24"/>
              </w:rPr>
              <w:t>根据《生活垃圾转运技术规范》（CJJ/T47-2016）有关中转站设计规模计算公式如下</w:t>
            </w:r>
            <w:r>
              <w:rPr>
                <w:b/>
                <w:sz w:val="24"/>
              </w:rPr>
              <w:t>：</w:t>
            </w:r>
          </w:p>
          <w:p w14:paraId="3181BE09">
            <w:pPr>
              <w:adjustRightInd w:val="0"/>
              <w:snapToGrid w:val="0"/>
              <w:spacing w:line="360" w:lineRule="auto"/>
              <w:ind w:firstLine="480" w:firstLineChars="200"/>
              <w:jc w:val="center"/>
              <w:rPr>
                <w:sz w:val="24"/>
              </w:rPr>
            </w:pPr>
            <w:r>
              <w:rPr>
                <w:sz w:val="24"/>
              </w:rPr>
              <w:t>Q</w:t>
            </w:r>
            <w:r>
              <w:rPr>
                <w:sz w:val="24"/>
                <w:vertAlign w:val="subscript"/>
              </w:rPr>
              <w:t>c</w:t>
            </w:r>
            <w:r>
              <w:rPr>
                <w:sz w:val="24"/>
              </w:rPr>
              <w:t>=n×q/1000</w:t>
            </w:r>
          </w:p>
          <w:p w14:paraId="596421F4">
            <w:pPr>
              <w:wordWrap w:val="0"/>
              <w:adjustRightInd w:val="0"/>
              <w:snapToGrid w:val="0"/>
              <w:spacing w:line="360" w:lineRule="auto"/>
              <w:ind w:firstLine="480" w:firstLineChars="200"/>
              <w:jc w:val="left"/>
              <w:rPr>
                <w:sz w:val="24"/>
              </w:rPr>
            </w:pPr>
            <w:r>
              <w:rPr>
                <w:sz w:val="24"/>
              </w:rPr>
              <w:t>上式中 Q</w:t>
            </w:r>
            <w:r>
              <w:rPr>
                <w:sz w:val="24"/>
                <w:vertAlign w:val="subscript"/>
              </w:rPr>
              <w:t>c</w:t>
            </w:r>
            <w:r>
              <w:rPr>
                <w:sz w:val="24"/>
              </w:rPr>
              <w:t>——转运站设计规模（日转运量），t/d；</w:t>
            </w:r>
          </w:p>
          <w:p w14:paraId="717780CD">
            <w:pPr>
              <w:wordWrap w:val="0"/>
              <w:adjustRightInd w:val="0"/>
              <w:snapToGrid w:val="0"/>
              <w:spacing w:line="360" w:lineRule="auto"/>
              <w:ind w:firstLine="1440" w:firstLineChars="600"/>
              <w:jc w:val="left"/>
              <w:rPr>
                <w:bCs/>
                <w:sz w:val="24"/>
              </w:rPr>
            </w:pPr>
            <w:r>
              <w:rPr>
                <w:bCs/>
                <w:sz w:val="24"/>
              </w:rPr>
              <w:t>n——服务区服务人数，本项目n=</w:t>
            </w:r>
            <w:r>
              <w:rPr>
                <w:rFonts w:hint="eastAsia"/>
                <w:bCs/>
                <w:sz w:val="24"/>
              </w:rPr>
              <w:t>7.84</w:t>
            </w:r>
            <w:r>
              <w:rPr>
                <w:bCs/>
                <w:sz w:val="24"/>
              </w:rPr>
              <w:t>万人；</w:t>
            </w:r>
          </w:p>
          <w:p w14:paraId="10953FA6">
            <w:pPr>
              <w:pStyle w:val="22"/>
              <w:wordWrap w:val="0"/>
              <w:spacing w:line="360" w:lineRule="auto"/>
              <w:ind w:firstLine="1440" w:firstLineChars="600"/>
              <w:jc w:val="both"/>
              <w:rPr>
                <w:rFonts w:hint="default" w:ascii="Times New Roman" w:eastAsia="宋体"/>
                <w:sz w:val="24"/>
              </w:rPr>
            </w:pPr>
            <w:r>
              <w:rPr>
                <w:rFonts w:hint="default" w:ascii="Times New Roman" w:eastAsia="宋体"/>
                <w:sz w:val="24"/>
              </w:rPr>
              <w:t>q——人均垃圾排放量[kg/（人·d）]，城镇地区可取0.8 kg/（人·d）～1.0 kg/（人·d），对于施行垃圾分类收集的地区，应扣除分类收集后未进入转运站的垃圾量，本项目服务范围内已施行垃圾分类收集，因此人均垃圾量按下限0.8kg/（人·d）估算。</w:t>
            </w:r>
          </w:p>
          <w:p w14:paraId="48B76A7E">
            <w:pPr>
              <w:pStyle w:val="22"/>
              <w:wordWrap w:val="0"/>
              <w:spacing w:line="360" w:lineRule="auto"/>
              <w:ind w:firstLine="480"/>
              <w:jc w:val="both"/>
              <w:rPr>
                <w:rFonts w:hint="default" w:ascii="Times New Roman" w:eastAsia="宋体"/>
                <w:sz w:val="24"/>
              </w:rPr>
            </w:pPr>
            <w:r>
              <w:rPr>
                <w:rFonts w:hint="default" w:ascii="Times New Roman" w:eastAsia="宋体"/>
                <w:sz w:val="24"/>
              </w:rPr>
              <w:t>根据上式计算，本项目服务范围内垃圾清运量约为62.72</w:t>
            </w:r>
            <w:r>
              <w:rPr>
                <w:rFonts w:ascii="Times New Roman" w:eastAsia="宋体"/>
                <w:sz w:val="24"/>
              </w:rPr>
              <w:t>t</w:t>
            </w:r>
            <w:r>
              <w:rPr>
                <w:rFonts w:hint="default" w:ascii="Times New Roman" w:eastAsia="宋体"/>
                <w:sz w:val="24"/>
              </w:rPr>
              <w:t>/d</w:t>
            </w:r>
            <w:r>
              <w:rPr>
                <w:rFonts w:ascii="Times New Roman" w:eastAsia="宋体"/>
                <w:sz w:val="24"/>
              </w:rPr>
              <w:t>（现状）</w:t>
            </w:r>
            <w:r>
              <w:rPr>
                <w:rFonts w:hint="default" w:ascii="Times New Roman" w:eastAsia="宋体"/>
                <w:sz w:val="24"/>
              </w:rPr>
              <w:t>。</w:t>
            </w:r>
          </w:p>
          <w:p w14:paraId="3F7D3D8A">
            <w:pPr>
              <w:adjustRightInd w:val="0"/>
              <w:snapToGrid w:val="0"/>
              <w:spacing w:line="360" w:lineRule="auto"/>
              <w:ind w:firstLine="482" w:firstLineChars="200"/>
              <w:jc w:val="left"/>
              <w:rPr>
                <w:b/>
                <w:bCs/>
                <w:sz w:val="24"/>
              </w:rPr>
            </w:pPr>
            <w:r>
              <w:rPr>
                <w:rFonts w:hint="eastAsia"/>
                <w:b/>
                <w:bCs/>
                <w:sz w:val="24"/>
              </w:rPr>
              <w:t>最大</w:t>
            </w:r>
            <w:r>
              <w:rPr>
                <w:b/>
                <w:bCs/>
                <w:sz w:val="24"/>
              </w:rPr>
              <w:t>垃圾清运量：</w:t>
            </w:r>
          </w:p>
          <w:p w14:paraId="42AEA1D6">
            <w:pPr>
              <w:adjustRightInd w:val="0"/>
              <w:snapToGrid w:val="0"/>
              <w:spacing w:line="360" w:lineRule="auto"/>
              <w:ind w:firstLine="480" w:firstLineChars="200"/>
              <w:jc w:val="left"/>
              <w:rPr>
                <w:b/>
                <w:sz w:val="24"/>
              </w:rPr>
            </w:pPr>
            <w:r>
              <w:rPr>
                <w:bCs/>
                <w:sz w:val="24"/>
              </w:rPr>
              <w:t>根据《生活垃圾转运技术规范》（CJJ/T47-2016）有关中转站设计规模计算公式如下</w:t>
            </w:r>
            <w:r>
              <w:rPr>
                <w:b/>
                <w:sz w:val="24"/>
              </w:rPr>
              <w:t>：</w:t>
            </w:r>
          </w:p>
          <w:p w14:paraId="40836C41">
            <w:pPr>
              <w:adjustRightInd w:val="0"/>
              <w:snapToGrid w:val="0"/>
              <w:spacing w:line="360" w:lineRule="auto"/>
              <w:ind w:firstLine="480" w:firstLineChars="200"/>
              <w:jc w:val="center"/>
              <w:rPr>
                <w:sz w:val="24"/>
              </w:rPr>
            </w:pPr>
            <w:r>
              <w:rPr>
                <w:sz w:val="24"/>
              </w:rPr>
              <w:t>Q</w:t>
            </w:r>
            <w:r>
              <w:rPr>
                <w:sz w:val="24"/>
                <w:vertAlign w:val="subscript"/>
              </w:rPr>
              <w:t>c</w:t>
            </w:r>
            <w:r>
              <w:rPr>
                <w:sz w:val="24"/>
              </w:rPr>
              <w:t>=n×q/1000</w:t>
            </w:r>
          </w:p>
          <w:p w14:paraId="0CDCC778">
            <w:pPr>
              <w:wordWrap w:val="0"/>
              <w:adjustRightInd w:val="0"/>
              <w:snapToGrid w:val="0"/>
              <w:spacing w:line="360" w:lineRule="auto"/>
              <w:ind w:firstLine="480" w:firstLineChars="200"/>
              <w:jc w:val="left"/>
              <w:rPr>
                <w:sz w:val="24"/>
              </w:rPr>
            </w:pPr>
            <w:r>
              <w:rPr>
                <w:sz w:val="24"/>
              </w:rPr>
              <w:t>上式中 Q</w:t>
            </w:r>
            <w:r>
              <w:rPr>
                <w:sz w:val="24"/>
                <w:vertAlign w:val="subscript"/>
              </w:rPr>
              <w:t>c</w:t>
            </w:r>
            <w:r>
              <w:rPr>
                <w:sz w:val="24"/>
              </w:rPr>
              <w:t>——转运站设计规模（日转运量），t/d；</w:t>
            </w:r>
          </w:p>
          <w:p w14:paraId="0CDCEF82">
            <w:pPr>
              <w:wordWrap w:val="0"/>
              <w:adjustRightInd w:val="0"/>
              <w:snapToGrid w:val="0"/>
              <w:spacing w:line="360" w:lineRule="auto"/>
              <w:ind w:firstLine="1440" w:firstLineChars="600"/>
              <w:jc w:val="left"/>
              <w:rPr>
                <w:bCs/>
                <w:sz w:val="24"/>
              </w:rPr>
            </w:pPr>
            <w:r>
              <w:rPr>
                <w:bCs/>
                <w:sz w:val="24"/>
              </w:rPr>
              <w:t>n——服务区服务人数，本项目n=</w:t>
            </w:r>
            <w:r>
              <w:rPr>
                <w:rFonts w:hint="eastAsia"/>
                <w:bCs/>
                <w:sz w:val="24"/>
              </w:rPr>
              <w:t>23.1998</w:t>
            </w:r>
            <w:r>
              <w:rPr>
                <w:bCs/>
                <w:sz w:val="24"/>
              </w:rPr>
              <w:t>万人；</w:t>
            </w:r>
          </w:p>
          <w:p w14:paraId="12DD0873">
            <w:pPr>
              <w:pStyle w:val="22"/>
              <w:wordWrap w:val="0"/>
              <w:spacing w:line="360" w:lineRule="auto"/>
              <w:ind w:firstLine="1440" w:firstLineChars="600"/>
              <w:jc w:val="both"/>
              <w:rPr>
                <w:rFonts w:hint="default" w:ascii="Times New Roman" w:eastAsia="宋体"/>
                <w:sz w:val="24"/>
              </w:rPr>
            </w:pPr>
            <w:r>
              <w:rPr>
                <w:rFonts w:hint="default" w:ascii="Times New Roman" w:eastAsia="宋体"/>
                <w:sz w:val="24"/>
              </w:rPr>
              <w:t>q——人均垃圾排放量[kg/（人·d）]，城镇地区可取0.8 kg/（人·d）～1.0 kg/（人·d），对于施行垃圾分类收集的地区，应扣除分类收集后未进入转运站的垃圾量，本项目服务范围内已施行垃圾分类收集，因此人均垃圾量按下限0.8kg/（人·d）估算。</w:t>
            </w:r>
          </w:p>
          <w:p w14:paraId="4499DC6C">
            <w:pPr>
              <w:pStyle w:val="22"/>
              <w:wordWrap w:val="0"/>
              <w:spacing w:line="360" w:lineRule="auto"/>
              <w:ind w:firstLine="480"/>
              <w:jc w:val="both"/>
              <w:rPr>
                <w:rFonts w:hint="default" w:ascii="Times New Roman" w:eastAsia="宋体"/>
                <w:sz w:val="24"/>
              </w:rPr>
            </w:pPr>
            <w:r>
              <w:rPr>
                <w:rFonts w:hint="default" w:ascii="Times New Roman" w:eastAsia="宋体"/>
                <w:sz w:val="24"/>
              </w:rPr>
              <w:t>根据上式</w:t>
            </w:r>
            <w:r>
              <w:rPr>
                <w:rFonts w:ascii="Times New Roman" w:eastAsia="宋体"/>
                <w:sz w:val="24"/>
              </w:rPr>
              <w:t>及可研资料</w:t>
            </w:r>
            <w:r>
              <w:rPr>
                <w:rFonts w:hint="default" w:ascii="Times New Roman" w:eastAsia="宋体"/>
                <w:sz w:val="24"/>
              </w:rPr>
              <w:t>，</w:t>
            </w:r>
            <w:r>
              <w:rPr>
                <w:rFonts w:ascii="Times New Roman" w:eastAsia="宋体"/>
                <w:sz w:val="24"/>
              </w:rPr>
              <w:t>本项目</w:t>
            </w:r>
            <w:r>
              <w:rPr>
                <w:rFonts w:hint="default" w:ascii="Times New Roman" w:eastAsia="宋体"/>
                <w:sz w:val="24"/>
              </w:rPr>
              <w:t>服务年限末（2041年）日均垃圾产生量为185.6t/d。</w:t>
            </w:r>
          </w:p>
          <w:p w14:paraId="5DAA015C">
            <w:pPr>
              <w:pStyle w:val="22"/>
              <w:wordWrap w:val="0"/>
              <w:spacing w:line="360" w:lineRule="auto"/>
              <w:ind w:firstLine="480"/>
              <w:jc w:val="both"/>
              <w:rPr>
                <w:rFonts w:hint="default"/>
              </w:rPr>
            </w:pPr>
            <w:r>
              <w:rPr>
                <w:rFonts w:hint="default" w:ascii="Times New Roman" w:eastAsia="宋体"/>
                <w:sz w:val="24"/>
              </w:rPr>
              <w:t>因此，本项目建成后，规模为240t/d，可满足服务范围内服务年限内垃圾转运需求。</w:t>
            </w:r>
          </w:p>
          <w:p w14:paraId="5E03165D">
            <w:pPr>
              <w:pStyle w:val="22"/>
              <w:wordWrap w:val="0"/>
              <w:spacing w:line="360" w:lineRule="auto"/>
              <w:ind w:firstLine="482"/>
              <w:jc w:val="both"/>
              <w:rPr>
                <w:rFonts w:hint="default" w:ascii="Times New Roman" w:eastAsia="宋体"/>
                <w:sz w:val="24"/>
              </w:rPr>
            </w:pPr>
            <w:r>
              <w:rPr>
                <w:rFonts w:hint="default" w:ascii="Times New Roman" w:eastAsia="宋体"/>
                <w:b/>
                <w:bCs w:val="0"/>
                <w:sz w:val="24"/>
              </w:rPr>
              <w:t>类型：</w:t>
            </w:r>
            <w:r>
              <w:rPr>
                <w:rFonts w:hint="default" w:ascii="Times New Roman" w:eastAsia="宋体"/>
                <w:sz w:val="24"/>
              </w:rPr>
              <w:t>中型（Ⅲ类）垃圾转运站</w:t>
            </w:r>
          </w:p>
          <w:p w14:paraId="377DD5DD">
            <w:pPr>
              <w:pStyle w:val="22"/>
              <w:wordWrap w:val="0"/>
              <w:spacing w:line="360" w:lineRule="auto"/>
              <w:ind w:firstLine="482"/>
              <w:jc w:val="both"/>
              <w:rPr>
                <w:rFonts w:hint="default" w:ascii="Times New Roman" w:eastAsia="宋体"/>
                <w:sz w:val="24"/>
              </w:rPr>
            </w:pPr>
            <w:r>
              <w:rPr>
                <w:rFonts w:hint="default" w:ascii="Times New Roman" w:eastAsia="宋体"/>
                <w:b/>
                <w:bCs w:val="0"/>
                <w:sz w:val="24"/>
              </w:rPr>
              <w:t>服务年限：</w:t>
            </w:r>
            <w:r>
              <w:rPr>
                <w:rFonts w:hint="default" w:ascii="Times New Roman" w:eastAsia="宋体"/>
                <w:sz w:val="24"/>
              </w:rPr>
              <w:t>2026</w:t>
            </w:r>
            <w:r>
              <w:rPr>
                <w:rFonts w:hint="eastAsia" w:ascii="Times New Roman" w:eastAsia="宋体"/>
                <w:sz w:val="24"/>
                <w:lang w:eastAsia="zh-CN"/>
              </w:rPr>
              <w:t>—</w:t>
            </w:r>
            <w:r>
              <w:rPr>
                <w:rFonts w:hint="default" w:ascii="Times New Roman" w:eastAsia="宋体"/>
                <w:sz w:val="24"/>
              </w:rPr>
              <w:t>2041年（共15年）</w:t>
            </w:r>
          </w:p>
          <w:p w14:paraId="71823E39">
            <w:pPr>
              <w:pStyle w:val="22"/>
              <w:wordWrap w:val="0"/>
              <w:spacing w:line="360" w:lineRule="auto"/>
              <w:ind w:firstLine="482"/>
              <w:jc w:val="both"/>
              <w:rPr>
                <w:rFonts w:hint="default" w:ascii="Times New Roman" w:eastAsia="宋体"/>
                <w:sz w:val="24"/>
              </w:rPr>
            </w:pPr>
            <w:r>
              <w:rPr>
                <w:rFonts w:ascii="Times New Roman" w:eastAsia="宋体"/>
                <w:b/>
                <w:bCs w:val="0"/>
                <w:sz w:val="24"/>
              </w:rPr>
              <w:t>垃圾来源：</w:t>
            </w:r>
            <w:r>
              <w:rPr>
                <w:rFonts w:ascii="Times New Roman" w:eastAsia="宋体"/>
                <w:sz w:val="24"/>
              </w:rPr>
              <w:t>西南职教片区城镇居民生活垃圾</w:t>
            </w:r>
          </w:p>
          <w:p w14:paraId="14BC857E">
            <w:pPr>
              <w:pStyle w:val="22"/>
              <w:wordWrap w:val="0"/>
              <w:spacing w:line="360" w:lineRule="auto"/>
              <w:ind w:firstLine="482"/>
              <w:jc w:val="both"/>
              <w:rPr>
                <w:rFonts w:hint="default" w:ascii="Times New Roman" w:eastAsia="宋体"/>
                <w:sz w:val="24"/>
              </w:rPr>
            </w:pPr>
            <w:r>
              <w:rPr>
                <w:rFonts w:ascii="Times New Roman" w:eastAsia="宋体"/>
                <w:b/>
                <w:bCs w:val="0"/>
                <w:sz w:val="24"/>
              </w:rPr>
              <w:t>垃圾种类及处置去向：</w:t>
            </w:r>
            <w:r>
              <w:rPr>
                <w:rFonts w:hint="default" w:ascii="Times New Roman" w:eastAsia="宋体"/>
                <w:sz w:val="24"/>
              </w:rPr>
              <w:t>根据建设单位提供的资料，本项目收运的生活垃圾</w:t>
            </w:r>
            <w:r>
              <w:rPr>
                <w:rFonts w:ascii="Times New Roman" w:eastAsia="宋体"/>
                <w:sz w:val="24"/>
              </w:rPr>
              <w:t>经压缩后</w:t>
            </w:r>
            <w:r>
              <w:rPr>
                <w:rFonts w:hint="default" w:ascii="Times New Roman" w:eastAsia="宋体"/>
                <w:sz w:val="24"/>
              </w:rPr>
              <w:t>运至</w:t>
            </w:r>
            <w:r>
              <w:rPr>
                <w:rFonts w:ascii="Times New Roman" w:eastAsia="宋体"/>
                <w:sz w:val="24"/>
              </w:rPr>
              <w:t>达州市生活垃圾焚烧发电厂</w:t>
            </w:r>
            <w:r>
              <w:rPr>
                <w:rFonts w:hint="default" w:ascii="Times New Roman" w:eastAsia="宋体"/>
                <w:sz w:val="24"/>
              </w:rPr>
              <w:t>进行最终处置</w:t>
            </w:r>
            <w:r>
              <w:rPr>
                <w:rFonts w:ascii="Times New Roman" w:eastAsia="宋体"/>
                <w:sz w:val="24"/>
              </w:rPr>
              <w:t>，渗滤液经过污水处理车间处理后接入市政污水管网。</w:t>
            </w:r>
          </w:p>
          <w:p w14:paraId="59EAD09E">
            <w:pPr>
              <w:pStyle w:val="22"/>
              <w:wordWrap w:val="0"/>
              <w:spacing w:line="360" w:lineRule="auto"/>
              <w:ind w:firstLine="480"/>
              <w:jc w:val="both"/>
            </w:pPr>
            <w:r>
              <w:rPr>
                <w:rFonts w:ascii="Times New Roman" w:eastAsia="宋体"/>
                <w:sz w:val="24"/>
              </w:rPr>
              <w:t>达州市生活垃圾焚烧发电厂位于四川省达州市通川区复兴镇九龙村五组505号，规模为日处理生活垃圾1050吨（3×350吨/日），总装机容量为2×12MW。其中：一期工程为日处理生活垃圾700吨（2×350吨/日），装机容量为1×12MW。一期工程总投资41932.47万元，于2010年10月开工建设，2012年11月建成并网发电。</w:t>
            </w:r>
          </w:p>
          <w:p w14:paraId="2B1AA854">
            <w:pPr>
              <w:ind w:firstLine="482" w:firstLineChars="200"/>
              <w:rPr>
                <w:bCs/>
                <w:sz w:val="24"/>
              </w:rPr>
            </w:pPr>
            <w:r>
              <w:rPr>
                <w:rFonts w:hint="eastAsia"/>
                <w:b/>
                <w:sz w:val="24"/>
              </w:rPr>
              <w:t>环评要求：</w:t>
            </w:r>
            <w:r>
              <w:rPr>
                <w:rFonts w:hint="eastAsia"/>
                <w:bCs/>
                <w:sz w:val="24"/>
              </w:rPr>
              <w:t>本项目建成后不可收集转运医疗废物、危险废物等有毒有害垃圾。</w:t>
            </w:r>
          </w:p>
          <w:p w14:paraId="38B8604E">
            <w:pPr>
              <w:spacing w:line="360" w:lineRule="auto"/>
              <w:ind w:firstLine="518" w:firstLineChars="215"/>
              <w:rPr>
                <w:bCs/>
                <w:sz w:val="24"/>
              </w:rPr>
            </w:pPr>
            <w:r>
              <w:rPr>
                <w:rFonts w:hint="eastAsia"/>
                <w:b/>
                <w:sz w:val="24"/>
              </w:rPr>
              <w:t>3、</w:t>
            </w:r>
            <w:r>
              <w:rPr>
                <w:b/>
                <w:sz w:val="24"/>
              </w:rPr>
              <w:t>建设内容</w:t>
            </w:r>
            <w:r>
              <w:rPr>
                <w:rFonts w:hint="eastAsia"/>
                <w:b/>
                <w:sz w:val="24"/>
              </w:rPr>
              <w:t>及规模</w:t>
            </w:r>
          </w:p>
          <w:p w14:paraId="1453563F">
            <w:pPr>
              <w:pStyle w:val="11"/>
              <w:spacing w:before="0" w:after="0" w:line="360" w:lineRule="auto"/>
              <w:ind w:firstLine="480" w:firstLineChars="200"/>
              <w:rPr>
                <w:bCs/>
                <w:kern w:val="2"/>
                <w:sz w:val="24"/>
                <w:szCs w:val="24"/>
                <w:lang w:val="en-GB"/>
              </w:rPr>
            </w:pPr>
            <w:r>
              <w:rPr>
                <w:bCs/>
                <w:kern w:val="2"/>
                <w:sz w:val="24"/>
                <w:szCs w:val="24"/>
                <w:lang w:val="en-GB"/>
              </w:rPr>
              <w:t>本项目总用地规模9.12亩，新建建筑1896.86平方米，其中垃圾站房1197.40平方米，维保房91.65平方米，生产管理用房264.29平方米，值班室10.24平方米，地下过滤池200平方米，垃圾站房卸料平台133.28平方米。购置安装压缩设备、除尘除臭消毒系统、渗滤液处理系统等</w:t>
            </w:r>
            <w:r>
              <w:rPr>
                <w:rFonts w:hint="eastAsia"/>
                <w:bCs/>
                <w:kern w:val="2"/>
                <w:sz w:val="24"/>
                <w:szCs w:val="24"/>
                <w:lang w:val="en-GB"/>
              </w:rPr>
              <w:t>；</w:t>
            </w:r>
            <w:r>
              <w:rPr>
                <w:bCs/>
                <w:kern w:val="2"/>
                <w:sz w:val="24"/>
                <w:szCs w:val="24"/>
                <w:lang w:val="en-GB"/>
              </w:rPr>
              <w:t>新建厂区道路、挡土墙、地下管线、围墙、绿化、变配电、安防等配套设施。</w:t>
            </w:r>
          </w:p>
          <w:p w14:paraId="5C20746B">
            <w:pPr>
              <w:pStyle w:val="11"/>
              <w:spacing w:before="0" w:after="0" w:line="360" w:lineRule="auto"/>
              <w:ind w:firstLine="480" w:firstLineChars="200"/>
              <w:rPr>
                <w:sz w:val="24"/>
                <w:szCs w:val="24"/>
              </w:rPr>
            </w:pPr>
            <w:r>
              <w:rPr>
                <w:rFonts w:hint="eastAsia"/>
                <w:bCs/>
                <w:kern w:val="2"/>
                <w:sz w:val="24"/>
                <w:szCs w:val="24"/>
                <w:lang w:val="en-GB"/>
              </w:rPr>
              <w:t>项目建成后，达到日转运能力为240t/d 的中型垃圾转运站。</w:t>
            </w:r>
            <w:r>
              <w:rPr>
                <w:rFonts w:hint="eastAsia"/>
                <w:sz w:val="24"/>
                <w:szCs w:val="24"/>
              </w:rPr>
              <w:t>项目组成及主要环境问题见下表所示。</w:t>
            </w:r>
          </w:p>
          <w:p w14:paraId="641F1C4A">
            <w:pPr>
              <w:jc w:val="center"/>
              <w:rPr>
                <w:b/>
                <w:bCs/>
                <w:szCs w:val="21"/>
              </w:rPr>
            </w:pPr>
            <w:r>
              <w:rPr>
                <w:rFonts w:hint="eastAsia"/>
                <w:b/>
                <w:bCs/>
                <w:szCs w:val="21"/>
              </w:rPr>
              <w:t>表2-1  项目组成及主要环境问题一览表</w:t>
            </w:r>
          </w:p>
          <w:tbl>
            <w:tblPr>
              <w:tblStyle w:val="27"/>
              <w:tblW w:w="841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01"/>
              <w:gridCol w:w="885"/>
              <w:gridCol w:w="4335"/>
              <w:gridCol w:w="975"/>
              <w:gridCol w:w="975"/>
              <w:gridCol w:w="645"/>
            </w:tblGrid>
            <w:tr w14:paraId="2434BC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tblHeader/>
                <w:jc w:val="center"/>
              </w:trPr>
              <w:tc>
                <w:tcPr>
                  <w:tcW w:w="601" w:type="dxa"/>
                  <w:vMerge w:val="restart"/>
                  <w:tcBorders>
                    <w:tl2br w:val="nil"/>
                    <w:tr2bl w:val="nil"/>
                  </w:tcBorders>
                  <w:vAlign w:val="center"/>
                </w:tcPr>
                <w:p w14:paraId="188D208C">
                  <w:pPr>
                    <w:jc w:val="center"/>
                    <w:rPr>
                      <w:b/>
                      <w:szCs w:val="21"/>
                    </w:rPr>
                  </w:pPr>
                  <w:r>
                    <w:rPr>
                      <w:rFonts w:hint="eastAsia"/>
                      <w:b/>
                      <w:szCs w:val="21"/>
                    </w:rPr>
                    <w:t>类别</w:t>
                  </w:r>
                </w:p>
              </w:tc>
              <w:tc>
                <w:tcPr>
                  <w:tcW w:w="885" w:type="dxa"/>
                  <w:vMerge w:val="restart"/>
                  <w:tcBorders>
                    <w:tl2br w:val="nil"/>
                    <w:tr2bl w:val="nil"/>
                  </w:tcBorders>
                  <w:vAlign w:val="center"/>
                </w:tcPr>
                <w:p w14:paraId="79265048">
                  <w:pPr>
                    <w:jc w:val="center"/>
                    <w:rPr>
                      <w:b/>
                      <w:szCs w:val="21"/>
                    </w:rPr>
                  </w:pPr>
                  <w:r>
                    <w:rPr>
                      <w:rFonts w:hint="eastAsia"/>
                      <w:b/>
                      <w:szCs w:val="21"/>
                    </w:rPr>
                    <w:t>项目名称</w:t>
                  </w:r>
                </w:p>
              </w:tc>
              <w:tc>
                <w:tcPr>
                  <w:tcW w:w="4335" w:type="dxa"/>
                  <w:vMerge w:val="restart"/>
                  <w:tcBorders>
                    <w:tl2br w:val="nil"/>
                    <w:tr2bl w:val="nil"/>
                  </w:tcBorders>
                  <w:vAlign w:val="center"/>
                </w:tcPr>
                <w:p w14:paraId="4DE2C78D">
                  <w:pPr>
                    <w:jc w:val="center"/>
                    <w:rPr>
                      <w:b/>
                      <w:szCs w:val="21"/>
                    </w:rPr>
                  </w:pPr>
                  <w:r>
                    <w:rPr>
                      <w:rFonts w:hint="eastAsia"/>
                      <w:b/>
                      <w:szCs w:val="21"/>
                    </w:rPr>
                    <w:t>建设内容及规模</w:t>
                  </w:r>
                </w:p>
              </w:tc>
              <w:tc>
                <w:tcPr>
                  <w:tcW w:w="1950" w:type="dxa"/>
                  <w:gridSpan w:val="2"/>
                  <w:tcBorders>
                    <w:tl2br w:val="nil"/>
                    <w:tr2bl w:val="nil"/>
                  </w:tcBorders>
                  <w:vAlign w:val="center"/>
                </w:tcPr>
                <w:p w14:paraId="100E4D8F">
                  <w:pPr>
                    <w:jc w:val="center"/>
                    <w:rPr>
                      <w:b/>
                      <w:szCs w:val="21"/>
                    </w:rPr>
                  </w:pPr>
                  <w:r>
                    <w:rPr>
                      <w:rFonts w:hint="eastAsia"/>
                      <w:b/>
                      <w:szCs w:val="21"/>
                    </w:rPr>
                    <w:t>可能产生的环境问题</w:t>
                  </w:r>
                </w:p>
              </w:tc>
              <w:tc>
                <w:tcPr>
                  <w:tcW w:w="645" w:type="dxa"/>
                  <w:vMerge w:val="restart"/>
                  <w:tcBorders>
                    <w:tl2br w:val="nil"/>
                    <w:tr2bl w:val="nil"/>
                  </w:tcBorders>
                  <w:vAlign w:val="center"/>
                </w:tcPr>
                <w:p w14:paraId="0FC2188E">
                  <w:pPr>
                    <w:jc w:val="center"/>
                    <w:rPr>
                      <w:b/>
                      <w:szCs w:val="21"/>
                    </w:rPr>
                  </w:pPr>
                  <w:r>
                    <w:rPr>
                      <w:rFonts w:hint="eastAsia"/>
                      <w:b/>
                      <w:szCs w:val="21"/>
                    </w:rPr>
                    <w:t>备注</w:t>
                  </w:r>
                </w:p>
              </w:tc>
            </w:tr>
            <w:tr w14:paraId="1F3BEA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16306E31">
                  <w:pPr>
                    <w:widowControl/>
                    <w:jc w:val="center"/>
                    <w:rPr>
                      <w:szCs w:val="21"/>
                    </w:rPr>
                  </w:pPr>
                </w:p>
              </w:tc>
              <w:tc>
                <w:tcPr>
                  <w:tcW w:w="885" w:type="dxa"/>
                  <w:vMerge w:val="continue"/>
                  <w:tcBorders>
                    <w:tl2br w:val="nil"/>
                    <w:tr2bl w:val="nil"/>
                  </w:tcBorders>
                  <w:vAlign w:val="center"/>
                </w:tcPr>
                <w:p w14:paraId="5B0012A9">
                  <w:pPr>
                    <w:widowControl/>
                    <w:jc w:val="center"/>
                    <w:rPr>
                      <w:szCs w:val="21"/>
                    </w:rPr>
                  </w:pPr>
                </w:p>
              </w:tc>
              <w:tc>
                <w:tcPr>
                  <w:tcW w:w="4335" w:type="dxa"/>
                  <w:vMerge w:val="continue"/>
                  <w:tcBorders>
                    <w:tl2br w:val="nil"/>
                    <w:tr2bl w:val="nil"/>
                  </w:tcBorders>
                  <w:vAlign w:val="center"/>
                </w:tcPr>
                <w:p w14:paraId="2CD8B476">
                  <w:pPr>
                    <w:widowControl/>
                    <w:jc w:val="center"/>
                    <w:rPr>
                      <w:szCs w:val="21"/>
                    </w:rPr>
                  </w:pPr>
                </w:p>
              </w:tc>
              <w:tc>
                <w:tcPr>
                  <w:tcW w:w="975" w:type="dxa"/>
                  <w:tcBorders>
                    <w:tl2br w:val="nil"/>
                    <w:tr2bl w:val="nil"/>
                  </w:tcBorders>
                  <w:vAlign w:val="center"/>
                </w:tcPr>
                <w:p w14:paraId="108FEF42">
                  <w:pPr>
                    <w:widowControl/>
                    <w:jc w:val="center"/>
                    <w:rPr>
                      <w:b/>
                      <w:bCs/>
                      <w:szCs w:val="21"/>
                    </w:rPr>
                  </w:pPr>
                  <w:r>
                    <w:rPr>
                      <w:rFonts w:hint="eastAsia"/>
                      <w:b/>
                      <w:bCs/>
                      <w:szCs w:val="21"/>
                    </w:rPr>
                    <w:t>施工期</w:t>
                  </w:r>
                </w:p>
              </w:tc>
              <w:tc>
                <w:tcPr>
                  <w:tcW w:w="975" w:type="dxa"/>
                  <w:tcBorders>
                    <w:tl2br w:val="nil"/>
                    <w:tr2bl w:val="nil"/>
                  </w:tcBorders>
                  <w:vAlign w:val="center"/>
                </w:tcPr>
                <w:p w14:paraId="7CDA6906">
                  <w:pPr>
                    <w:widowControl/>
                    <w:jc w:val="center"/>
                    <w:rPr>
                      <w:b/>
                      <w:bCs/>
                      <w:szCs w:val="21"/>
                    </w:rPr>
                  </w:pPr>
                  <w:r>
                    <w:rPr>
                      <w:rFonts w:hint="eastAsia"/>
                      <w:b/>
                      <w:bCs/>
                      <w:szCs w:val="21"/>
                    </w:rPr>
                    <w:t>营运期</w:t>
                  </w:r>
                </w:p>
              </w:tc>
              <w:tc>
                <w:tcPr>
                  <w:tcW w:w="645" w:type="dxa"/>
                  <w:vMerge w:val="continue"/>
                  <w:tcBorders>
                    <w:tl2br w:val="nil"/>
                    <w:tr2bl w:val="nil"/>
                  </w:tcBorders>
                  <w:vAlign w:val="center"/>
                </w:tcPr>
                <w:p w14:paraId="61FC1845">
                  <w:pPr>
                    <w:widowControl/>
                    <w:jc w:val="center"/>
                    <w:rPr>
                      <w:szCs w:val="21"/>
                    </w:rPr>
                  </w:pPr>
                </w:p>
              </w:tc>
            </w:tr>
            <w:tr w14:paraId="6EA44E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tcBorders>
                    <w:tl2br w:val="nil"/>
                    <w:tr2bl w:val="nil"/>
                  </w:tcBorders>
                  <w:vAlign w:val="center"/>
                </w:tcPr>
                <w:p w14:paraId="5890DBE2">
                  <w:pPr>
                    <w:widowControl/>
                    <w:jc w:val="center"/>
                    <w:rPr>
                      <w:szCs w:val="21"/>
                    </w:rPr>
                  </w:pPr>
                  <w:r>
                    <w:rPr>
                      <w:rFonts w:hint="eastAsia"/>
                      <w:szCs w:val="21"/>
                    </w:rPr>
                    <w:t>主体工程</w:t>
                  </w:r>
                </w:p>
              </w:tc>
              <w:tc>
                <w:tcPr>
                  <w:tcW w:w="885" w:type="dxa"/>
                  <w:tcBorders>
                    <w:tl2br w:val="nil"/>
                    <w:tr2bl w:val="nil"/>
                  </w:tcBorders>
                  <w:vAlign w:val="center"/>
                </w:tcPr>
                <w:p w14:paraId="48505148">
                  <w:pPr>
                    <w:widowControl/>
                    <w:jc w:val="center"/>
                    <w:rPr>
                      <w:szCs w:val="21"/>
                    </w:rPr>
                  </w:pPr>
                  <w:r>
                    <w:rPr>
                      <w:rFonts w:hint="eastAsia"/>
                      <w:szCs w:val="21"/>
                    </w:rPr>
                    <w:t>垃圾站房</w:t>
                  </w:r>
                </w:p>
              </w:tc>
              <w:tc>
                <w:tcPr>
                  <w:tcW w:w="4335" w:type="dxa"/>
                  <w:tcBorders>
                    <w:tl2br w:val="nil"/>
                    <w:tr2bl w:val="nil"/>
                  </w:tcBorders>
                  <w:vAlign w:val="center"/>
                </w:tcPr>
                <w:p w14:paraId="4C4B0B60">
                  <w:pPr>
                    <w:widowControl/>
                    <w:jc w:val="left"/>
                    <w:rPr>
                      <w:spacing w:val="-3"/>
                      <w:szCs w:val="21"/>
                    </w:rPr>
                  </w:pPr>
                  <w:r>
                    <w:rPr>
                      <w:rFonts w:hint="eastAsia"/>
                      <w:spacing w:val="-3"/>
                      <w:szCs w:val="21"/>
                    </w:rPr>
                    <w:t>一层建筑：框架结构，面积</w:t>
                  </w:r>
                  <w:r>
                    <w:rPr>
                      <w:spacing w:val="-3"/>
                      <w:szCs w:val="21"/>
                    </w:rPr>
                    <w:t>553.24m</w:t>
                  </w:r>
                  <w:r>
                    <w:rPr>
                      <w:spacing w:val="-3"/>
                      <w:szCs w:val="21"/>
                      <w:vertAlign w:val="superscript"/>
                    </w:rPr>
                    <w:t>2</w:t>
                  </w:r>
                  <w:r>
                    <w:rPr>
                      <w:rFonts w:hint="eastAsia"/>
                      <w:spacing w:val="-3"/>
                      <w:szCs w:val="21"/>
                    </w:rPr>
                    <w:t>，层高6.6m，夹层面积</w:t>
                  </w:r>
                  <w:r>
                    <w:rPr>
                      <w:spacing w:val="-3"/>
                      <w:szCs w:val="21"/>
                    </w:rPr>
                    <w:t>71.86m</w:t>
                  </w:r>
                  <w:r>
                    <w:rPr>
                      <w:spacing w:val="-3"/>
                      <w:szCs w:val="21"/>
                      <w:vertAlign w:val="superscript"/>
                    </w:rPr>
                    <w:t>2</w:t>
                  </w:r>
                  <w:r>
                    <w:rPr>
                      <w:rFonts w:hint="eastAsia"/>
                      <w:spacing w:val="-3"/>
                      <w:szCs w:val="21"/>
                    </w:rPr>
                    <w:t>，布置压缩车间、楼梯间、配电间、发电机室；一层夹层设置中控室；采用水平式压缩工艺，设置3套水平式压缩设备，含压缩主机装置、垃圾压缩集装箱、压缩机液压系统、电控系统等。</w:t>
                  </w:r>
                </w:p>
                <w:p w14:paraId="76004201">
                  <w:pPr>
                    <w:widowControl/>
                    <w:jc w:val="left"/>
                    <w:rPr>
                      <w:szCs w:val="21"/>
                    </w:rPr>
                  </w:pPr>
                  <w:r>
                    <w:rPr>
                      <w:rFonts w:hint="eastAsia"/>
                      <w:spacing w:val="-3"/>
                      <w:szCs w:val="21"/>
                    </w:rPr>
                    <w:t>二层建筑：框架结构，面积572.30m</w:t>
                  </w:r>
                  <w:r>
                    <w:rPr>
                      <w:rFonts w:hint="eastAsia"/>
                      <w:spacing w:val="-3"/>
                      <w:szCs w:val="21"/>
                      <w:vertAlign w:val="superscript"/>
                    </w:rPr>
                    <w:t>2</w:t>
                  </w:r>
                  <w:r>
                    <w:rPr>
                      <w:rFonts w:hint="eastAsia"/>
                      <w:spacing w:val="-3"/>
                      <w:szCs w:val="21"/>
                    </w:rPr>
                    <w:t>，层高6.6m设置卸料平台、除尘除臭车间、休息室、易耗品库房、除臭液储存间、工具间、通道等。</w:t>
                  </w:r>
                </w:p>
              </w:tc>
              <w:tc>
                <w:tcPr>
                  <w:tcW w:w="975" w:type="dxa"/>
                  <w:vMerge w:val="restart"/>
                  <w:tcBorders>
                    <w:tl2br w:val="nil"/>
                    <w:tr2bl w:val="nil"/>
                  </w:tcBorders>
                  <w:vAlign w:val="center"/>
                </w:tcPr>
                <w:p w14:paraId="02F1224B">
                  <w:pPr>
                    <w:pStyle w:val="26"/>
                    <w:spacing w:after="0"/>
                    <w:ind w:left="0" w:leftChars="0" w:firstLine="0"/>
                    <w:jc w:val="center"/>
                    <w:rPr>
                      <w:szCs w:val="21"/>
                    </w:rPr>
                  </w:pPr>
                  <w:r>
                    <w:rPr>
                      <w:szCs w:val="21"/>
                    </w:rPr>
                    <w:t>施工扬尘</w:t>
                  </w:r>
                </w:p>
                <w:p w14:paraId="77BD4985">
                  <w:pPr>
                    <w:pStyle w:val="26"/>
                    <w:spacing w:after="0"/>
                    <w:ind w:left="0" w:leftChars="0" w:firstLine="0"/>
                    <w:jc w:val="center"/>
                    <w:rPr>
                      <w:szCs w:val="21"/>
                    </w:rPr>
                  </w:pPr>
                  <w:r>
                    <w:rPr>
                      <w:szCs w:val="21"/>
                    </w:rPr>
                    <w:t>施工噪声</w:t>
                  </w:r>
                </w:p>
                <w:p w14:paraId="33BA6EF4">
                  <w:pPr>
                    <w:pStyle w:val="26"/>
                    <w:spacing w:after="0"/>
                    <w:ind w:left="0" w:leftChars="0" w:firstLine="0"/>
                    <w:jc w:val="center"/>
                    <w:rPr>
                      <w:szCs w:val="21"/>
                    </w:rPr>
                  </w:pPr>
                  <w:r>
                    <w:rPr>
                      <w:szCs w:val="21"/>
                    </w:rPr>
                    <w:t>施工弃渣</w:t>
                  </w:r>
                </w:p>
                <w:p w14:paraId="123F45F5">
                  <w:pPr>
                    <w:widowControl/>
                    <w:jc w:val="center"/>
                    <w:rPr>
                      <w:szCs w:val="21"/>
                    </w:rPr>
                  </w:pPr>
                  <w:r>
                    <w:rPr>
                      <w:szCs w:val="21"/>
                    </w:rPr>
                    <w:t>施工废水</w:t>
                  </w:r>
                  <w:r>
                    <w:rPr>
                      <w:rFonts w:hint="eastAsia"/>
                      <w:szCs w:val="21"/>
                    </w:rPr>
                    <w:t>水土流失植被破坏</w:t>
                  </w:r>
                </w:p>
              </w:tc>
              <w:tc>
                <w:tcPr>
                  <w:tcW w:w="975" w:type="dxa"/>
                  <w:tcBorders>
                    <w:tl2br w:val="nil"/>
                    <w:tr2bl w:val="nil"/>
                  </w:tcBorders>
                  <w:vAlign w:val="center"/>
                </w:tcPr>
                <w:p w14:paraId="206B8E24">
                  <w:pPr>
                    <w:widowControl/>
                    <w:jc w:val="center"/>
                    <w:rPr>
                      <w:szCs w:val="21"/>
                    </w:rPr>
                  </w:pPr>
                  <w:r>
                    <w:rPr>
                      <w:rFonts w:hint="eastAsia" w:ascii="宋体" w:hAnsi="宋体" w:cs="宋体"/>
                      <w:color w:val="000000"/>
                      <w:kern w:val="0"/>
                      <w:szCs w:val="21"/>
                      <w:lang w:bidi="ar"/>
                    </w:rPr>
                    <w:t>恶臭、粉尘、噪声、废水、固废</w:t>
                  </w:r>
                </w:p>
              </w:tc>
              <w:tc>
                <w:tcPr>
                  <w:tcW w:w="645" w:type="dxa"/>
                  <w:tcBorders>
                    <w:tl2br w:val="nil"/>
                    <w:tr2bl w:val="nil"/>
                  </w:tcBorders>
                  <w:vAlign w:val="center"/>
                </w:tcPr>
                <w:p w14:paraId="5938AF27">
                  <w:pPr>
                    <w:widowControl/>
                    <w:jc w:val="center"/>
                    <w:rPr>
                      <w:szCs w:val="21"/>
                    </w:rPr>
                  </w:pPr>
                  <w:r>
                    <w:rPr>
                      <w:rFonts w:hint="eastAsia"/>
                      <w:szCs w:val="21"/>
                    </w:rPr>
                    <w:t>新建</w:t>
                  </w:r>
                </w:p>
              </w:tc>
            </w:tr>
            <w:tr w14:paraId="4AA98C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vAlign w:val="center"/>
                </w:tcPr>
                <w:p w14:paraId="3059BF7E">
                  <w:pPr>
                    <w:widowControl/>
                    <w:jc w:val="center"/>
                    <w:rPr>
                      <w:szCs w:val="21"/>
                    </w:rPr>
                  </w:pPr>
                  <w:r>
                    <w:t>辅助工程</w:t>
                  </w:r>
                </w:p>
              </w:tc>
              <w:tc>
                <w:tcPr>
                  <w:tcW w:w="885" w:type="dxa"/>
                  <w:tcBorders>
                    <w:tl2br w:val="nil"/>
                    <w:tr2bl w:val="nil"/>
                  </w:tcBorders>
                  <w:vAlign w:val="center"/>
                </w:tcPr>
                <w:p w14:paraId="7E141611">
                  <w:pPr>
                    <w:widowControl/>
                    <w:jc w:val="center"/>
                    <w:rPr>
                      <w:szCs w:val="21"/>
                    </w:rPr>
                  </w:pPr>
                  <w:r>
                    <w:rPr>
                      <w:rFonts w:hint="eastAsia"/>
                      <w:szCs w:val="21"/>
                    </w:rPr>
                    <w:t>维保房</w:t>
                  </w:r>
                </w:p>
              </w:tc>
              <w:tc>
                <w:tcPr>
                  <w:tcW w:w="4335" w:type="dxa"/>
                  <w:tcBorders>
                    <w:tl2br w:val="nil"/>
                    <w:tr2bl w:val="nil"/>
                  </w:tcBorders>
                  <w:vAlign w:val="center"/>
                </w:tcPr>
                <w:p w14:paraId="639F8D73">
                  <w:pPr>
                    <w:rPr>
                      <w:szCs w:val="21"/>
                    </w:rPr>
                  </w:pPr>
                  <w:r>
                    <w:rPr>
                      <w:rFonts w:hint="eastAsia"/>
                      <w:szCs w:val="21"/>
                    </w:rPr>
                    <w:t>框架结构，</w:t>
                  </w:r>
                  <w:r>
                    <w:rPr>
                      <w:rFonts w:hint="eastAsia"/>
                      <w:spacing w:val="-3"/>
                      <w:szCs w:val="21"/>
                    </w:rPr>
                    <w:t>面积91.8m</w:t>
                  </w:r>
                  <w:r>
                    <w:rPr>
                      <w:rFonts w:hint="eastAsia"/>
                      <w:spacing w:val="-3"/>
                      <w:szCs w:val="21"/>
                      <w:vertAlign w:val="superscript"/>
                    </w:rPr>
                    <w:t>2</w:t>
                  </w:r>
                  <w:r>
                    <w:rPr>
                      <w:rFonts w:hint="eastAsia"/>
                      <w:spacing w:val="-3"/>
                      <w:szCs w:val="21"/>
                    </w:rPr>
                    <w:t>，</w:t>
                  </w:r>
                  <w:r>
                    <w:rPr>
                      <w:rFonts w:hint="eastAsia"/>
                      <w:szCs w:val="21"/>
                    </w:rPr>
                    <w:t>1F，层高6.6m。设置洗车间、机修车间、危废暂存间、一般固废暂存间等。</w:t>
                  </w:r>
                </w:p>
              </w:tc>
              <w:tc>
                <w:tcPr>
                  <w:tcW w:w="975" w:type="dxa"/>
                  <w:vMerge w:val="continue"/>
                  <w:tcBorders>
                    <w:tl2br w:val="nil"/>
                    <w:tr2bl w:val="nil"/>
                  </w:tcBorders>
                  <w:vAlign w:val="center"/>
                </w:tcPr>
                <w:p w14:paraId="7B02579B">
                  <w:pPr>
                    <w:widowControl/>
                    <w:jc w:val="center"/>
                    <w:rPr>
                      <w:szCs w:val="21"/>
                    </w:rPr>
                  </w:pPr>
                </w:p>
              </w:tc>
              <w:tc>
                <w:tcPr>
                  <w:tcW w:w="975" w:type="dxa"/>
                  <w:tcBorders>
                    <w:tl2br w:val="nil"/>
                    <w:tr2bl w:val="nil"/>
                  </w:tcBorders>
                  <w:vAlign w:val="center"/>
                </w:tcPr>
                <w:p w14:paraId="23E7C58E">
                  <w:pPr>
                    <w:widowControl/>
                    <w:jc w:val="center"/>
                  </w:pPr>
                  <w:r>
                    <w:rPr>
                      <w:rFonts w:hint="eastAsia" w:ascii="宋体" w:hAnsi="宋体" w:cs="宋体"/>
                      <w:color w:val="000000"/>
                      <w:kern w:val="0"/>
                      <w:szCs w:val="21"/>
                      <w:lang w:bidi="ar"/>
                    </w:rPr>
                    <w:t>废水、固废</w:t>
                  </w:r>
                </w:p>
              </w:tc>
              <w:tc>
                <w:tcPr>
                  <w:tcW w:w="645" w:type="dxa"/>
                  <w:tcBorders>
                    <w:tl2br w:val="nil"/>
                    <w:tr2bl w:val="nil"/>
                  </w:tcBorders>
                  <w:vAlign w:val="center"/>
                </w:tcPr>
                <w:p w14:paraId="0D928FF6">
                  <w:pPr>
                    <w:widowControl/>
                    <w:jc w:val="center"/>
                    <w:rPr>
                      <w:szCs w:val="21"/>
                    </w:rPr>
                  </w:pPr>
                  <w:r>
                    <w:rPr>
                      <w:rFonts w:hint="eastAsia"/>
                      <w:szCs w:val="21"/>
                    </w:rPr>
                    <w:t>新建</w:t>
                  </w:r>
                </w:p>
              </w:tc>
            </w:tr>
            <w:tr w14:paraId="351D58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6589D7C0">
                  <w:pPr>
                    <w:widowControl/>
                    <w:jc w:val="center"/>
                  </w:pPr>
                </w:p>
              </w:tc>
              <w:tc>
                <w:tcPr>
                  <w:tcW w:w="885" w:type="dxa"/>
                  <w:tcBorders>
                    <w:tl2br w:val="nil"/>
                    <w:tr2bl w:val="nil"/>
                  </w:tcBorders>
                  <w:vAlign w:val="center"/>
                </w:tcPr>
                <w:p w14:paraId="7426C274">
                  <w:pPr>
                    <w:widowControl/>
                    <w:jc w:val="center"/>
                    <w:rPr>
                      <w:szCs w:val="21"/>
                    </w:rPr>
                  </w:pPr>
                  <w:r>
                    <w:rPr>
                      <w:rFonts w:hint="eastAsia"/>
                      <w:szCs w:val="21"/>
                    </w:rPr>
                    <w:t>生产管理用房</w:t>
                  </w:r>
                </w:p>
              </w:tc>
              <w:tc>
                <w:tcPr>
                  <w:tcW w:w="4335" w:type="dxa"/>
                  <w:tcBorders>
                    <w:tl2br w:val="nil"/>
                    <w:tr2bl w:val="nil"/>
                  </w:tcBorders>
                  <w:vAlign w:val="center"/>
                </w:tcPr>
                <w:p w14:paraId="0DFED6F4">
                  <w:pPr>
                    <w:rPr>
                      <w:szCs w:val="21"/>
                    </w:rPr>
                  </w:pPr>
                  <w:r>
                    <w:rPr>
                      <w:rFonts w:hint="eastAsia"/>
                      <w:szCs w:val="21"/>
                    </w:rPr>
                    <w:t>框架结构，</w:t>
                  </w:r>
                  <w:r>
                    <w:rPr>
                      <w:rFonts w:hint="eastAsia"/>
                      <w:spacing w:val="-3"/>
                      <w:szCs w:val="21"/>
                    </w:rPr>
                    <w:t>面积264.9m</w:t>
                  </w:r>
                  <w:r>
                    <w:rPr>
                      <w:rFonts w:hint="eastAsia"/>
                      <w:spacing w:val="-3"/>
                      <w:szCs w:val="21"/>
                      <w:vertAlign w:val="superscript"/>
                    </w:rPr>
                    <w:t>2</w:t>
                  </w:r>
                  <w:r>
                    <w:rPr>
                      <w:rFonts w:hint="eastAsia"/>
                      <w:spacing w:val="-3"/>
                      <w:szCs w:val="21"/>
                    </w:rPr>
                    <w:t>，1F，层高3.9m。本建筑为单层的钢筋混凝土框架结构。设置有环保展览室、环保宣传室、会议室、卫生间等。</w:t>
                  </w:r>
                </w:p>
              </w:tc>
              <w:tc>
                <w:tcPr>
                  <w:tcW w:w="975" w:type="dxa"/>
                  <w:vMerge w:val="continue"/>
                  <w:tcBorders>
                    <w:tl2br w:val="nil"/>
                    <w:tr2bl w:val="nil"/>
                  </w:tcBorders>
                  <w:vAlign w:val="center"/>
                </w:tcPr>
                <w:p w14:paraId="0488F708">
                  <w:pPr>
                    <w:widowControl/>
                    <w:jc w:val="center"/>
                    <w:rPr>
                      <w:szCs w:val="21"/>
                    </w:rPr>
                  </w:pPr>
                </w:p>
              </w:tc>
              <w:tc>
                <w:tcPr>
                  <w:tcW w:w="975" w:type="dxa"/>
                  <w:tcBorders>
                    <w:tl2br w:val="nil"/>
                    <w:tr2bl w:val="nil"/>
                  </w:tcBorders>
                  <w:vAlign w:val="center"/>
                </w:tcPr>
                <w:p w14:paraId="15799DB7">
                  <w:pPr>
                    <w:widowControl/>
                    <w:jc w:val="center"/>
                    <w:rPr>
                      <w:rFonts w:hint="eastAsia" w:ascii="宋体" w:hAnsi="宋体" w:cs="宋体"/>
                      <w:color w:val="000000"/>
                      <w:kern w:val="0"/>
                      <w:szCs w:val="21"/>
                      <w:lang w:bidi="ar"/>
                    </w:rPr>
                  </w:pPr>
                  <w:r>
                    <w:rPr>
                      <w:rFonts w:hint="eastAsia" w:ascii="宋体" w:hAnsi="宋体" w:cs="宋体"/>
                      <w:color w:val="000000"/>
                      <w:kern w:val="0"/>
                      <w:szCs w:val="21"/>
                      <w:lang w:bidi="ar"/>
                    </w:rPr>
                    <w:t>生活废水、生活垃圾</w:t>
                  </w:r>
                </w:p>
              </w:tc>
              <w:tc>
                <w:tcPr>
                  <w:tcW w:w="645" w:type="dxa"/>
                  <w:tcBorders>
                    <w:tl2br w:val="nil"/>
                    <w:tr2bl w:val="nil"/>
                  </w:tcBorders>
                  <w:vAlign w:val="center"/>
                </w:tcPr>
                <w:p w14:paraId="75A4249B">
                  <w:pPr>
                    <w:widowControl/>
                    <w:jc w:val="center"/>
                    <w:rPr>
                      <w:szCs w:val="21"/>
                    </w:rPr>
                  </w:pPr>
                  <w:r>
                    <w:rPr>
                      <w:rFonts w:hint="eastAsia"/>
                      <w:szCs w:val="21"/>
                    </w:rPr>
                    <w:t>新建</w:t>
                  </w:r>
                </w:p>
              </w:tc>
            </w:tr>
            <w:tr w14:paraId="4FFB0E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83" w:hRule="atLeast"/>
                <w:jc w:val="center"/>
              </w:trPr>
              <w:tc>
                <w:tcPr>
                  <w:tcW w:w="601" w:type="dxa"/>
                  <w:vMerge w:val="continue"/>
                  <w:tcBorders>
                    <w:tl2br w:val="nil"/>
                    <w:tr2bl w:val="nil"/>
                  </w:tcBorders>
                  <w:vAlign w:val="center"/>
                </w:tcPr>
                <w:p w14:paraId="41CC9894">
                  <w:pPr>
                    <w:widowControl/>
                    <w:jc w:val="center"/>
                  </w:pPr>
                </w:p>
              </w:tc>
              <w:tc>
                <w:tcPr>
                  <w:tcW w:w="885" w:type="dxa"/>
                  <w:tcBorders>
                    <w:tl2br w:val="nil"/>
                    <w:tr2bl w:val="nil"/>
                  </w:tcBorders>
                  <w:vAlign w:val="center"/>
                </w:tcPr>
                <w:p w14:paraId="610644A0">
                  <w:pPr>
                    <w:widowControl/>
                    <w:jc w:val="center"/>
                    <w:rPr>
                      <w:szCs w:val="21"/>
                    </w:rPr>
                  </w:pPr>
                  <w:r>
                    <w:rPr>
                      <w:rFonts w:hint="eastAsia"/>
                      <w:szCs w:val="21"/>
                    </w:rPr>
                    <w:t>值班室</w:t>
                  </w:r>
                </w:p>
              </w:tc>
              <w:tc>
                <w:tcPr>
                  <w:tcW w:w="4335" w:type="dxa"/>
                  <w:tcBorders>
                    <w:tl2br w:val="nil"/>
                    <w:tr2bl w:val="nil"/>
                  </w:tcBorders>
                  <w:vAlign w:val="center"/>
                </w:tcPr>
                <w:p w14:paraId="48838651">
                  <w:pPr>
                    <w:rPr>
                      <w:szCs w:val="21"/>
                    </w:rPr>
                  </w:pPr>
                  <w:r>
                    <w:rPr>
                      <w:rFonts w:hint="eastAsia"/>
                      <w:szCs w:val="21"/>
                    </w:rPr>
                    <w:t>砖混结构，面积</w:t>
                  </w:r>
                  <w:r>
                    <w:rPr>
                      <w:rFonts w:hint="eastAsia"/>
                      <w:spacing w:val="-3"/>
                      <w:szCs w:val="21"/>
                    </w:rPr>
                    <w:t>10.4m</w:t>
                  </w:r>
                  <w:r>
                    <w:rPr>
                      <w:rFonts w:hint="eastAsia"/>
                      <w:spacing w:val="-3"/>
                      <w:szCs w:val="21"/>
                      <w:vertAlign w:val="superscript"/>
                    </w:rPr>
                    <w:t>2</w:t>
                  </w:r>
                  <w:r>
                    <w:rPr>
                      <w:rFonts w:hint="eastAsia"/>
                      <w:spacing w:val="-3"/>
                      <w:szCs w:val="21"/>
                    </w:rPr>
                    <w:t>，1F，层高3.6m。</w:t>
                  </w:r>
                </w:p>
              </w:tc>
              <w:tc>
                <w:tcPr>
                  <w:tcW w:w="975" w:type="dxa"/>
                  <w:vMerge w:val="continue"/>
                  <w:tcBorders>
                    <w:tl2br w:val="nil"/>
                    <w:tr2bl w:val="nil"/>
                  </w:tcBorders>
                  <w:vAlign w:val="center"/>
                </w:tcPr>
                <w:p w14:paraId="78C4A33F">
                  <w:pPr>
                    <w:widowControl/>
                    <w:jc w:val="center"/>
                    <w:rPr>
                      <w:szCs w:val="21"/>
                    </w:rPr>
                  </w:pPr>
                </w:p>
              </w:tc>
              <w:tc>
                <w:tcPr>
                  <w:tcW w:w="975" w:type="dxa"/>
                  <w:tcBorders>
                    <w:tl2br w:val="nil"/>
                    <w:tr2bl w:val="nil"/>
                  </w:tcBorders>
                  <w:vAlign w:val="center"/>
                </w:tcPr>
                <w:p w14:paraId="2AB78F37">
                  <w:pPr>
                    <w:widowControl/>
                    <w:jc w:val="center"/>
                    <w:rPr>
                      <w:rFonts w:hint="eastAsia" w:ascii="宋体" w:hAnsi="宋体" w:cs="宋体"/>
                      <w:color w:val="000000"/>
                      <w:kern w:val="0"/>
                      <w:szCs w:val="21"/>
                      <w:lang w:bidi="ar"/>
                    </w:rPr>
                  </w:pPr>
                  <w:r>
                    <w:rPr>
                      <w:rFonts w:hint="eastAsia" w:ascii="宋体" w:hAnsi="宋体" w:cs="宋体"/>
                      <w:color w:val="000000"/>
                      <w:kern w:val="0"/>
                      <w:szCs w:val="21"/>
                      <w:lang w:bidi="ar"/>
                    </w:rPr>
                    <w:t>生活废水、生活垃圾</w:t>
                  </w:r>
                </w:p>
              </w:tc>
              <w:tc>
                <w:tcPr>
                  <w:tcW w:w="645" w:type="dxa"/>
                  <w:tcBorders>
                    <w:tl2br w:val="nil"/>
                    <w:tr2bl w:val="nil"/>
                  </w:tcBorders>
                  <w:vAlign w:val="center"/>
                </w:tcPr>
                <w:p w14:paraId="5EFDF709">
                  <w:pPr>
                    <w:widowControl/>
                    <w:jc w:val="center"/>
                    <w:rPr>
                      <w:szCs w:val="21"/>
                    </w:rPr>
                  </w:pPr>
                  <w:r>
                    <w:rPr>
                      <w:rFonts w:hint="eastAsia"/>
                      <w:szCs w:val="21"/>
                    </w:rPr>
                    <w:t>新建</w:t>
                  </w:r>
                </w:p>
              </w:tc>
            </w:tr>
            <w:tr w14:paraId="17DD94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vAlign w:val="center"/>
                </w:tcPr>
                <w:p w14:paraId="6D58E29E">
                  <w:pPr>
                    <w:widowControl/>
                    <w:jc w:val="center"/>
                    <w:rPr>
                      <w:szCs w:val="21"/>
                    </w:rPr>
                  </w:pPr>
                  <w:r>
                    <w:rPr>
                      <w:rFonts w:hint="eastAsia"/>
                      <w:szCs w:val="21"/>
                    </w:rPr>
                    <w:t>公辅工程</w:t>
                  </w:r>
                </w:p>
              </w:tc>
              <w:tc>
                <w:tcPr>
                  <w:tcW w:w="885" w:type="dxa"/>
                  <w:tcBorders>
                    <w:tl2br w:val="nil"/>
                    <w:tr2bl w:val="nil"/>
                  </w:tcBorders>
                  <w:vAlign w:val="center"/>
                </w:tcPr>
                <w:p w14:paraId="05FACC2D">
                  <w:pPr>
                    <w:widowControl/>
                    <w:jc w:val="center"/>
                    <w:rPr>
                      <w:szCs w:val="21"/>
                    </w:rPr>
                  </w:pPr>
                  <w:r>
                    <w:rPr>
                      <w:rFonts w:hint="eastAsia"/>
                      <w:szCs w:val="21"/>
                    </w:rPr>
                    <w:t>供水系统</w:t>
                  </w:r>
                </w:p>
              </w:tc>
              <w:tc>
                <w:tcPr>
                  <w:tcW w:w="4335" w:type="dxa"/>
                  <w:tcBorders>
                    <w:tl2br w:val="nil"/>
                    <w:tr2bl w:val="nil"/>
                  </w:tcBorders>
                  <w:vAlign w:val="center"/>
                </w:tcPr>
                <w:p w14:paraId="017788BB">
                  <w:pPr>
                    <w:widowControl/>
                    <w:rPr>
                      <w:szCs w:val="21"/>
                    </w:rPr>
                  </w:pPr>
                  <w:r>
                    <w:rPr>
                      <w:rFonts w:hint="eastAsia"/>
                      <w:szCs w:val="21"/>
                    </w:rPr>
                    <w:t>市政给水管网。</w:t>
                  </w:r>
                </w:p>
              </w:tc>
              <w:tc>
                <w:tcPr>
                  <w:tcW w:w="975" w:type="dxa"/>
                  <w:vMerge w:val="continue"/>
                  <w:tcBorders>
                    <w:tl2br w:val="nil"/>
                    <w:tr2bl w:val="nil"/>
                  </w:tcBorders>
                  <w:vAlign w:val="center"/>
                </w:tcPr>
                <w:p w14:paraId="61C5321E">
                  <w:pPr>
                    <w:widowControl/>
                    <w:jc w:val="center"/>
                    <w:rPr>
                      <w:szCs w:val="21"/>
                    </w:rPr>
                  </w:pPr>
                </w:p>
              </w:tc>
              <w:tc>
                <w:tcPr>
                  <w:tcW w:w="975" w:type="dxa"/>
                  <w:tcBorders>
                    <w:tl2br w:val="nil"/>
                    <w:tr2bl w:val="nil"/>
                  </w:tcBorders>
                  <w:vAlign w:val="center"/>
                </w:tcPr>
                <w:p w14:paraId="65208DFA">
                  <w:pPr>
                    <w:widowControl/>
                    <w:jc w:val="center"/>
                    <w:rPr>
                      <w:szCs w:val="21"/>
                    </w:rPr>
                  </w:pPr>
                  <w:r>
                    <w:rPr>
                      <w:rFonts w:hint="eastAsia"/>
                      <w:szCs w:val="21"/>
                    </w:rPr>
                    <w:t>/</w:t>
                  </w:r>
                </w:p>
              </w:tc>
              <w:tc>
                <w:tcPr>
                  <w:tcW w:w="645" w:type="dxa"/>
                  <w:tcBorders>
                    <w:tl2br w:val="nil"/>
                    <w:tr2bl w:val="nil"/>
                  </w:tcBorders>
                  <w:vAlign w:val="center"/>
                </w:tcPr>
                <w:p w14:paraId="2CF39666">
                  <w:pPr>
                    <w:widowControl/>
                    <w:jc w:val="center"/>
                    <w:rPr>
                      <w:szCs w:val="21"/>
                    </w:rPr>
                  </w:pPr>
                  <w:r>
                    <w:rPr>
                      <w:rFonts w:hint="eastAsia"/>
                      <w:szCs w:val="21"/>
                    </w:rPr>
                    <w:t>新建</w:t>
                  </w:r>
                </w:p>
              </w:tc>
            </w:tr>
            <w:tr w14:paraId="2FCC89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9" w:hRule="atLeast"/>
                <w:jc w:val="center"/>
              </w:trPr>
              <w:tc>
                <w:tcPr>
                  <w:tcW w:w="601" w:type="dxa"/>
                  <w:vMerge w:val="continue"/>
                  <w:tcBorders>
                    <w:tl2br w:val="nil"/>
                    <w:tr2bl w:val="nil"/>
                  </w:tcBorders>
                  <w:vAlign w:val="center"/>
                </w:tcPr>
                <w:p w14:paraId="2A86B8FB">
                  <w:pPr>
                    <w:widowControl/>
                    <w:jc w:val="center"/>
                    <w:rPr>
                      <w:szCs w:val="21"/>
                    </w:rPr>
                  </w:pPr>
                </w:p>
              </w:tc>
              <w:tc>
                <w:tcPr>
                  <w:tcW w:w="885" w:type="dxa"/>
                  <w:tcBorders>
                    <w:tl2br w:val="nil"/>
                    <w:tr2bl w:val="nil"/>
                  </w:tcBorders>
                  <w:vAlign w:val="center"/>
                </w:tcPr>
                <w:p w14:paraId="0D733660">
                  <w:pPr>
                    <w:widowControl/>
                    <w:jc w:val="center"/>
                    <w:rPr>
                      <w:szCs w:val="21"/>
                    </w:rPr>
                  </w:pPr>
                  <w:r>
                    <w:rPr>
                      <w:rFonts w:hint="eastAsia"/>
                      <w:szCs w:val="21"/>
                    </w:rPr>
                    <w:t>排水系统</w:t>
                  </w:r>
                </w:p>
              </w:tc>
              <w:tc>
                <w:tcPr>
                  <w:tcW w:w="4335" w:type="dxa"/>
                  <w:tcBorders>
                    <w:tl2br w:val="nil"/>
                    <w:tr2bl w:val="nil"/>
                  </w:tcBorders>
                  <w:vAlign w:val="center"/>
                </w:tcPr>
                <w:p w14:paraId="17F9B567">
                  <w:pPr>
                    <w:widowControl/>
                    <w:rPr>
                      <w:szCs w:val="21"/>
                    </w:rPr>
                  </w:pPr>
                  <w:r>
                    <w:rPr>
                      <w:szCs w:val="21"/>
                    </w:rPr>
                    <w:t>雨污分流，雨水经厂区雨水管网收集后，排入市政雨水管；</w:t>
                  </w:r>
                  <w:r>
                    <w:rPr>
                      <w:rFonts w:hint="eastAsia"/>
                      <w:szCs w:val="21"/>
                    </w:rPr>
                    <w:t>车间</w:t>
                  </w:r>
                  <w:r>
                    <w:rPr>
                      <w:szCs w:val="21"/>
                    </w:rPr>
                    <w:t>冲洗废水、渗滤液、初期雨水经污水处理</w:t>
                  </w:r>
                  <w:r>
                    <w:rPr>
                      <w:rFonts w:hint="eastAsia"/>
                      <w:szCs w:val="21"/>
                    </w:rPr>
                    <w:t>站</w:t>
                  </w:r>
                  <w:r>
                    <w:rPr>
                      <w:szCs w:val="21"/>
                    </w:rPr>
                    <w:t>处理后与化粪池预处理后的生活污水一并纳入市政污水管网，由达州市第二城市生活污水处理厂处理达标后</w:t>
                  </w:r>
                  <w:r>
                    <w:rPr>
                      <w:rFonts w:hint="eastAsia"/>
                      <w:szCs w:val="21"/>
                    </w:rPr>
                    <w:t>排放。</w:t>
                  </w:r>
                </w:p>
              </w:tc>
              <w:tc>
                <w:tcPr>
                  <w:tcW w:w="975" w:type="dxa"/>
                  <w:vMerge w:val="continue"/>
                  <w:tcBorders>
                    <w:tl2br w:val="nil"/>
                    <w:tr2bl w:val="nil"/>
                  </w:tcBorders>
                  <w:vAlign w:val="center"/>
                </w:tcPr>
                <w:p w14:paraId="61B0F08E">
                  <w:pPr>
                    <w:widowControl/>
                    <w:jc w:val="center"/>
                    <w:rPr>
                      <w:szCs w:val="21"/>
                    </w:rPr>
                  </w:pPr>
                </w:p>
              </w:tc>
              <w:tc>
                <w:tcPr>
                  <w:tcW w:w="975" w:type="dxa"/>
                  <w:tcBorders>
                    <w:tl2br w:val="nil"/>
                    <w:tr2bl w:val="nil"/>
                  </w:tcBorders>
                  <w:vAlign w:val="center"/>
                </w:tcPr>
                <w:p w14:paraId="5C096401">
                  <w:pPr>
                    <w:widowControl/>
                    <w:jc w:val="center"/>
                    <w:rPr>
                      <w:szCs w:val="21"/>
                    </w:rPr>
                  </w:pPr>
                  <w:r>
                    <w:rPr>
                      <w:rFonts w:hint="eastAsia"/>
                      <w:szCs w:val="21"/>
                    </w:rPr>
                    <w:t>/</w:t>
                  </w:r>
                </w:p>
              </w:tc>
              <w:tc>
                <w:tcPr>
                  <w:tcW w:w="645" w:type="dxa"/>
                  <w:tcBorders>
                    <w:tl2br w:val="nil"/>
                    <w:tr2bl w:val="nil"/>
                  </w:tcBorders>
                  <w:vAlign w:val="center"/>
                </w:tcPr>
                <w:p w14:paraId="6F4E7432">
                  <w:pPr>
                    <w:widowControl/>
                    <w:jc w:val="center"/>
                    <w:rPr>
                      <w:szCs w:val="21"/>
                    </w:rPr>
                  </w:pPr>
                  <w:r>
                    <w:rPr>
                      <w:rFonts w:hint="eastAsia"/>
                      <w:szCs w:val="21"/>
                    </w:rPr>
                    <w:t>新建</w:t>
                  </w:r>
                </w:p>
              </w:tc>
            </w:tr>
            <w:tr w14:paraId="379D8C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54BDAD17">
                  <w:pPr>
                    <w:widowControl/>
                    <w:jc w:val="center"/>
                    <w:rPr>
                      <w:szCs w:val="21"/>
                    </w:rPr>
                  </w:pPr>
                </w:p>
              </w:tc>
              <w:tc>
                <w:tcPr>
                  <w:tcW w:w="885" w:type="dxa"/>
                  <w:tcBorders>
                    <w:tl2br w:val="nil"/>
                    <w:tr2bl w:val="nil"/>
                  </w:tcBorders>
                  <w:vAlign w:val="center"/>
                </w:tcPr>
                <w:p w14:paraId="0BA62712">
                  <w:pPr>
                    <w:widowControl/>
                    <w:jc w:val="center"/>
                    <w:rPr>
                      <w:szCs w:val="21"/>
                    </w:rPr>
                  </w:pPr>
                  <w:r>
                    <w:rPr>
                      <w:rFonts w:hint="eastAsia"/>
                      <w:szCs w:val="21"/>
                    </w:rPr>
                    <w:t>供电系统</w:t>
                  </w:r>
                </w:p>
              </w:tc>
              <w:tc>
                <w:tcPr>
                  <w:tcW w:w="4335" w:type="dxa"/>
                  <w:tcBorders>
                    <w:tl2br w:val="nil"/>
                    <w:tr2bl w:val="nil"/>
                  </w:tcBorders>
                  <w:vAlign w:val="center"/>
                </w:tcPr>
                <w:p w14:paraId="00359D9B">
                  <w:pPr>
                    <w:widowControl/>
                    <w:rPr>
                      <w:szCs w:val="21"/>
                    </w:rPr>
                  </w:pPr>
                  <w:r>
                    <w:rPr>
                      <w:rFonts w:hint="eastAsia"/>
                      <w:szCs w:val="21"/>
                    </w:rPr>
                    <w:t>市政电网。</w:t>
                  </w:r>
                </w:p>
              </w:tc>
              <w:tc>
                <w:tcPr>
                  <w:tcW w:w="975" w:type="dxa"/>
                  <w:vMerge w:val="continue"/>
                  <w:tcBorders>
                    <w:tl2br w:val="nil"/>
                    <w:tr2bl w:val="nil"/>
                  </w:tcBorders>
                  <w:vAlign w:val="center"/>
                </w:tcPr>
                <w:p w14:paraId="23EC0266">
                  <w:pPr>
                    <w:widowControl/>
                    <w:jc w:val="center"/>
                    <w:rPr>
                      <w:szCs w:val="21"/>
                    </w:rPr>
                  </w:pPr>
                </w:p>
              </w:tc>
              <w:tc>
                <w:tcPr>
                  <w:tcW w:w="975" w:type="dxa"/>
                  <w:tcBorders>
                    <w:tl2br w:val="nil"/>
                    <w:tr2bl w:val="nil"/>
                  </w:tcBorders>
                  <w:vAlign w:val="center"/>
                </w:tcPr>
                <w:p w14:paraId="3024DAA6">
                  <w:pPr>
                    <w:widowControl/>
                    <w:jc w:val="center"/>
                    <w:rPr>
                      <w:szCs w:val="21"/>
                    </w:rPr>
                  </w:pPr>
                  <w:r>
                    <w:rPr>
                      <w:rFonts w:hint="eastAsia"/>
                      <w:szCs w:val="21"/>
                    </w:rPr>
                    <w:t>/</w:t>
                  </w:r>
                </w:p>
              </w:tc>
              <w:tc>
                <w:tcPr>
                  <w:tcW w:w="645" w:type="dxa"/>
                  <w:tcBorders>
                    <w:tl2br w:val="nil"/>
                    <w:tr2bl w:val="nil"/>
                  </w:tcBorders>
                  <w:vAlign w:val="center"/>
                </w:tcPr>
                <w:p w14:paraId="10E4E122">
                  <w:pPr>
                    <w:widowControl/>
                    <w:jc w:val="center"/>
                    <w:rPr>
                      <w:szCs w:val="21"/>
                    </w:rPr>
                  </w:pPr>
                  <w:r>
                    <w:rPr>
                      <w:rFonts w:hint="eastAsia"/>
                      <w:szCs w:val="21"/>
                    </w:rPr>
                    <w:t>新建</w:t>
                  </w:r>
                </w:p>
              </w:tc>
            </w:tr>
            <w:tr w14:paraId="4BCD4B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32157900">
                  <w:pPr>
                    <w:widowControl/>
                    <w:jc w:val="center"/>
                    <w:rPr>
                      <w:szCs w:val="21"/>
                    </w:rPr>
                  </w:pPr>
                </w:p>
              </w:tc>
              <w:tc>
                <w:tcPr>
                  <w:tcW w:w="885" w:type="dxa"/>
                  <w:tcBorders>
                    <w:tl2br w:val="nil"/>
                    <w:tr2bl w:val="nil"/>
                  </w:tcBorders>
                  <w:vAlign w:val="center"/>
                </w:tcPr>
                <w:p w14:paraId="7CCFB283">
                  <w:pPr>
                    <w:widowControl/>
                    <w:jc w:val="center"/>
                    <w:rPr>
                      <w:szCs w:val="21"/>
                    </w:rPr>
                  </w:pPr>
                  <w:r>
                    <w:rPr>
                      <w:rFonts w:hint="eastAsia"/>
                      <w:szCs w:val="21"/>
                    </w:rPr>
                    <w:t>供气系统</w:t>
                  </w:r>
                </w:p>
              </w:tc>
              <w:tc>
                <w:tcPr>
                  <w:tcW w:w="4335" w:type="dxa"/>
                  <w:tcBorders>
                    <w:tl2br w:val="nil"/>
                    <w:tr2bl w:val="nil"/>
                  </w:tcBorders>
                  <w:vAlign w:val="center"/>
                </w:tcPr>
                <w:p w14:paraId="470050AA">
                  <w:pPr>
                    <w:widowControl/>
                    <w:jc w:val="left"/>
                    <w:rPr>
                      <w:szCs w:val="21"/>
                    </w:rPr>
                  </w:pPr>
                  <w:r>
                    <w:rPr>
                      <w:rFonts w:hint="eastAsia" w:ascii="宋体" w:hAnsi="宋体" w:cs="宋体"/>
                      <w:spacing w:val="10"/>
                      <w:szCs w:val="21"/>
                    </w:rPr>
                    <w:t>市政</w:t>
                  </w:r>
                  <w:r>
                    <w:rPr>
                      <w:rFonts w:ascii="宋体" w:hAnsi="宋体" w:cs="宋体"/>
                      <w:spacing w:val="6"/>
                      <w:szCs w:val="21"/>
                    </w:rPr>
                    <w:t>天然气管网</w:t>
                  </w:r>
                  <w:r>
                    <w:rPr>
                      <w:rFonts w:hint="eastAsia" w:ascii="宋体" w:hAnsi="宋体" w:cs="宋体"/>
                      <w:spacing w:val="6"/>
                      <w:szCs w:val="21"/>
                    </w:rPr>
                    <w:t>。</w:t>
                  </w:r>
                </w:p>
              </w:tc>
              <w:tc>
                <w:tcPr>
                  <w:tcW w:w="975" w:type="dxa"/>
                  <w:vMerge w:val="continue"/>
                  <w:tcBorders>
                    <w:tl2br w:val="nil"/>
                    <w:tr2bl w:val="nil"/>
                  </w:tcBorders>
                  <w:vAlign w:val="center"/>
                </w:tcPr>
                <w:p w14:paraId="72235402">
                  <w:pPr>
                    <w:widowControl/>
                    <w:jc w:val="center"/>
                    <w:rPr>
                      <w:szCs w:val="21"/>
                    </w:rPr>
                  </w:pPr>
                </w:p>
              </w:tc>
              <w:tc>
                <w:tcPr>
                  <w:tcW w:w="975" w:type="dxa"/>
                  <w:tcBorders>
                    <w:tl2br w:val="nil"/>
                    <w:tr2bl w:val="nil"/>
                  </w:tcBorders>
                  <w:vAlign w:val="center"/>
                </w:tcPr>
                <w:p w14:paraId="505AD127">
                  <w:pPr>
                    <w:widowControl/>
                    <w:jc w:val="center"/>
                    <w:rPr>
                      <w:szCs w:val="21"/>
                    </w:rPr>
                  </w:pPr>
                  <w:r>
                    <w:rPr>
                      <w:rFonts w:hint="eastAsia"/>
                      <w:szCs w:val="21"/>
                    </w:rPr>
                    <w:t>/</w:t>
                  </w:r>
                </w:p>
              </w:tc>
              <w:tc>
                <w:tcPr>
                  <w:tcW w:w="645" w:type="dxa"/>
                  <w:tcBorders>
                    <w:tl2br w:val="nil"/>
                    <w:tr2bl w:val="nil"/>
                  </w:tcBorders>
                  <w:vAlign w:val="center"/>
                </w:tcPr>
                <w:p w14:paraId="4716ABE5">
                  <w:pPr>
                    <w:widowControl/>
                    <w:jc w:val="center"/>
                    <w:rPr>
                      <w:szCs w:val="21"/>
                    </w:rPr>
                  </w:pPr>
                  <w:r>
                    <w:rPr>
                      <w:rFonts w:hint="eastAsia"/>
                      <w:szCs w:val="21"/>
                    </w:rPr>
                    <w:t>新建</w:t>
                  </w:r>
                </w:p>
              </w:tc>
            </w:tr>
            <w:tr w14:paraId="1D8AD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restart"/>
                  <w:tcBorders>
                    <w:tl2br w:val="nil"/>
                    <w:tr2bl w:val="nil"/>
                  </w:tcBorders>
                  <w:vAlign w:val="center"/>
                </w:tcPr>
                <w:p w14:paraId="1DC904A4">
                  <w:pPr>
                    <w:widowControl/>
                    <w:jc w:val="center"/>
                    <w:rPr>
                      <w:szCs w:val="21"/>
                    </w:rPr>
                  </w:pPr>
                  <w:r>
                    <w:rPr>
                      <w:rFonts w:hint="eastAsia"/>
                      <w:szCs w:val="21"/>
                    </w:rPr>
                    <w:t>环保工程</w:t>
                  </w:r>
                </w:p>
              </w:tc>
              <w:tc>
                <w:tcPr>
                  <w:tcW w:w="885" w:type="dxa"/>
                  <w:vMerge w:val="restart"/>
                  <w:tcBorders>
                    <w:tl2br w:val="nil"/>
                    <w:tr2bl w:val="nil"/>
                  </w:tcBorders>
                  <w:vAlign w:val="center"/>
                </w:tcPr>
                <w:p w14:paraId="43C3C984">
                  <w:pPr>
                    <w:widowControl/>
                    <w:jc w:val="center"/>
                    <w:rPr>
                      <w:color w:val="C00000"/>
                      <w:szCs w:val="21"/>
                    </w:rPr>
                  </w:pPr>
                  <w:r>
                    <w:rPr>
                      <w:rFonts w:hint="eastAsia"/>
                      <w:szCs w:val="21"/>
                    </w:rPr>
                    <w:t>废水</w:t>
                  </w:r>
                </w:p>
              </w:tc>
              <w:tc>
                <w:tcPr>
                  <w:tcW w:w="4335" w:type="dxa"/>
                  <w:tcBorders>
                    <w:tl2br w:val="nil"/>
                    <w:tr2bl w:val="nil"/>
                  </w:tcBorders>
                  <w:vAlign w:val="center"/>
                </w:tcPr>
                <w:p w14:paraId="4916A0CC">
                  <w:pPr>
                    <w:widowControl/>
                    <w:wordWrap w:val="0"/>
                    <w:jc w:val="left"/>
                    <w:rPr>
                      <w:szCs w:val="21"/>
                    </w:rPr>
                  </w:pPr>
                  <w:r>
                    <w:rPr>
                      <w:rFonts w:hint="eastAsia"/>
                      <w:b/>
                      <w:bCs/>
                      <w:iCs/>
                      <w:snapToGrid w:val="0"/>
                      <w:kern w:val="0"/>
                      <w:szCs w:val="21"/>
                    </w:rPr>
                    <w:t>员工生活污水：</w:t>
                  </w:r>
                  <w:r>
                    <w:rPr>
                      <w:rFonts w:hint="eastAsia"/>
                      <w:color w:val="000000"/>
                      <w:kern w:val="0"/>
                      <w:szCs w:val="21"/>
                      <w:lang w:bidi="ar"/>
                    </w:rPr>
                    <w:t>员工办公</w:t>
                  </w:r>
                  <w:r>
                    <w:rPr>
                      <w:rFonts w:hint="eastAsia"/>
                      <w:color w:val="000000"/>
                      <w:kern w:val="0"/>
                      <w:szCs w:val="21"/>
                      <w:lang w:eastAsia="zh-CN" w:bidi="ar"/>
                    </w:rPr>
                    <w:t>生活污水</w:t>
                  </w:r>
                  <w:r>
                    <w:rPr>
                      <w:rFonts w:hint="eastAsia"/>
                      <w:color w:val="000000"/>
                      <w:kern w:val="0"/>
                      <w:szCs w:val="21"/>
                      <w:lang w:bidi="ar"/>
                    </w:rPr>
                    <w:t>、生产管理用房地面清洁废水经污水化粪池（1个，50m³）预处理</w:t>
                  </w:r>
                  <w:r>
                    <w:rPr>
                      <w:rFonts w:hint="eastAsia"/>
                      <w:color w:val="000000"/>
                      <w:kern w:val="0"/>
                      <w:szCs w:val="21"/>
                      <w:lang w:eastAsia="zh-CN" w:bidi="ar"/>
                    </w:rPr>
                    <w:t>达到</w:t>
                  </w:r>
                  <w:r>
                    <w:rPr>
                      <w:rFonts w:hint="eastAsia"/>
                      <w:color w:val="000000"/>
                      <w:kern w:val="0"/>
                      <w:szCs w:val="21"/>
                      <w:lang w:bidi="ar"/>
                    </w:rPr>
                    <w:t>《污水综合排放标准》（GB8978-1996）中三级排放标准后排入已建的市政污水管网，最终进入</w:t>
                  </w:r>
                  <w:r>
                    <w:rPr>
                      <w:color w:val="000000"/>
                      <w:kern w:val="0"/>
                      <w:szCs w:val="21"/>
                      <w:lang w:bidi="ar"/>
                    </w:rPr>
                    <w:t>达州市第二</w:t>
                  </w:r>
                  <w:r>
                    <w:rPr>
                      <w:rFonts w:hint="eastAsia"/>
                      <w:color w:val="000000"/>
                      <w:kern w:val="0"/>
                      <w:szCs w:val="21"/>
                      <w:lang w:bidi="ar"/>
                    </w:rPr>
                    <w:t>城市生活</w:t>
                  </w:r>
                  <w:r>
                    <w:rPr>
                      <w:color w:val="000000"/>
                      <w:kern w:val="0"/>
                      <w:szCs w:val="21"/>
                      <w:lang w:bidi="ar"/>
                    </w:rPr>
                    <w:t>污水处理厂</w:t>
                  </w:r>
                  <w:r>
                    <w:rPr>
                      <w:rFonts w:hint="eastAsia"/>
                      <w:color w:val="000000"/>
                      <w:kern w:val="0"/>
                      <w:szCs w:val="21"/>
                      <w:lang w:bidi="ar"/>
                    </w:rPr>
                    <w:t>处理达标后排放。</w:t>
                  </w:r>
                </w:p>
              </w:tc>
              <w:tc>
                <w:tcPr>
                  <w:tcW w:w="975" w:type="dxa"/>
                  <w:tcBorders>
                    <w:tl2br w:val="nil"/>
                    <w:tr2bl w:val="nil"/>
                  </w:tcBorders>
                  <w:vAlign w:val="center"/>
                </w:tcPr>
                <w:p w14:paraId="042395C5">
                  <w:pPr>
                    <w:widowControl/>
                    <w:jc w:val="center"/>
                    <w:rPr>
                      <w:szCs w:val="21"/>
                    </w:rPr>
                  </w:pPr>
                  <w:r>
                    <w:rPr>
                      <w:rFonts w:hint="eastAsia"/>
                      <w:szCs w:val="21"/>
                    </w:rPr>
                    <w:t>/</w:t>
                  </w:r>
                </w:p>
              </w:tc>
              <w:tc>
                <w:tcPr>
                  <w:tcW w:w="975" w:type="dxa"/>
                  <w:tcBorders>
                    <w:tl2br w:val="nil"/>
                    <w:tr2bl w:val="nil"/>
                  </w:tcBorders>
                  <w:vAlign w:val="center"/>
                </w:tcPr>
                <w:p w14:paraId="64354A01">
                  <w:pPr>
                    <w:widowControl/>
                    <w:jc w:val="center"/>
                    <w:rPr>
                      <w:szCs w:val="21"/>
                    </w:rPr>
                  </w:pPr>
                  <w:r>
                    <w:rPr>
                      <w:rFonts w:hint="eastAsia"/>
                      <w:szCs w:val="21"/>
                    </w:rPr>
                    <w:t>废水、恶臭、污泥、噪声</w:t>
                  </w:r>
                </w:p>
              </w:tc>
              <w:tc>
                <w:tcPr>
                  <w:tcW w:w="645" w:type="dxa"/>
                  <w:tcBorders>
                    <w:tl2br w:val="nil"/>
                    <w:tr2bl w:val="nil"/>
                  </w:tcBorders>
                  <w:vAlign w:val="center"/>
                </w:tcPr>
                <w:p w14:paraId="6B650557">
                  <w:pPr>
                    <w:widowControl/>
                    <w:jc w:val="center"/>
                    <w:rPr>
                      <w:szCs w:val="21"/>
                    </w:rPr>
                  </w:pPr>
                  <w:r>
                    <w:rPr>
                      <w:rFonts w:hint="eastAsia"/>
                      <w:szCs w:val="21"/>
                    </w:rPr>
                    <w:t>新建</w:t>
                  </w:r>
                </w:p>
              </w:tc>
            </w:tr>
            <w:tr w14:paraId="31F735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72D68A7F">
                  <w:pPr>
                    <w:widowControl/>
                    <w:jc w:val="center"/>
                    <w:rPr>
                      <w:szCs w:val="21"/>
                    </w:rPr>
                  </w:pPr>
                </w:p>
              </w:tc>
              <w:tc>
                <w:tcPr>
                  <w:tcW w:w="885" w:type="dxa"/>
                  <w:vMerge w:val="continue"/>
                  <w:tcBorders>
                    <w:tl2br w:val="nil"/>
                    <w:tr2bl w:val="nil"/>
                  </w:tcBorders>
                  <w:vAlign w:val="center"/>
                </w:tcPr>
                <w:p w14:paraId="2B8C1596">
                  <w:pPr>
                    <w:widowControl/>
                    <w:jc w:val="center"/>
                    <w:rPr>
                      <w:szCs w:val="21"/>
                    </w:rPr>
                  </w:pPr>
                </w:p>
              </w:tc>
              <w:tc>
                <w:tcPr>
                  <w:tcW w:w="4335" w:type="dxa"/>
                  <w:tcBorders>
                    <w:tl2br w:val="nil"/>
                    <w:tr2bl w:val="nil"/>
                  </w:tcBorders>
                  <w:shd w:val="clear" w:color="auto" w:fill="auto"/>
                  <w:vAlign w:val="center"/>
                </w:tcPr>
                <w:p w14:paraId="3824E140">
                  <w:pPr>
                    <w:widowControl/>
                    <w:wordWrap w:val="0"/>
                    <w:jc w:val="left"/>
                  </w:pPr>
                  <w:r>
                    <w:rPr>
                      <w:rFonts w:hint="eastAsia"/>
                      <w:b/>
                      <w:bCs/>
                      <w:iCs/>
                      <w:snapToGrid w:val="0"/>
                      <w:kern w:val="0"/>
                      <w:szCs w:val="21"/>
                    </w:rPr>
                    <w:t>渗滤液、洗车废水、机修间废水：</w:t>
                  </w:r>
                  <w:r>
                    <w:rPr>
                      <w:rFonts w:hint="eastAsia"/>
                      <w:iCs/>
                      <w:snapToGrid w:val="0"/>
                      <w:kern w:val="0"/>
                      <w:szCs w:val="21"/>
                    </w:rPr>
                    <w:t>污水处理站内设有1个100m³沉沙池，用于收集渗滤液，调节水量水质；</w:t>
                  </w:r>
                  <w:r>
                    <w:rPr>
                      <w:rFonts w:hint="eastAsia"/>
                      <w:iCs/>
                      <w:snapToGrid w:val="0"/>
                      <w:kern w:val="0"/>
                      <w:szCs w:val="21"/>
                      <w:lang w:eastAsia="zh-CN"/>
                    </w:rPr>
                    <w:t>渗滤</w:t>
                  </w:r>
                  <w:r>
                    <w:rPr>
                      <w:rFonts w:hint="eastAsia"/>
                      <w:color w:val="000000"/>
                      <w:kern w:val="0"/>
                      <w:szCs w:val="21"/>
                      <w:lang w:bidi="ar"/>
                    </w:rPr>
                    <w:t>液处理系统规模20m³/d，洗车废水（1个隔油池，3m³）、设备清洗废水、车间地面清洗废水、喷淋废水、渗滤液排入渗滤液处理系统（高效预处理+MBR系统（二级硝化反硝化+超滤）”）达《污水综合排放标准》（GB8978-1996）中三级排放标准及后排入已建的市政污水管网，最终进入</w:t>
                  </w:r>
                  <w:r>
                    <w:rPr>
                      <w:color w:val="000000"/>
                      <w:kern w:val="0"/>
                      <w:szCs w:val="21"/>
                      <w:lang w:bidi="ar"/>
                    </w:rPr>
                    <w:t>达州市第二</w:t>
                  </w:r>
                  <w:r>
                    <w:rPr>
                      <w:rFonts w:hint="eastAsia"/>
                      <w:color w:val="000000"/>
                      <w:kern w:val="0"/>
                      <w:szCs w:val="21"/>
                      <w:lang w:bidi="ar"/>
                    </w:rPr>
                    <w:t>城市生活</w:t>
                  </w:r>
                  <w:r>
                    <w:rPr>
                      <w:color w:val="000000"/>
                      <w:kern w:val="0"/>
                      <w:szCs w:val="21"/>
                      <w:lang w:bidi="ar"/>
                    </w:rPr>
                    <w:t>污水处理厂</w:t>
                  </w:r>
                  <w:r>
                    <w:rPr>
                      <w:rFonts w:hint="eastAsia"/>
                      <w:color w:val="000000"/>
                      <w:kern w:val="0"/>
                      <w:szCs w:val="21"/>
                      <w:lang w:bidi="ar"/>
                    </w:rPr>
                    <w:t>处理达标后排放。</w:t>
                  </w:r>
                </w:p>
              </w:tc>
              <w:tc>
                <w:tcPr>
                  <w:tcW w:w="975" w:type="dxa"/>
                  <w:tcBorders>
                    <w:tl2br w:val="nil"/>
                    <w:tr2bl w:val="nil"/>
                  </w:tcBorders>
                  <w:shd w:val="clear" w:color="auto" w:fill="auto"/>
                  <w:vAlign w:val="center"/>
                </w:tcPr>
                <w:p w14:paraId="79E23235">
                  <w:pPr>
                    <w:widowControl/>
                    <w:jc w:val="center"/>
                    <w:rPr>
                      <w:szCs w:val="21"/>
                    </w:rPr>
                  </w:pPr>
                  <w:r>
                    <w:rPr>
                      <w:rFonts w:hint="eastAsia"/>
                      <w:szCs w:val="21"/>
                    </w:rPr>
                    <w:t>/</w:t>
                  </w:r>
                </w:p>
              </w:tc>
              <w:tc>
                <w:tcPr>
                  <w:tcW w:w="975" w:type="dxa"/>
                  <w:tcBorders>
                    <w:tl2br w:val="nil"/>
                    <w:tr2bl w:val="nil"/>
                  </w:tcBorders>
                  <w:shd w:val="clear" w:color="auto" w:fill="auto"/>
                  <w:vAlign w:val="center"/>
                </w:tcPr>
                <w:p w14:paraId="75AD12E9">
                  <w:pPr>
                    <w:widowControl/>
                    <w:jc w:val="center"/>
                    <w:rPr>
                      <w:szCs w:val="21"/>
                    </w:rPr>
                  </w:pPr>
                  <w:r>
                    <w:rPr>
                      <w:rFonts w:hint="eastAsia"/>
                      <w:szCs w:val="21"/>
                    </w:rPr>
                    <w:t>废水、恶臭、污泥、噪声、废包装物</w:t>
                  </w:r>
                </w:p>
              </w:tc>
              <w:tc>
                <w:tcPr>
                  <w:tcW w:w="645" w:type="dxa"/>
                  <w:tcBorders>
                    <w:tl2br w:val="nil"/>
                    <w:tr2bl w:val="nil"/>
                  </w:tcBorders>
                  <w:shd w:val="clear" w:color="auto" w:fill="auto"/>
                  <w:vAlign w:val="center"/>
                </w:tcPr>
                <w:p w14:paraId="0BBB77FF">
                  <w:pPr>
                    <w:widowControl/>
                    <w:jc w:val="center"/>
                    <w:rPr>
                      <w:szCs w:val="21"/>
                    </w:rPr>
                  </w:pPr>
                  <w:r>
                    <w:rPr>
                      <w:rFonts w:hint="eastAsia"/>
                      <w:szCs w:val="21"/>
                    </w:rPr>
                    <w:t>新建</w:t>
                  </w:r>
                </w:p>
              </w:tc>
            </w:tr>
            <w:tr w14:paraId="3431E0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4" w:hRule="atLeast"/>
                <w:jc w:val="center"/>
              </w:trPr>
              <w:tc>
                <w:tcPr>
                  <w:tcW w:w="601" w:type="dxa"/>
                  <w:vMerge w:val="continue"/>
                  <w:tcBorders>
                    <w:tl2br w:val="nil"/>
                    <w:tr2bl w:val="nil"/>
                  </w:tcBorders>
                  <w:vAlign w:val="center"/>
                </w:tcPr>
                <w:p w14:paraId="73BEBF87">
                  <w:pPr>
                    <w:widowControl/>
                    <w:jc w:val="center"/>
                    <w:rPr>
                      <w:szCs w:val="21"/>
                    </w:rPr>
                  </w:pPr>
                </w:p>
              </w:tc>
              <w:tc>
                <w:tcPr>
                  <w:tcW w:w="885" w:type="dxa"/>
                  <w:vMerge w:val="continue"/>
                  <w:tcBorders>
                    <w:tl2br w:val="nil"/>
                    <w:tr2bl w:val="nil"/>
                  </w:tcBorders>
                  <w:vAlign w:val="center"/>
                </w:tcPr>
                <w:p w14:paraId="77C69E3E">
                  <w:pPr>
                    <w:widowControl/>
                    <w:jc w:val="center"/>
                    <w:rPr>
                      <w:color w:val="C00000"/>
                      <w:szCs w:val="21"/>
                    </w:rPr>
                  </w:pPr>
                </w:p>
              </w:tc>
              <w:tc>
                <w:tcPr>
                  <w:tcW w:w="4335" w:type="dxa"/>
                  <w:tcBorders>
                    <w:tl2br w:val="nil"/>
                    <w:tr2bl w:val="nil"/>
                  </w:tcBorders>
                  <w:vAlign w:val="center"/>
                </w:tcPr>
                <w:p w14:paraId="19B1A8A3">
                  <w:pPr>
                    <w:widowControl/>
                    <w:wordWrap w:val="0"/>
                    <w:jc w:val="left"/>
                    <w:rPr>
                      <w:b/>
                      <w:bCs/>
                      <w:iCs/>
                      <w:snapToGrid w:val="0"/>
                      <w:kern w:val="0"/>
                      <w:szCs w:val="21"/>
                    </w:rPr>
                  </w:pPr>
                  <w:r>
                    <w:rPr>
                      <w:rFonts w:hint="eastAsia"/>
                      <w:b/>
                      <w:bCs/>
                      <w:iCs/>
                      <w:snapToGrid w:val="0"/>
                      <w:kern w:val="0"/>
                      <w:szCs w:val="21"/>
                    </w:rPr>
                    <w:t>初期雨水收集池：</w:t>
                  </w:r>
                  <w:r>
                    <w:rPr>
                      <w:rFonts w:hint="eastAsia"/>
                      <w:iCs/>
                      <w:snapToGrid w:val="0"/>
                      <w:kern w:val="0"/>
                      <w:szCs w:val="21"/>
                    </w:rPr>
                    <w:t>设有</w:t>
                  </w:r>
                  <w:r>
                    <w:rPr>
                      <w:iCs/>
                      <w:snapToGrid w:val="0"/>
                      <w:kern w:val="0"/>
                      <w:szCs w:val="21"/>
                    </w:rPr>
                    <w:t>1</w:t>
                  </w:r>
                  <w:r>
                    <w:rPr>
                      <w:rFonts w:hint="eastAsia"/>
                      <w:iCs/>
                      <w:snapToGrid w:val="0"/>
                      <w:kern w:val="0"/>
                      <w:szCs w:val="21"/>
                    </w:rPr>
                    <w:t>座初期雨水收集池（75m³），截留下雨时前8</w:t>
                  </w:r>
                  <w:r>
                    <w:rPr>
                      <w:iCs/>
                      <w:snapToGrid w:val="0"/>
                      <w:kern w:val="0"/>
                      <w:szCs w:val="21"/>
                    </w:rPr>
                    <w:t>min</w:t>
                  </w:r>
                  <w:r>
                    <w:rPr>
                      <w:rFonts w:hint="eastAsia"/>
                      <w:iCs/>
                      <w:snapToGrid w:val="0"/>
                      <w:kern w:val="0"/>
                      <w:szCs w:val="21"/>
                    </w:rPr>
                    <w:t>的初期雨水。</w:t>
                  </w:r>
                </w:p>
              </w:tc>
              <w:tc>
                <w:tcPr>
                  <w:tcW w:w="975" w:type="dxa"/>
                  <w:tcBorders>
                    <w:tl2br w:val="nil"/>
                    <w:tr2bl w:val="nil"/>
                  </w:tcBorders>
                  <w:vAlign w:val="center"/>
                </w:tcPr>
                <w:p w14:paraId="4F9F2F49">
                  <w:pPr>
                    <w:widowControl/>
                    <w:wordWrap w:val="0"/>
                    <w:jc w:val="left"/>
                    <w:rPr>
                      <w:b/>
                      <w:bCs/>
                      <w:iCs/>
                      <w:snapToGrid w:val="0"/>
                      <w:kern w:val="0"/>
                      <w:szCs w:val="21"/>
                    </w:rPr>
                  </w:pPr>
                </w:p>
              </w:tc>
              <w:tc>
                <w:tcPr>
                  <w:tcW w:w="975" w:type="dxa"/>
                  <w:tcBorders>
                    <w:tl2br w:val="nil"/>
                    <w:tr2bl w:val="nil"/>
                  </w:tcBorders>
                  <w:vAlign w:val="center"/>
                </w:tcPr>
                <w:p w14:paraId="28E5D498">
                  <w:pPr>
                    <w:widowControl/>
                    <w:jc w:val="center"/>
                    <w:rPr>
                      <w:szCs w:val="21"/>
                    </w:rPr>
                  </w:pPr>
                  <w:r>
                    <w:rPr>
                      <w:rFonts w:hint="eastAsia"/>
                      <w:szCs w:val="21"/>
                    </w:rPr>
                    <w:t>废水、固废</w:t>
                  </w:r>
                </w:p>
              </w:tc>
              <w:tc>
                <w:tcPr>
                  <w:tcW w:w="645" w:type="dxa"/>
                  <w:tcBorders>
                    <w:tl2br w:val="nil"/>
                    <w:tr2bl w:val="nil"/>
                  </w:tcBorders>
                  <w:vAlign w:val="center"/>
                </w:tcPr>
                <w:p w14:paraId="1419933A">
                  <w:pPr>
                    <w:widowControl/>
                    <w:jc w:val="center"/>
                    <w:rPr>
                      <w:szCs w:val="21"/>
                    </w:rPr>
                  </w:pPr>
                  <w:r>
                    <w:rPr>
                      <w:rFonts w:hint="eastAsia"/>
                      <w:szCs w:val="21"/>
                    </w:rPr>
                    <w:t>新建</w:t>
                  </w:r>
                </w:p>
              </w:tc>
            </w:tr>
            <w:tr w14:paraId="52DD5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788DC6AC">
                  <w:pPr>
                    <w:widowControl/>
                    <w:jc w:val="center"/>
                    <w:rPr>
                      <w:szCs w:val="21"/>
                    </w:rPr>
                  </w:pPr>
                </w:p>
              </w:tc>
              <w:tc>
                <w:tcPr>
                  <w:tcW w:w="885" w:type="dxa"/>
                  <w:vMerge w:val="restart"/>
                  <w:tcBorders>
                    <w:tl2br w:val="nil"/>
                    <w:tr2bl w:val="nil"/>
                  </w:tcBorders>
                  <w:vAlign w:val="center"/>
                </w:tcPr>
                <w:p w14:paraId="720B9CA2">
                  <w:pPr>
                    <w:widowControl/>
                    <w:jc w:val="center"/>
                    <w:rPr>
                      <w:color w:val="C00000"/>
                      <w:szCs w:val="21"/>
                    </w:rPr>
                  </w:pPr>
                  <w:r>
                    <w:rPr>
                      <w:rFonts w:hint="eastAsia"/>
                      <w:szCs w:val="21"/>
                    </w:rPr>
                    <w:t>废气</w:t>
                  </w:r>
                </w:p>
              </w:tc>
              <w:tc>
                <w:tcPr>
                  <w:tcW w:w="4335" w:type="dxa"/>
                  <w:tcBorders>
                    <w:tl2br w:val="nil"/>
                    <w:tr2bl w:val="nil"/>
                  </w:tcBorders>
                  <w:vAlign w:val="center"/>
                </w:tcPr>
                <w:p w14:paraId="4284DF46">
                  <w:pPr>
                    <w:widowControl/>
                    <w:wordWrap w:val="0"/>
                    <w:jc w:val="left"/>
                    <w:rPr>
                      <w:szCs w:val="21"/>
                      <w:highlight w:val="yellow"/>
                    </w:rPr>
                  </w:pPr>
                  <w:r>
                    <w:rPr>
                      <w:rFonts w:hint="eastAsia"/>
                      <w:b/>
                      <w:bCs/>
                      <w:szCs w:val="21"/>
                      <w:lang w:bidi="ar"/>
                    </w:rPr>
                    <w:t>垃圾站房废气：</w:t>
                  </w:r>
                  <w:r>
                    <w:rPr>
                      <w:rFonts w:hint="eastAsia"/>
                      <w:kern w:val="0"/>
                      <w:szCs w:val="21"/>
                      <w:lang w:bidi="ar"/>
                    </w:rPr>
                    <w:t>垃圾站房设置离子新风系统、空间喷雾系统及负压除臭除尘系统。垃圾站房进出口采用快速自卷帘门封闭，同时形成良好的微负压状态，保证除臭系统的良好效果；安装1套空间喷雾系统，布置在卸料大厅空间内，通过雾化喷嘴将除臭工作液充分雾化成微小液滴后均匀混合在空气中，造雾量为24L/h。设置1套负压抽风除臭装置，垃圾站房（卸料、压缩等）、污水处理车间采用负压抽风收集+除尘除臭系统+15m排气筒排放（DA001）。</w:t>
                  </w:r>
                </w:p>
              </w:tc>
              <w:tc>
                <w:tcPr>
                  <w:tcW w:w="975" w:type="dxa"/>
                  <w:tcBorders>
                    <w:tl2br w:val="nil"/>
                    <w:tr2bl w:val="nil"/>
                  </w:tcBorders>
                  <w:vAlign w:val="center"/>
                </w:tcPr>
                <w:p w14:paraId="7E7653F9">
                  <w:pPr>
                    <w:widowControl/>
                    <w:jc w:val="center"/>
                    <w:rPr>
                      <w:szCs w:val="21"/>
                    </w:rPr>
                  </w:pPr>
                  <w:r>
                    <w:rPr>
                      <w:rFonts w:hint="eastAsia"/>
                      <w:szCs w:val="21"/>
                    </w:rPr>
                    <w:t>/</w:t>
                  </w:r>
                </w:p>
              </w:tc>
              <w:tc>
                <w:tcPr>
                  <w:tcW w:w="975" w:type="dxa"/>
                  <w:tcBorders>
                    <w:tl2br w:val="nil"/>
                    <w:tr2bl w:val="nil"/>
                  </w:tcBorders>
                  <w:vAlign w:val="center"/>
                </w:tcPr>
                <w:p w14:paraId="1C80659B">
                  <w:pPr>
                    <w:widowControl/>
                    <w:jc w:val="center"/>
                    <w:rPr>
                      <w:szCs w:val="21"/>
                    </w:rPr>
                  </w:pPr>
                  <w:r>
                    <w:rPr>
                      <w:rFonts w:hint="eastAsia"/>
                      <w:szCs w:val="21"/>
                    </w:rPr>
                    <w:t>恶臭、喷淋废水、污泥、噪声</w:t>
                  </w:r>
                </w:p>
              </w:tc>
              <w:tc>
                <w:tcPr>
                  <w:tcW w:w="645" w:type="dxa"/>
                  <w:tcBorders>
                    <w:tl2br w:val="nil"/>
                    <w:tr2bl w:val="nil"/>
                  </w:tcBorders>
                  <w:vAlign w:val="center"/>
                </w:tcPr>
                <w:p w14:paraId="04C69F63">
                  <w:pPr>
                    <w:widowControl/>
                    <w:jc w:val="center"/>
                    <w:rPr>
                      <w:szCs w:val="21"/>
                    </w:rPr>
                  </w:pPr>
                  <w:r>
                    <w:rPr>
                      <w:rFonts w:hint="eastAsia"/>
                      <w:szCs w:val="21"/>
                    </w:rPr>
                    <w:t>新建</w:t>
                  </w:r>
                </w:p>
              </w:tc>
            </w:tr>
            <w:tr w14:paraId="0785D2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102BECD2">
                  <w:pPr>
                    <w:widowControl/>
                    <w:jc w:val="center"/>
                    <w:rPr>
                      <w:szCs w:val="21"/>
                    </w:rPr>
                  </w:pPr>
                </w:p>
              </w:tc>
              <w:tc>
                <w:tcPr>
                  <w:tcW w:w="885" w:type="dxa"/>
                  <w:vMerge w:val="continue"/>
                  <w:tcBorders>
                    <w:tl2br w:val="nil"/>
                    <w:tr2bl w:val="nil"/>
                  </w:tcBorders>
                  <w:vAlign w:val="center"/>
                </w:tcPr>
                <w:p w14:paraId="0028DF27">
                  <w:pPr>
                    <w:widowControl/>
                    <w:jc w:val="center"/>
                    <w:rPr>
                      <w:szCs w:val="21"/>
                    </w:rPr>
                  </w:pPr>
                </w:p>
              </w:tc>
              <w:tc>
                <w:tcPr>
                  <w:tcW w:w="4335" w:type="dxa"/>
                  <w:tcBorders>
                    <w:tl2br w:val="nil"/>
                    <w:tr2bl w:val="nil"/>
                  </w:tcBorders>
                  <w:vAlign w:val="center"/>
                </w:tcPr>
                <w:p w14:paraId="3B058AC0">
                  <w:pPr>
                    <w:widowControl/>
                    <w:jc w:val="left"/>
                    <w:rPr>
                      <w:szCs w:val="21"/>
                    </w:rPr>
                  </w:pPr>
                  <w:r>
                    <w:rPr>
                      <w:rFonts w:hint="eastAsia"/>
                      <w:b/>
                      <w:bCs/>
                      <w:szCs w:val="21"/>
                      <w:lang w:bidi="ar"/>
                    </w:rPr>
                    <w:t>汽车尾气：</w:t>
                  </w:r>
                  <w:r>
                    <w:rPr>
                      <w:szCs w:val="21"/>
                    </w:rPr>
                    <w:t>汽车尾气产生量较小，通过自然扩散，对环境影响较小</w:t>
                  </w:r>
                  <w:r>
                    <w:rPr>
                      <w:rFonts w:hint="eastAsia"/>
                      <w:szCs w:val="21"/>
                    </w:rPr>
                    <w:t>。</w:t>
                  </w:r>
                </w:p>
              </w:tc>
              <w:tc>
                <w:tcPr>
                  <w:tcW w:w="975" w:type="dxa"/>
                  <w:tcBorders>
                    <w:tl2br w:val="nil"/>
                    <w:tr2bl w:val="nil"/>
                  </w:tcBorders>
                  <w:vAlign w:val="center"/>
                </w:tcPr>
                <w:p w14:paraId="5EA8A857">
                  <w:pPr>
                    <w:widowControl/>
                    <w:jc w:val="center"/>
                    <w:rPr>
                      <w:szCs w:val="21"/>
                    </w:rPr>
                  </w:pPr>
                  <w:r>
                    <w:rPr>
                      <w:rFonts w:hint="eastAsia"/>
                      <w:szCs w:val="21"/>
                    </w:rPr>
                    <w:t>/</w:t>
                  </w:r>
                </w:p>
              </w:tc>
              <w:tc>
                <w:tcPr>
                  <w:tcW w:w="975" w:type="dxa"/>
                  <w:tcBorders>
                    <w:tl2br w:val="nil"/>
                    <w:tr2bl w:val="nil"/>
                  </w:tcBorders>
                  <w:vAlign w:val="center"/>
                </w:tcPr>
                <w:p w14:paraId="074EE980">
                  <w:pPr>
                    <w:widowControl/>
                    <w:jc w:val="center"/>
                    <w:rPr>
                      <w:szCs w:val="21"/>
                    </w:rPr>
                  </w:pPr>
                  <w:r>
                    <w:rPr>
                      <w:rFonts w:hint="eastAsia"/>
                      <w:szCs w:val="21"/>
                    </w:rPr>
                    <w:t>尾气</w:t>
                  </w:r>
                </w:p>
              </w:tc>
              <w:tc>
                <w:tcPr>
                  <w:tcW w:w="645" w:type="dxa"/>
                  <w:tcBorders>
                    <w:tl2br w:val="nil"/>
                    <w:tr2bl w:val="nil"/>
                  </w:tcBorders>
                  <w:vAlign w:val="center"/>
                </w:tcPr>
                <w:p w14:paraId="79608972">
                  <w:pPr>
                    <w:widowControl/>
                    <w:jc w:val="center"/>
                    <w:rPr>
                      <w:szCs w:val="21"/>
                    </w:rPr>
                  </w:pPr>
                  <w:r>
                    <w:rPr>
                      <w:rFonts w:hint="eastAsia"/>
                      <w:szCs w:val="21"/>
                    </w:rPr>
                    <w:t>新建</w:t>
                  </w:r>
                </w:p>
              </w:tc>
            </w:tr>
            <w:tr w14:paraId="079AF7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9" w:hRule="atLeast"/>
                <w:jc w:val="center"/>
              </w:trPr>
              <w:tc>
                <w:tcPr>
                  <w:tcW w:w="601" w:type="dxa"/>
                  <w:vMerge w:val="continue"/>
                  <w:tcBorders>
                    <w:tl2br w:val="nil"/>
                    <w:tr2bl w:val="nil"/>
                  </w:tcBorders>
                  <w:vAlign w:val="center"/>
                </w:tcPr>
                <w:p w14:paraId="33DEBFA1">
                  <w:pPr>
                    <w:widowControl/>
                    <w:jc w:val="center"/>
                    <w:rPr>
                      <w:szCs w:val="21"/>
                    </w:rPr>
                  </w:pPr>
                </w:p>
              </w:tc>
              <w:tc>
                <w:tcPr>
                  <w:tcW w:w="885" w:type="dxa"/>
                  <w:vMerge w:val="continue"/>
                  <w:tcBorders>
                    <w:tl2br w:val="nil"/>
                    <w:tr2bl w:val="nil"/>
                  </w:tcBorders>
                  <w:vAlign w:val="center"/>
                </w:tcPr>
                <w:p w14:paraId="036A650D">
                  <w:pPr>
                    <w:widowControl/>
                    <w:jc w:val="center"/>
                    <w:rPr>
                      <w:szCs w:val="21"/>
                    </w:rPr>
                  </w:pPr>
                </w:p>
              </w:tc>
              <w:tc>
                <w:tcPr>
                  <w:tcW w:w="4335" w:type="dxa"/>
                  <w:tcBorders>
                    <w:tl2br w:val="nil"/>
                    <w:tr2bl w:val="nil"/>
                  </w:tcBorders>
                  <w:vAlign w:val="center"/>
                </w:tcPr>
                <w:p w14:paraId="23B343DE">
                  <w:pPr>
                    <w:widowControl/>
                    <w:jc w:val="left"/>
                    <w:rPr>
                      <w:szCs w:val="21"/>
                    </w:rPr>
                  </w:pPr>
                  <w:r>
                    <w:rPr>
                      <w:rFonts w:hint="eastAsia"/>
                      <w:b/>
                      <w:bCs/>
                      <w:szCs w:val="21"/>
                      <w:lang w:bidi="ar"/>
                    </w:rPr>
                    <w:t>柴油发电机废气：</w:t>
                  </w:r>
                  <w:r>
                    <w:rPr>
                      <w:kern w:val="0"/>
                      <w:szCs w:val="21"/>
                      <w:lang w:bidi="ar"/>
                    </w:rPr>
                    <w:t>采用机械送、排风的形式保持良好的通风性，柴油发电机排放的废气</w:t>
                  </w:r>
                  <w:r>
                    <w:rPr>
                      <w:szCs w:val="21"/>
                    </w:rPr>
                    <w:t>通过设备自带的消烟除尘装置处理后</w:t>
                  </w:r>
                  <w:r>
                    <w:rPr>
                      <w:rFonts w:hint="eastAsia"/>
                      <w:szCs w:val="21"/>
                    </w:rPr>
                    <w:t>经</w:t>
                  </w:r>
                  <w:r>
                    <w:rPr>
                      <w:kern w:val="0"/>
                      <w:szCs w:val="21"/>
                      <w:lang w:bidi="ar"/>
                    </w:rPr>
                    <w:t>抽风机抽至地面排风口处排放</w:t>
                  </w:r>
                  <w:r>
                    <w:rPr>
                      <w:rFonts w:hint="eastAsia"/>
                      <w:kern w:val="0"/>
                      <w:szCs w:val="21"/>
                      <w:lang w:bidi="ar"/>
                    </w:rPr>
                    <w:t>。</w:t>
                  </w:r>
                </w:p>
              </w:tc>
              <w:tc>
                <w:tcPr>
                  <w:tcW w:w="975" w:type="dxa"/>
                  <w:tcBorders>
                    <w:tl2br w:val="nil"/>
                    <w:tr2bl w:val="nil"/>
                  </w:tcBorders>
                  <w:vAlign w:val="center"/>
                </w:tcPr>
                <w:p w14:paraId="2F3F7291">
                  <w:pPr>
                    <w:widowControl/>
                    <w:jc w:val="center"/>
                    <w:rPr>
                      <w:szCs w:val="21"/>
                    </w:rPr>
                  </w:pPr>
                  <w:r>
                    <w:rPr>
                      <w:rFonts w:hint="eastAsia"/>
                      <w:szCs w:val="21"/>
                    </w:rPr>
                    <w:t>/</w:t>
                  </w:r>
                </w:p>
              </w:tc>
              <w:tc>
                <w:tcPr>
                  <w:tcW w:w="975" w:type="dxa"/>
                  <w:tcBorders>
                    <w:tl2br w:val="nil"/>
                    <w:tr2bl w:val="nil"/>
                  </w:tcBorders>
                  <w:vAlign w:val="center"/>
                </w:tcPr>
                <w:p w14:paraId="301AF321">
                  <w:pPr>
                    <w:widowControl/>
                    <w:jc w:val="center"/>
                    <w:rPr>
                      <w:szCs w:val="21"/>
                    </w:rPr>
                  </w:pPr>
                  <w:r>
                    <w:rPr>
                      <w:rFonts w:hint="eastAsia"/>
                      <w:szCs w:val="21"/>
                    </w:rPr>
                    <w:t>废气</w:t>
                  </w:r>
                </w:p>
              </w:tc>
              <w:tc>
                <w:tcPr>
                  <w:tcW w:w="645" w:type="dxa"/>
                  <w:tcBorders>
                    <w:tl2br w:val="nil"/>
                    <w:tr2bl w:val="nil"/>
                  </w:tcBorders>
                  <w:vAlign w:val="center"/>
                </w:tcPr>
                <w:p w14:paraId="14EDF349">
                  <w:pPr>
                    <w:widowControl/>
                    <w:jc w:val="center"/>
                    <w:rPr>
                      <w:szCs w:val="21"/>
                    </w:rPr>
                  </w:pPr>
                  <w:r>
                    <w:rPr>
                      <w:rFonts w:hint="eastAsia"/>
                      <w:szCs w:val="21"/>
                    </w:rPr>
                    <w:t>新建</w:t>
                  </w:r>
                </w:p>
              </w:tc>
            </w:tr>
            <w:tr w14:paraId="1E959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5F07B55B">
                  <w:pPr>
                    <w:widowControl/>
                    <w:jc w:val="center"/>
                    <w:rPr>
                      <w:szCs w:val="21"/>
                    </w:rPr>
                  </w:pPr>
                </w:p>
              </w:tc>
              <w:tc>
                <w:tcPr>
                  <w:tcW w:w="885" w:type="dxa"/>
                  <w:vMerge w:val="restart"/>
                  <w:tcBorders>
                    <w:tl2br w:val="nil"/>
                    <w:tr2bl w:val="nil"/>
                  </w:tcBorders>
                  <w:vAlign w:val="center"/>
                </w:tcPr>
                <w:p w14:paraId="45C55460">
                  <w:pPr>
                    <w:widowControl/>
                    <w:jc w:val="center"/>
                    <w:rPr>
                      <w:szCs w:val="21"/>
                    </w:rPr>
                  </w:pPr>
                  <w:r>
                    <w:rPr>
                      <w:rFonts w:hint="eastAsia"/>
                      <w:szCs w:val="21"/>
                    </w:rPr>
                    <w:t>噪声</w:t>
                  </w:r>
                </w:p>
              </w:tc>
              <w:tc>
                <w:tcPr>
                  <w:tcW w:w="4335" w:type="dxa"/>
                  <w:tcBorders>
                    <w:tl2br w:val="nil"/>
                    <w:tr2bl w:val="nil"/>
                  </w:tcBorders>
                  <w:vAlign w:val="center"/>
                </w:tcPr>
                <w:p w14:paraId="3E42CB6E">
                  <w:pPr>
                    <w:widowControl/>
                    <w:jc w:val="left"/>
                    <w:rPr>
                      <w:szCs w:val="21"/>
                    </w:rPr>
                  </w:pPr>
                  <w:r>
                    <w:rPr>
                      <w:rFonts w:hint="eastAsia"/>
                      <w:b/>
                      <w:bCs/>
                      <w:color w:val="000000"/>
                      <w:kern w:val="0"/>
                      <w:szCs w:val="21"/>
                    </w:rPr>
                    <w:t>设备噪声：</w:t>
                  </w:r>
                  <w:r>
                    <w:rPr>
                      <w:spacing w:val="4"/>
                    </w:rPr>
                    <w:t>本项目压缩设备、废水处理设备均位于</w:t>
                  </w:r>
                  <w:r>
                    <w:rPr>
                      <w:rFonts w:hint="eastAsia"/>
                      <w:spacing w:val="4"/>
                    </w:rPr>
                    <w:t>室内</w:t>
                  </w:r>
                  <w:r>
                    <w:rPr>
                      <w:spacing w:val="4"/>
                    </w:rPr>
                    <w:t>，垃圾的压缩转运</w:t>
                  </w:r>
                  <w:r>
                    <w:rPr>
                      <w:rFonts w:hint="eastAsia"/>
                      <w:spacing w:val="4"/>
                    </w:rPr>
                    <w:t>均</w:t>
                  </w:r>
                  <w:r>
                    <w:rPr>
                      <w:spacing w:val="4"/>
                    </w:rPr>
                    <w:t>在白天进行，所有的卸料、压缩、废水处理等都是在</w:t>
                  </w:r>
                  <w:r>
                    <w:rPr>
                      <w:rFonts w:hint="eastAsia"/>
                      <w:spacing w:val="4"/>
                    </w:rPr>
                    <w:t>砖混</w:t>
                  </w:r>
                  <w:r>
                    <w:rPr>
                      <w:spacing w:val="4"/>
                    </w:rPr>
                    <w:t>车间内完成，同时采取机械噪声经基础减振</w:t>
                  </w:r>
                  <w:r>
                    <w:rPr>
                      <w:rFonts w:hint="eastAsia"/>
                      <w:spacing w:val="4"/>
                    </w:rPr>
                    <w:t>、风机安装消音</w:t>
                  </w:r>
                  <w:r>
                    <w:rPr>
                      <w:spacing w:val="4"/>
                    </w:rPr>
                    <w:t>等。</w:t>
                  </w:r>
                </w:p>
              </w:tc>
              <w:tc>
                <w:tcPr>
                  <w:tcW w:w="975" w:type="dxa"/>
                  <w:tcBorders>
                    <w:tl2br w:val="nil"/>
                    <w:tr2bl w:val="nil"/>
                  </w:tcBorders>
                  <w:vAlign w:val="center"/>
                </w:tcPr>
                <w:p w14:paraId="23830BA9">
                  <w:pPr>
                    <w:widowControl/>
                    <w:jc w:val="center"/>
                    <w:rPr>
                      <w:szCs w:val="21"/>
                    </w:rPr>
                  </w:pPr>
                  <w:r>
                    <w:rPr>
                      <w:rFonts w:hint="eastAsia"/>
                      <w:szCs w:val="21"/>
                    </w:rPr>
                    <w:t>/</w:t>
                  </w:r>
                </w:p>
              </w:tc>
              <w:tc>
                <w:tcPr>
                  <w:tcW w:w="975" w:type="dxa"/>
                  <w:tcBorders>
                    <w:tl2br w:val="nil"/>
                    <w:tr2bl w:val="nil"/>
                  </w:tcBorders>
                  <w:vAlign w:val="center"/>
                </w:tcPr>
                <w:p w14:paraId="75631DEB">
                  <w:pPr>
                    <w:widowControl/>
                    <w:jc w:val="center"/>
                    <w:rPr>
                      <w:szCs w:val="21"/>
                    </w:rPr>
                  </w:pPr>
                  <w:r>
                    <w:rPr>
                      <w:rFonts w:hint="eastAsia"/>
                      <w:szCs w:val="21"/>
                    </w:rPr>
                    <w:t>噪声</w:t>
                  </w:r>
                </w:p>
              </w:tc>
              <w:tc>
                <w:tcPr>
                  <w:tcW w:w="645" w:type="dxa"/>
                  <w:tcBorders>
                    <w:tl2br w:val="nil"/>
                    <w:tr2bl w:val="nil"/>
                  </w:tcBorders>
                  <w:vAlign w:val="center"/>
                </w:tcPr>
                <w:p w14:paraId="767FC42B">
                  <w:pPr>
                    <w:widowControl/>
                    <w:jc w:val="center"/>
                    <w:rPr>
                      <w:szCs w:val="21"/>
                    </w:rPr>
                  </w:pPr>
                  <w:r>
                    <w:rPr>
                      <w:rFonts w:hint="eastAsia"/>
                      <w:szCs w:val="21"/>
                    </w:rPr>
                    <w:t>新建</w:t>
                  </w:r>
                </w:p>
              </w:tc>
            </w:tr>
            <w:tr w14:paraId="63CB1A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6B3301FD">
                  <w:pPr>
                    <w:widowControl/>
                    <w:jc w:val="center"/>
                    <w:rPr>
                      <w:szCs w:val="21"/>
                    </w:rPr>
                  </w:pPr>
                </w:p>
              </w:tc>
              <w:tc>
                <w:tcPr>
                  <w:tcW w:w="885" w:type="dxa"/>
                  <w:vMerge w:val="continue"/>
                  <w:tcBorders>
                    <w:tl2br w:val="nil"/>
                    <w:tr2bl w:val="nil"/>
                  </w:tcBorders>
                  <w:vAlign w:val="center"/>
                </w:tcPr>
                <w:p w14:paraId="1EE029F8">
                  <w:pPr>
                    <w:widowControl/>
                    <w:jc w:val="center"/>
                    <w:rPr>
                      <w:szCs w:val="21"/>
                    </w:rPr>
                  </w:pPr>
                </w:p>
              </w:tc>
              <w:tc>
                <w:tcPr>
                  <w:tcW w:w="4335" w:type="dxa"/>
                  <w:tcBorders>
                    <w:tl2br w:val="nil"/>
                    <w:tr2bl w:val="nil"/>
                  </w:tcBorders>
                  <w:vAlign w:val="center"/>
                </w:tcPr>
                <w:p w14:paraId="18B6C7AB">
                  <w:pPr>
                    <w:widowControl/>
                    <w:jc w:val="left"/>
                    <w:rPr>
                      <w:szCs w:val="21"/>
                    </w:rPr>
                  </w:pPr>
                  <w:r>
                    <w:rPr>
                      <w:rFonts w:hint="eastAsia"/>
                      <w:b/>
                      <w:bCs/>
                      <w:color w:val="000000"/>
                      <w:kern w:val="0"/>
                      <w:szCs w:val="21"/>
                    </w:rPr>
                    <w:t>交通噪声：</w:t>
                  </w:r>
                  <w:r>
                    <w:t>减速慢行，加强管理、设置禁止鸣笛等标识标牌</w:t>
                  </w:r>
                  <w:r>
                    <w:rPr>
                      <w:rFonts w:hint="eastAsia"/>
                    </w:rPr>
                    <w:t>。</w:t>
                  </w:r>
                </w:p>
              </w:tc>
              <w:tc>
                <w:tcPr>
                  <w:tcW w:w="975" w:type="dxa"/>
                  <w:tcBorders>
                    <w:tl2br w:val="nil"/>
                    <w:tr2bl w:val="nil"/>
                  </w:tcBorders>
                  <w:vAlign w:val="center"/>
                </w:tcPr>
                <w:p w14:paraId="3716A3EB">
                  <w:pPr>
                    <w:widowControl/>
                    <w:jc w:val="center"/>
                    <w:rPr>
                      <w:szCs w:val="21"/>
                    </w:rPr>
                  </w:pPr>
                  <w:r>
                    <w:rPr>
                      <w:rFonts w:hint="eastAsia"/>
                      <w:szCs w:val="21"/>
                    </w:rPr>
                    <w:t>/</w:t>
                  </w:r>
                </w:p>
              </w:tc>
              <w:tc>
                <w:tcPr>
                  <w:tcW w:w="975" w:type="dxa"/>
                  <w:tcBorders>
                    <w:tl2br w:val="nil"/>
                    <w:tr2bl w:val="nil"/>
                  </w:tcBorders>
                  <w:vAlign w:val="center"/>
                </w:tcPr>
                <w:p w14:paraId="7A9B3C12">
                  <w:pPr>
                    <w:widowControl/>
                    <w:jc w:val="center"/>
                    <w:rPr>
                      <w:szCs w:val="21"/>
                    </w:rPr>
                  </w:pPr>
                  <w:r>
                    <w:rPr>
                      <w:rFonts w:hint="eastAsia"/>
                      <w:szCs w:val="21"/>
                    </w:rPr>
                    <w:t>噪声</w:t>
                  </w:r>
                </w:p>
              </w:tc>
              <w:tc>
                <w:tcPr>
                  <w:tcW w:w="645" w:type="dxa"/>
                  <w:tcBorders>
                    <w:tl2br w:val="nil"/>
                    <w:tr2bl w:val="nil"/>
                  </w:tcBorders>
                  <w:vAlign w:val="center"/>
                </w:tcPr>
                <w:p w14:paraId="305C663E">
                  <w:pPr>
                    <w:widowControl/>
                    <w:jc w:val="center"/>
                    <w:rPr>
                      <w:szCs w:val="21"/>
                    </w:rPr>
                  </w:pPr>
                  <w:r>
                    <w:rPr>
                      <w:rFonts w:hint="eastAsia"/>
                      <w:szCs w:val="21"/>
                    </w:rPr>
                    <w:t>新建</w:t>
                  </w:r>
                </w:p>
              </w:tc>
            </w:tr>
            <w:tr w14:paraId="4B1250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01D713D0">
                  <w:pPr>
                    <w:widowControl/>
                    <w:jc w:val="center"/>
                    <w:rPr>
                      <w:szCs w:val="21"/>
                    </w:rPr>
                  </w:pPr>
                </w:p>
              </w:tc>
              <w:tc>
                <w:tcPr>
                  <w:tcW w:w="885" w:type="dxa"/>
                  <w:vMerge w:val="restart"/>
                  <w:tcBorders>
                    <w:tl2br w:val="nil"/>
                    <w:tr2bl w:val="nil"/>
                  </w:tcBorders>
                  <w:vAlign w:val="center"/>
                </w:tcPr>
                <w:p w14:paraId="331FB302">
                  <w:pPr>
                    <w:widowControl/>
                    <w:jc w:val="center"/>
                    <w:rPr>
                      <w:szCs w:val="21"/>
                    </w:rPr>
                  </w:pPr>
                  <w:r>
                    <w:rPr>
                      <w:rFonts w:hint="eastAsia"/>
                      <w:szCs w:val="21"/>
                    </w:rPr>
                    <w:t>固废</w:t>
                  </w:r>
                </w:p>
              </w:tc>
              <w:tc>
                <w:tcPr>
                  <w:tcW w:w="4335" w:type="dxa"/>
                  <w:tcBorders>
                    <w:tl2br w:val="nil"/>
                    <w:tr2bl w:val="nil"/>
                  </w:tcBorders>
                  <w:vAlign w:val="center"/>
                </w:tcPr>
                <w:p w14:paraId="62232027">
                  <w:pPr>
                    <w:adjustRightInd w:val="0"/>
                    <w:snapToGrid w:val="0"/>
                    <w:spacing w:line="25" w:lineRule="atLeast"/>
                    <w:jc w:val="left"/>
                    <w:rPr>
                      <w:kern w:val="0"/>
                      <w:szCs w:val="21"/>
                    </w:rPr>
                  </w:pPr>
                  <w:r>
                    <w:rPr>
                      <w:rFonts w:hint="eastAsia"/>
                      <w:b/>
                      <w:bCs/>
                      <w:kern w:val="0"/>
                      <w:szCs w:val="21"/>
                    </w:rPr>
                    <w:t>生活垃圾：</w:t>
                  </w:r>
                  <w:r>
                    <w:rPr>
                      <w:rFonts w:hint="eastAsia" w:ascii="宋体" w:hAnsi="宋体" w:cs="宋体"/>
                      <w:color w:val="000000"/>
                      <w:kern w:val="0"/>
                      <w:szCs w:val="21"/>
                      <w:lang w:bidi="ar"/>
                    </w:rPr>
                    <w:t>生活垃圾收集后每日连同外运回来的生活垃圾一并进行压缩处理后外运至达州市生活垃圾焚烧厂。</w:t>
                  </w:r>
                </w:p>
              </w:tc>
              <w:tc>
                <w:tcPr>
                  <w:tcW w:w="975" w:type="dxa"/>
                  <w:tcBorders>
                    <w:tl2br w:val="nil"/>
                    <w:tr2bl w:val="nil"/>
                  </w:tcBorders>
                  <w:vAlign w:val="center"/>
                </w:tcPr>
                <w:p w14:paraId="7895737F">
                  <w:pPr>
                    <w:widowControl/>
                    <w:jc w:val="center"/>
                    <w:rPr>
                      <w:szCs w:val="21"/>
                    </w:rPr>
                  </w:pPr>
                  <w:r>
                    <w:rPr>
                      <w:rFonts w:hint="eastAsia"/>
                      <w:szCs w:val="21"/>
                    </w:rPr>
                    <w:t>/</w:t>
                  </w:r>
                </w:p>
              </w:tc>
              <w:tc>
                <w:tcPr>
                  <w:tcW w:w="975" w:type="dxa"/>
                  <w:tcBorders>
                    <w:tl2br w:val="nil"/>
                    <w:tr2bl w:val="nil"/>
                  </w:tcBorders>
                  <w:vAlign w:val="center"/>
                </w:tcPr>
                <w:p w14:paraId="187CCE98">
                  <w:pPr>
                    <w:widowControl/>
                    <w:jc w:val="center"/>
                    <w:rPr>
                      <w:szCs w:val="21"/>
                    </w:rPr>
                  </w:pPr>
                  <w:r>
                    <w:rPr>
                      <w:rFonts w:hint="eastAsia"/>
                      <w:szCs w:val="21"/>
                    </w:rPr>
                    <w:t>固废</w:t>
                  </w:r>
                </w:p>
              </w:tc>
              <w:tc>
                <w:tcPr>
                  <w:tcW w:w="645" w:type="dxa"/>
                  <w:tcBorders>
                    <w:tl2br w:val="nil"/>
                    <w:tr2bl w:val="nil"/>
                  </w:tcBorders>
                  <w:vAlign w:val="center"/>
                </w:tcPr>
                <w:p w14:paraId="070E4FA6">
                  <w:pPr>
                    <w:widowControl/>
                    <w:jc w:val="center"/>
                    <w:rPr>
                      <w:szCs w:val="21"/>
                    </w:rPr>
                  </w:pPr>
                  <w:r>
                    <w:rPr>
                      <w:rFonts w:hint="eastAsia"/>
                      <w:szCs w:val="21"/>
                    </w:rPr>
                    <w:t>新建</w:t>
                  </w:r>
                </w:p>
              </w:tc>
            </w:tr>
            <w:tr w14:paraId="38F203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1899882A">
                  <w:pPr>
                    <w:widowControl/>
                    <w:jc w:val="center"/>
                    <w:rPr>
                      <w:szCs w:val="21"/>
                    </w:rPr>
                  </w:pPr>
                </w:p>
              </w:tc>
              <w:tc>
                <w:tcPr>
                  <w:tcW w:w="885" w:type="dxa"/>
                  <w:vMerge w:val="continue"/>
                  <w:tcBorders>
                    <w:tl2br w:val="nil"/>
                    <w:tr2bl w:val="nil"/>
                  </w:tcBorders>
                  <w:vAlign w:val="center"/>
                </w:tcPr>
                <w:p w14:paraId="55097C3D">
                  <w:pPr>
                    <w:widowControl/>
                    <w:jc w:val="center"/>
                    <w:rPr>
                      <w:szCs w:val="21"/>
                    </w:rPr>
                  </w:pPr>
                </w:p>
              </w:tc>
              <w:tc>
                <w:tcPr>
                  <w:tcW w:w="4335" w:type="dxa"/>
                  <w:tcBorders>
                    <w:tl2br w:val="nil"/>
                    <w:tr2bl w:val="nil"/>
                  </w:tcBorders>
                  <w:vAlign w:val="center"/>
                </w:tcPr>
                <w:p w14:paraId="67F006DA">
                  <w:pPr>
                    <w:adjustRightInd w:val="0"/>
                    <w:snapToGrid w:val="0"/>
                    <w:spacing w:line="25" w:lineRule="atLeast"/>
                    <w:jc w:val="left"/>
                    <w:rPr>
                      <w:b/>
                      <w:bCs/>
                      <w:kern w:val="0"/>
                      <w:szCs w:val="21"/>
                    </w:rPr>
                  </w:pPr>
                  <w:r>
                    <w:rPr>
                      <w:rFonts w:hint="eastAsia"/>
                      <w:b/>
                      <w:bCs/>
                      <w:color w:val="000000"/>
                      <w:kern w:val="0"/>
                      <w:szCs w:val="21"/>
                      <w:lang w:bidi="ar"/>
                    </w:rPr>
                    <w:t>渗滤液处理系统污泥：</w:t>
                  </w:r>
                  <w:r>
                    <w:rPr>
                      <w:rFonts w:hint="eastAsia"/>
                      <w:color w:val="000000"/>
                      <w:kern w:val="0"/>
                      <w:szCs w:val="21"/>
                      <w:lang w:bidi="ar"/>
                    </w:rPr>
                    <w:t>设置1个2.54m³/d的污泥池，污泥经叠螺机押运处理后外运至达州市生活垃圾焚烧。</w:t>
                  </w:r>
                </w:p>
              </w:tc>
              <w:tc>
                <w:tcPr>
                  <w:tcW w:w="975" w:type="dxa"/>
                  <w:tcBorders>
                    <w:tl2br w:val="nil"/>
                    <w:tr2bl w:val="nil"/>
                  </w:tcBorders>
                  <w:vAlign w:val="center"/>
                </w:tcPr>
                <w:p w14:paraId="7E43B91A">
                  <w:pPr>
                    <w:widowControl/>
                    <w:jc w:val="center"/>
                    <w:rPr>
                      <w:szCs w:val="21"/>
                    </w:rPr>
                  </w:pPr>
                </w:p>
              </w:tc>
              <w:tc>
                <w:tcPr>
                  <w:tcW w:w="975" w:type="dxa"/>
                  <w:tcBorders>
                    <w:tl2br w:val="nil"/>
                    <w:tr2bl w:val="nil"/>
                  </w:tcBorders>
                  <w:shd w:val="clear" w:color="auto" w:fill="auto"/>
                  <w:vAlign w:val="center"/>
                </w:tcPr>
                <w:p w14:paraId="07210778">
                  <w:pPr>
                    <w:widowControl/>
                    <w:jc w:val="center"/>
                    <w:rPr>
                      <w:szCs w:val="21"/>
                    </w:rPr>
                  </w:pPr>
                  <w:r>
                    <w:rPr>
                      <w:rFonts w:hint="eastAsia"/>
                      <w:szCs w:val="21"/>
                    </w:rPr>
                    <w:t>污泥</w:t>
                  </w:r>
                </w:p>
              </w:tc>
              <w:tc>
                <w:tcPr>
                  <w:tcW w:w="645" w:type="dxa"/>
                  <w:tcBorders>
                    <w:tl2br w:val="nil"/>
                    <w:tr2bl w:val="nil"/>
                  </w:tcBorders>
                  <w:shd w:val="clear" w:color="auto" w:fill="auto"/>
                  <w:vAlign w:val="center"/>
                </w:tcPr>
                <w:p w14:paraId="19284529">
                  <w:pPr>
                    <w:widowControl/>
                    <w:jc w:val="center"/>
                    <w:rPr>
                      <w:szCs w:val="21"/>
                    </w:rPr>
                  </w:pPr>
                  <w:r>
                    <w:rPr>
                      <w:rFonts w:hint="eastAsia"/>
                      <w:szCs w:val="21"/>
                    </w:rPr>
                    <w:t>新建</w:t>
                  </w:r>
                </w:p>
              </w:tc>
            </w:tr>
            <w:tr w14:paraId="254D53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376CA6D3">
                  <w:pPr>
                    <w:widowControl/>
                    <w:jc w:val="center"/>
                    <w:rPr>
                      <w:szCs w:val="21"/>
                    </w:rPr>
                  </w:pPr>
                </w:p>
              </w:tc>
              <w:tc>
                <w:tcPr>
                  <w:tcW w:w="885" w:type="dxa"/>
                  <w:vMerge w:val="continue"/>
                  <w:tcBorders>
                    <w:tl2br w:val="nil"/>
                    <w:tr2bl w:val="nil"/>
                  </w:tcBorders>
                  <w:vAlign w:val="center"/>
                </w:tcPr>
                <w:p w14:paraId="5E48CBF6">
                  <w:pPr>
                    <w:widowControl/>
                    <w:jc w:val="center"/>
                    <w:rPr>
                      <w:szCs w:val="21"/>
                    </w:rPr>
                  </w:pPr>
                </w:p>
              </w:tc>
              <w:tc>
                <w:tcPr>
                  <w:tcW w:w="4335" w:type="dxa"/>
                  <w:tcBorders>
                    <w:tl2br w:val="nil"/>
                    <w:tr2bl w:val="nil"/>
                  </w:tcBorders>
                  <w:vAlign w:val="center"/>
                </w:tcPr>
                <w:p w14:paraId="29C57802">
                  <w:pPr>
                    <w:adjustRightInd w:val="0"/>
                    <w:snapToGrid w:val="0"/>
                    <w:spacing w:line="25" w:lineRule="atLeast"/>
                    <w:jc w:val="left"/>
                    <w:rPr>
                      <w:color w:val="000000"/>
                      <w:kern w:val="0"/>
                      <w:szCs w:val="21"/>
                      <w:lang w:bidi="ar"/>
                    </w:rPr>
                  </w:pPr>
                  <w:r>
                    <w:rPr>
                      <w:rFonts w:hint="eastAsia"/>
                      <w:b/>
                      <w:bCs/>
                      <w:kern w:val="0"/>
                      <w:szCs w:val="21"/>
                    </w:rPr>
                    <w:t>化粪池污泥：</w:t>
                  </w:r>
                  <w:r>
                    <w:rPr>
                      <w:color w:val="000000"/>
                      <w:kern w:val="0"/>
                      <w:szCs w:val="21"/>
                      <w:lang w:bidi="ar"/>
                    </w:rPr>
                    <w:t>定期清掏</w:t>
                  </w:r>
                  <w:r>
                    <w:rPr>
                      <w:rFonts w:hint="eastAsia"/>
                      <w:color w:val="000000"/>
                      <w:kern w:val="0"/>
                      <w:szCs w:val="21"/>
                      <w:lang w:bidi="ar"/>
                    </w:rPr>
                    <w:t>同生活垃圾一并运至达州市生活垃圾焚烧厂处理。</w:t>
                  </w:r>
                </w:p>
              </w:tc>
              <w:tc>
                <w:tcPr>
                  <w:tcW w:w="975" w:type="dxa"/>
                  <w:tcBorders>
                    <w:tl2br w:val="nil"/>
                    <w:tr2bl w:val="nil"/>
                  </w:tcBorders>
                  <w:vAlign w:val="center"/>
                </w:tcPr>
                <w:p w14:paraId="17999DD3">
                  <w:pPr>
                    <w:widowControl/>
                    <w:jc w:val="center"/>
                    <w:rPr>
                      <w:szCs w:val="21"/>
                    </w:rPr>
                  </w:pPr>
                  <w:r>
                    <w:rPr>
                      <w:rFonts w:hint="eastAsia"/>
                      <w:szCs w:val="21"/>
                    </w:rPr>
                    <w:t>/</w:t>
                  </w:r>
                </w:p>
              </w:tc>
              <w:tc>
                <w:tcPr>
                  <w:tcW w:w="975" w:type="dxa"/>
                  <w:tcBorders>
                    <w:tl2br w:val="nil"/>
                    <w:tr2bl w:val="nil"/>
                  </w:tcBorders>
                  <w:vAlign w:val="center"/>
                </w:tcPr>
                <w:p w14:paraId="7B486ADC">
                  <w:pPr>
                    <w:widowControl/>
                    <w:jc w:val="center"/>
                    <w:rPr>
                      <w:szCs w:val="21"/>
                    </w:rPr>
                  </w:pPr>
                  <w:r>
                    <w:rPr>
                      <w:rFonts w:hint="eastAsia"/>
                      <w:szCs w:val="21"/>
                    </w:rPr>
                    <w:t>污泥</w:t>
                  </w:r>
                </w:p>
              </w:tc>
              <w:tc>
                <w:tcPr>
                  <w:tcW w:w="645" w:type="dxa"/>
                  <w:tcBorders>
                    <w:tl2br w:val="nil"/>
                    <w:tr2bl w:val="nil"/>
                  </w:tcBorders>
                  <w:vAlign w:val="center"/>
                </w:tcPr>
                <w:p w14:paraId="24387781">
                  <w:pPr>
                    <w:widowControl/>
                    <w:jc w:val="center"/>
                    <w:rPr>
                      <w:szCs w:val="21"/>
                    </w:rPr>
                  </w:pPr>
                  <w:r>
                    <w:rPr>
                      <w:rFonts w:hint="eastAsia"/>
                      <w:szCs w:val="21"/>
                    </w:rPr>
                    <w:t>新建</w:t>
                  </w:r>
                </w:p>
              </w:tc>
            </w:tr>
            <w:tr w14:paraId="5D0727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229595D4">
                  <w:pPr>
                    <w:widowControl/>
                    <w:jc w:val="center"/>
                    <w:rPr>
                      <w:szCs w:val="21"/>
                    </w:rPr>
                  </w:pPr>
                </w:p>
              </w:tc>
              <w:tc>
                <w:tcPr>
                  <w:tcW w:w="885" w:type="dxa"/>
                  <w:vMerge w:val="continue"/>
                  <w:tcBorders>
                    <w:tl2br w:val="nil"/>
                    <w:tr2bl w:val="nil"/>
                  </w:tcBorders>
                  <w:vAlign w:val="center"/>
                </w:tcPr>
                <w:p w14:paraId="5FA1A720">
                  <w:pPr>
                    <w:widowControl/>
                    <w:jc w:val="center"/>
                    <w:rPr>
                      <w:szCs w:val="21"/>
                    </w:rPr>
                  </w:pPr>
                </w:p>
              </w:tc>
              <w:tc>
                <w:tcPr>
                  <w:tcW w:w="4335" w:type="dxa"/>
                  <w:tcBorders>
                    <w:tl2br w:val="nil"/>
                    <w:tr2bl w:val="nil"/>
                  </w:tcBorders>
                  <w:vAlign w:val="center"/>
                </w:tcPr>
                <w:p w14:paraId="579570E8">
                  <w:pPr>
                    <w:adjustRightInd w:val="0"/>
                    <w:snapToGrid w:val="0"/>
                    <w:spacing w:line="25" w:lineRule="atLeast"/>
                    <w:jc w:val="left"/>
                    <w:rPr>
                      <w:b/>
                      <w:bCs/>
                      <w:kern w:val="0"/>
                      <w:szCs w:val="21"/>
                    </w:rPr>
                  </w:pPr>
                  <w:r>
                    <w:rPr>
                      <w:rFonts w:hint="eastAsia"/>
                      <w:b/>
                      <w:bCs/>
                      <w:kern w:val="0"/>
                      <w:szCs w:val="21"/>
                    </w:rPr>
                    <w:t>一般固废：</w:t>
                  </w:r>
                  <w:r>
                    <w:rPr>
                      <w:rFonts w:hint="eastAsia"/>
                      <w:kern w:val="0"/>
                      <w:szCs w:val="21"/>
                    </w:rPr>
                    <w:t>废</w:t>
                  </w:r>
                  <w:r>
                    <w:rPr>
                      <w:rFonts w:hint="eastAsia"/>
                      <w:color w:val="000000"/>
                      <w:kern w:val="0"/>
                      <w:szCs w:val="21"/>
                      <w:lang w:bidi="ar"/>
                    </w:rPr>
                    <w:t>包装材料等一般固废暂存收集于一般固废暂存间（5m</w:t>
                  </w:r>
                  <w:r>
                    <w:rPr>
                      <w:rFonts w:hint="eastAsia"/>
                      <w:color w:val="000000"/>
                      <w:kern w:val="0"/>
                      <w:szCs w:val="21"/>
                      <w:vertAlign w:val="superscript"/>
                      <w:lang w:bidi="ar"/>
                    </w:rPr>
                    <w:t>2</w:t>
                  </w:r>
                  <w:r>
                    <w:rPr>
                      <w:rFonts w:hint="eastAsia"/>
                      <w:color w:val="000000"/>
                      <w:kern w:val="0"/>
                      <w:szCs w:val="21"/>
                      <w:lang w:bidi="ar"/>
                    </w:rPr>
                    <w:t>），外售。</w:t>
                  </w:r>
                </w:p>
              </w:tc>
              <w:tc>
                <w:tcPr>
                  <w:tcW w:w="975" w:type="dxa"/>
                  <w:tcBorders>
                    <w:tl2br w:val="nil"/>
                    <w:tr2bl w:val="nil"/>
                  </w:tcBorders>
                  <w:vAlign w:val="center"/>
                </w:tcPr>
                <w:p w14:paraId="1B195EE8">
                  <w:pPr>
                    <w:widowControl/>
                    <w:jc w:val="center"/>
                    <w:rPr>
                      <w:szCs w:val="21"/>
                    </w:rPr>
                  </w:pPr>
                </w:p>
              </w:tc>
              <w:tc>
                <w:tcPr>
                  <w:tcW w:w="975" w:type="dxa"/>
                  <w:tcBorders>
                    <w:tl2br w:val="nil"/>
                    <w:tr2bl w:val="nil"/>
                  </w:tcBorders>
                  <w:vAlign w:val="center"/>
                </w:tcPr>
                <w:p w14:paraId="375AAFF7">
                  <w:pPr>
                    <w:widowControl/>
                    <w:jc w:val="center"/>
                    <w:rPr>
                      <w:szCs w:val="21"/>
                    </w:rPr>
                  </w:pPr>
                </w:p>
              </w:tc>
              <w:tc>
                <w:tcPr>
                  <w:tcW w:w="645" w:type="dxa"/>
                  <w:tcBorders>
                    <w:tl2br w:val="nil"/>
                    <w:tr2bl w:val="nil"/>
                  </w:tcBorders>
                  <w:vAlign w:val="center"/>
                </w:tcPr>
                <w:p w14:paraId="2D1D6DB9">
                  <w:pPr>
                    <w:widowControl/>
                    <w:jc w:val="center"/>
                    <w:rPr>
                      <w:szCs w:val="21"/>
                    </w:rPr>
                  </w:pPr>
                  <w:r>
                    <w:rPr>
                      <w:rFonts w:hint="eastAsia"/>
                      <w:szCs w:val="21"/>
                    </w:rPr>
                    <w:t>新建</w:t>
                  </w:r>
                </w:p>
              </w:tc>
            </w:tr>
            <w:tr w14:paraId="64C352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768801A9">
                  <w:pPr>
                    <w:widowControl/>
                    <w:jc w:val="center"/>
                    <w:rPr>
                      <w:szCs w:val="21"/>
                    </w:rPr>
                  </w:pPr>
                </w:p>
              </w:tc>
              <w:tc>
                <w:tcPr>
                  <w:tcW w:w="885" w:type="dxa"/>
                  <w:vMerge w:val="continue"/>
                  <w:tcBorders>
                    <w:tl2br w:val="nil"/>
                    <w:tr2bl w:val="nil"/>
                  </w:tcBorders>
                  <w:vAlign w:val="center"/>
                </w:tcPr>
                <w:p w14:paraId="5AB496BF">
                  <w:pPr>
                    <w:widowControl/>
                    <w:jc w:val="center"/>
                    <w:rPr>
                      <w:szCs w:val="21"/>
                    </w:rPr>
                  </w:pPr>
                </w:p>
              </w:tc>
              <w:tc>
                <w:tcPr>
                  <w:tcW w:w="4335" w:type="dxa"/>
                  <w:tcBorders>
                    <w:tl2br w:val="nil"/>
                    <w:tr2bl w:val="nil"/>
                  </w:tcBorders>
                  <w:vAlign w:val="center"/>
                </w:tcPr>
                <w:p w14:paraId="5D07FC05">
                  <w:pPr>
                    <w:adjustRightInd w:val="0"/>
                    <w:snapToGrid w:val="0"/>
                    <w:spacing w:line="25" w:lineRule="atLeast"/>
                    <w:jc w:val="left"/>
                    <w:rPr>
                      <w:color w:val="000000"/>
                      <w:kern w:val="0"/>
                      <w:szCs w:val="21"/>
                      <w:lang w:bidi="ar"/>
                    </w:rPr>
                  </w:pPr>
                  <w:r>
                    <w:rPr>
                      <w:rFonts w:hint="eastAsia"/>
                      <w:b/>
                      <w:bCs/>
                      <w:color w:val="000000"/>
                      <w:kern w:val="0"/>
                      <w:szCs w:val="21"/>
                      <w:lang w:bidi="ar"/>
                    </w:rPr>
                    <w:t>危险废物：</w:t>
                  </w:r>
                  <w:r>
                    <w:rPr>
                      <w:rFonts w:hint="eastAsia"/>
                      <w:color w:val="000000"/>
                      <w:kern w:val="0"/>
                      <w:szCs w:val="21"/>
                      <w:lang w:bidi="ar"/>
                    </w:rPr>
                    <w:t>废机油、废机油桶等危险废物</w:t>
                  </w:r>
                  <w:r>
                    <w:rPr>
                      <w:color w:val="000000"/>
                      <w:kern w:val="0"/>
                      <w:szCs w:val="21"/>
                      <w:lang w:bidi="ar"/>
                    </w:rPr>
                    <w:t>收集暂存于</w:t>
                  </w:r>
                  <w:r>
                    <w:rPr>
                      <w:rFonts w:hint="eastAsia"/>
                      <w:color w:val="000000"/>
                      <w:kern w:val="0"/>
                      <w:szCs w:val="21"/>
                      <w:lang w:bidi="ar"/>
                    </w:rPr>
                    <w:t>危废</w:t>
                  </w:r>
                  <w:r>
                    <w:rPr>
                      <w:color w:val="000000"/>
                      <w:kern w:val="0"/>
                      <w:szCs w:val="21"/>
                      <w:lang w:bidi="ar"/>
                    </w:rPr>
                    <w:t>暂存间</w:t>
                  </w:r>
                  <w:r>
                    <w:rPr>
                      <w:rFonts w:hint="eastAsia"/>
                      <w:color w:val="000000"/>
                      <w:kern w:val="0"/>
                      <w:szCs w:val="21"/>
                      <w:lang w:bidi="ar"/>
                    </w:rPr>
                    <w:t>（10m</w:t>
                  </w:r>
                  <w:r>
                    <w:rPr>
                      <w:rFonts w:hint="eastAsia"/>
                      <w:color w:val="000000"/>
                      <w:kern w:val="0"/>
                      <w:szCs w:val="21"/>
                      <w:vertAlign w:val="superscript"/>
                      <w:lang w:bidi="ar"/>
                    </w:rPr>
                    <w:t>2</w:t>
                  </w:r>
                  <w:r>
                    <w:rPr>
                      <w:rFonts w:hint="eastAsia"/>
                      <w:color w:val="000000"/>
                      <w:kern w:val="0"/>
                      <w:szCs w:val="21"/>
                      <w:lang w:bidi="ar"/>
                    </w:rPr>
                    <w:t>）</w:t>
                  </w:r>
                  <w:r>
                    <w:rPr>
                      <w:color w:val="000000"/>
                      <w:kern w:val="0"/>
                      <w:szCs w:val="21"/>
                      <w:lang w:bidi="ar"/>
                    </w:rPr>
                    <w:t>，签订危废处置协议并定期交由危废资质单位处理</w:t>
                  </w:r>
                  <w:r>
                    <w:rPr>
                      <w:rFonts w:hint="eastAsia"/>
                      <w:color w:val="000000"/>
                      <w:kern w:val="0"/>
                      <w:szCs w:val="21"/>
                      <w:lang w:bidi="ar"/>
                    </w:rPr>
                    <w:t>。</w:t>
                  </w:r>
                </w:p>
              </w:tc>
              <w:tc>
                <w:tcPr>
                  <w:tcW w:w="975" w:type="dxa"/>
                  <w:tcBorders>
                    <w:tl2br w:val="nil"/>
                    <w:tr2bl w:val="nil"/>
                  </w:tcBorders>
                  <w:vAlign w:val="center"/>
                </w:tcPr>
                <w:p w14:paraId="165C3578">
                  <w:pPr>
                    <w:widowControl/>
                    <w:jc w:val="center"/>
                    <w:rPr>
                      <w:szCs w:val="21"/>
                    </w:rPr>
                  </w:pPr>
                  <w:r>
                    <w:rPr>
                      <w:rFonts w:hint="eastAsia"/>
                      <w:szCs w:val="21"/>
                    </w:rPr>
                    <w:t>/</w:t>
                  </w:r>
                </w:p>
              </w:tc>
              <w:tc>
                <w:tcPr>
                  <w:tcW w:w="975" w:type="dxa"/>
                  <w:tcBorders>
                    <w:tl2br w:val="nil"/>
                    <w:tr2bl w:val="nil"/>
                  </w:tcBorders>
                  <w:vAlign w:val="center"/>
                </w:tcPr>
                <w:p w14:paraId="6A7BF46A">
                  <w:pPr>
                    <w:widowControl/>
                    <w:jc w:val="center"/>
                    <w:rPr>
                      <w:szCs w:val="21"/>
                    </w:rPr>
                  </w:pPr>
                  <w:r>
                    <w:rPr>
                      <w:rFonts w:hint="eastAsia"/>
                      <w:szCs w:val="21"/>
                    </w:rPr>
                    <w:t>环境风险</w:t>
                  </w:r>
                </w:p>
              </w:tc>
              <w:tc>
                <w:tcPr>
                  <w:tcW w:w="645" w:type="dxa"/>
                  <w:tcBorders>
                    <w:tl2br w:val="nil"/>
                    <w:tr2bl w:val="nil"/>
                  </w:tcBorders>
                  <w:vAlign w:val="center"/>
                </w:tcPr>
                <w:p w14:paraId="305C6CB6">
                  <w:pPr>
                    <w:widowControl/>
                    <w:jc w:val="center"/>
                    <w:rPr>
                      <w:szCs w:val="21"/>
                    </w:rPr>
                  </w:pPr>
                  <w:r>
                    <w:rPr>
                      <w:rFonts w:hint="eastAsia"/>
                      <w:szCs w:val="21"/>
                    </w:rPr>
                    <w:t>新建</w:t>
                  </w:r>
                </w:p>
              </w:tc>
            </w:tr>
            <w:tr w14:paraId="60A674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344727B7">
                  <w:pPr>
                    <w:widowControl/>
                    <w:jc w:val="center"/>
                    <w:rPr>
                      <w:szCs w:val="21"/>
                    </w:rPr>
                  </w:pPr>
                </w:p>
              </w:tc>
              <w:tc>
                <w:tcPr>
                  <w:tcW w:w="885" w:type="dxa"/>
                  <w:tcBorders>
                    <w:tl2br w:val="nil"/>
                    <w:tr2bl w:val="nil"/>
                  </w:tcBorders>
                  <w:vAlign w:val="center"/>
                </w:tcPr>
                <w:p w14:paraId="28CB56CC">
                  <w:pPr>
                    <w:widowControl/>
                    <w:jc w:val="center"/>
                    <w:rPr>
                      <w:szCs w:val="21"/>
                    </w:rPr>
                  </w:pPr>
                  <w:r>
                    <w:rPr>
                      <w:szCs w:val="21"/>
                    </w:rPr>
                    <w:t>地下水防范</w:t>
                  </w:r>
                </w:p>
              </w:tc>
              <w:tc>
                <w:tcPr>
                  <w:tcW w:w="4335" w:type="dxa"/>
                  <w:tcBorders>
                    <w:tl2br w:val="nil"/>
                    <w:tr2bl w:val="nil"/>
                  </w:tcBorders>
                  <w:vAlign w:val="center"/>
                </w:tcPr>
                <w:p w14:paraId="1BCD963F">
                  <w:pPr>
                    <w:adjustRightInd w:val="0"/>
                    <w:snapToGrid w:val="0"/>
                    <w:rPr>
                      <w:color w:val="000000"/>
                      <w:szCs w:val="21"/>
                    </w:rPr>
                  </w:pPr>
                  <w:r>
                    <w:rPr>
                      <w:rFonts w:hint="eastAsia"/>
                      <w:color w:val="000000"/>
                      <w:szCs w:val="21"/>
                    </w:rPr>
                    <w:t>按各功能单元所处的位置划分为重点防渗区、一般防渗区、简单防渗区。</w:t>
                  </w:r>
                </w:p>
                <w:p w14:paraId="3909A2F6">
                  <w:pPr>
                    <w:adjustRightInd w:val="0"/>
                    <w:snapToGrid w:val="0"/>
                    <w:rPr>
                      <w:kern w:val="0"/>
                      <w:szCs w:val="21"/>
                    </w:rPr>
                  </w:pPr>
                  <w:r>
                    <w:rPr>
                      <w:rFonts w:hint="eastAsia"/>
                      <w:b/>
                      <w:bCs/>
                      <w:kern w:val="0"/>
                      <w:szCs w:val="21"/>
                    </w:rPr>
                    <w:t>重点防渗区：</w:t>
                  </w:r>
                  <w:r>
                    <w:rPr>
                      <w:rFonts w:hint="eastAsia"/>
                      <w:kern w:val="0"/>
                      <w:szCs w:val="21"/>
                    </w:rPr>
                    <w:t>包括危废暂存间、发电机房、垃圾站房压缩车间、污水处理站。发电机房、垃圾站房压缩车间及污水处理站设置2mm厚喷涂速凝橡胶沥青防腐涂料防渗层，达到等效黏土防渗层Mb≥6.0m，渗透系数≤10</w:t>
                  </w:r>
                  <w:r>
                    <w:rPr>
                      <w:rFonts w:hint="eastAsia"/>
                      <w:kern w:val="0"/>
                      <w:szCs w:val="21"/>
                      <w:lang w:eastAsia="zh-CN"/>
                    </w:rPr>
                    <w:t>～</w:t>
                  </w:r>
                  <w:r>
                    <w:rPr>
                      <w:rFonts w:hint="eastAsia"/>
                      <w:kern w:val="0"/>
                      <w:szCs w:val="21"/>
                      <w:vertAlign w:val="superscript"/>
                    </w:rPr>
                    <w:t>7</w:t>
                  </w:r>
                  <w:r>
                    <w:rPr>
                      <w:rFonts w:hint="eastAsia"/>
                      <w:kern w:val="0"/>
                      <w:szCs w:val="21"/>
                    </w:rPr>
                    <w:t>cm/s要求；危废暂存点地面设置2mm厚HDPE防渗膜防渗层，并设置金属托盘，渗透系数≤10</w:t>
                  </w:r>
                  <w:r>
                    <w:rPr>
                      <w:rFonts w:hint="eastAsia"/>
                      <w:kern w:val="0"/>
                      <w:szCs w:val="21"/>
                      <w:lang w:eastAsia="zh-CN"/>
                    </w:rPr>
                    <w:t>～</w:t>
                  </w:r>
                  <w:r>
                    <w:rPr>
                      <w:rFonts w:hint="eastAsia"/>
                      <w:kern w:val="0"/>
                      <w:szCs w:val="21"/>
                      <w:vertAlign w:val="superscript"/>
                    </w:rPr>
                    <w:t>10</w:t>
                  </w:r>
                  <w:r>
                    <w:rPr>
                      <w:rFonts w:hint="eastAsia"/>
                      <w:kern w:val="0"/>
                      <w:szCs w:val="21"/>
                    </w:rPr>
                    <w:t>cm/s。</w:t>
                  </w:r>
                </w:p>
                <w:p w14:paraId="41BD9A6C">
                  <w:pPr>
                    <w:widowControl/>
                    <w:wordWrap w:val="0"/>
                    <w:jc w:val="left"/>
                    <w:rPr>
                      <w:kern w:val="0"/>
                      <w:szCs w:val="21"/>
                    </w:rPr>
                  </w:pPr>
                  <w:r>
                    <w:rPr>
                      <w:rFonts w:hint="eastAsia"/>
                      <w:b/>
                      <w:bCs/>
                      <w:kern w:val="0"/>
                      <w:szCs w:val="21"/>
                    </w:rPr>
                    <w:t>一般防渗区：</w:t>
                  </w:r>
                  <w:r>
                    <w:rPr>
                      <w:rFonts w:hint="eastAsia" w:ascii="宋体" w:hAnsi="宋体" w:cs="宋体"/>
                      <w:color w:val="000000"/>
                      <w:kern w:val="0"/>
                      <w:szCs w:val="21"/>
                      <w:lang w:bidi="ar"/>
                    </w:rPr>
                    <w:t>化粪池、洗车区、一般固废暂存间等采用抗渗混凝土或水泥砂浆面层</w:t>
                  </w:r>
                  <w:r>
                    <w:rPr>
                      <w:rFonts w:hint="eastAsia"/>
                      <w:kern w:val="0"/>
                      <w:szCs w:val="21"/>
                    </w:rPr>
                    <w:t>。达到等效黏土防渗层Mb≥1.5m，K≤1</w:t>
                  </w:r>
                  <w:r>
                    <w:rPr>
                      <w:kern w:val="0"/>
                      <w:szCs w:val="21"/>
                    </w:rPr>
                    <w:t>×</w:t>
                  </w:r>
                  <w:r>
                    <w:rPr>
                      <w:rFonts w:hint="eastAsia"/>
                      <w:kern w:val="0"/>
                      <w:szCs w:val="21"/>
                    </w:rPr>
                    <w:t>10</w:t>
                  </w:r>
                  <w:r>
                    <w:rPr>
                      <w:rFonts w:hint="eastAsia"/>
                      <w:kern w:val="0"/>
                      <w:szCs w:val="21"/>
                      <w:lang w:eastAsia="zh-CN"/>
                    </w:rPr>
                    <w:t>～</w:t>
                  </w:r>
                  <w:r>
                    <w:rPr>
                      <w:rFonts w:hint="eastAsia"/>
                      <w:kern w:val="0"/>
                      <w:szCs w:val="21"/>
                      <w:vertAlign w:val="superscript"/>
                    </w:rPr>
                    <w:t>7</w:t>
                  </w:r>
                  <w:r>
                    <w:rPr>
                      <w:rFonts w:hint="eastAsia"/>
                      <w:kern w:val="0"/>
                      <w:szCs w:val="21"/>
                    </w:rPr>
                    <w:t>cm/s防渗要求。</w:t>
                  </w:r>
                </w:p>
                <w:p w14:paraId="21DA0005">
                  <w:pPr>
                    <w:adjustRightInd w:val="0"/>
                    <w:snapToGrid w:val="0"/>
                    <w:spacing w:line="25" w:lineRule="atLeast"/>
                    <w:jc w:val="left"/>
                    <w:rPr>
                      <w:b/>
                      <w:bCs/>
                      <w:color w:val="000000"/>
                      <w:kern w:val="0"/>
                      <w:szCs w:val="21"/>
                      <w:lang w:bidi="ar"/>
                    </w:rPr>
                  </w:pPr>
                  <w:r>
                    <w:rPr>
                      <w:rFonts w:hint="eastAsia"/>
                      <w:b/>
                      <w:bCs/>
                      <w:kern w:val="0"/>
                      <w:szCs w:val="21"/>
                    </w:rPr>
                    <w:t>简单防渗区：</w:t>
                  </w:r>
                  <w:r>
                    <w:rPr>
                      <w:rFonts w:hint="eastAsia"/>
                      <w:kern w:val="0"/>
                      <w:szCs w:val="21"/>
                    </w:rPr>
                    <w:t>除重点防渗区、一般防渗区、绿化区域以外的其他区域。</w:t>
                  </w:r>
                </w:p>
              </w:tc>
              <w:tc>
                <w:tcPr>
                  <w:tcW w:w="975" w:type="dxa"/>
                  <w:tcBorders>
                    <w:tl2br w:val="nil"/>
                    <w:tr2bl w:val="nil"/>
                  </w:tcBorders>
                  <w:vAlign w:val="center"/>
                </w:tcPr>
                <w:p w14:paraId="433F910A">
                  <w:pPr>
                    <w:widowControl/>
                    <w:jc w:val="center"/>
                    <w:rPr>
                      <w:szCs w:val="21"/>
                    </w:rPr>
                  </w:pPr>
                  <w:r>
                    <w:rPr>
                      <w:rFonts w:hint="eastAsia"/>
                      <w:szCs w:val="21"/>
                    </w:rPr>
                    <w:t>/</w:t>
                  </w:r>
                </w:p>
              </w:tc>
              <w:tc>
                <w:tcPr>
                  <w:tcW w:w="975" w:type="dxa"/>
                  <w:tcBorders>
                    <w:tl2br w:val="nil"/>
                    <w:tr2bl w:val="nil"/>
                  </w:tcBorders>
                  <w:vAlign w:val="center"/>
                </w:tcPr>
                <w:p w14:paraId="78AC0293">
                  <w:pPr>
                    <w:widowControl/>
                    <w:jc w:val="center"/>
                    <w:rPr>
                      <w:szCs w:val="21"/>
                    </w:rPr>
                  </w:pPr>
                  <w:r>
                    <w:rPr>
                      <w:rFonts w:hint="eastAsia"/>
                      <w:szCs w:val="21"/>
                    </w:rPr>
                    <w:t>环境风险</w:t>
                  </w:r>
                </w:p>
              </w:tc>
              <w:tc>
                <w:tcPr>
                  <w:tcW w:w="645" w:type="dxa"/>
                  <w:tcBorders>
                    <w:tl2br w:val="nil"/>
                    <w:tr2bl w:val="nil"/>
                  </w:tcBorders>
                  <w:vAlign w:val="center"/>
                </w:tcPr>
                <w:p w14:paraId="79EBA85A">
                  <w:pPr>
                    <w:widowControl/>
                    <w:jc w:val="center"/>
                    <w:rPr>
                      <w:szCs w:val="21"/>
                    </w:rPr>
                  </w:pPr>
                  <w:r>
                    <w:rPr>
                      <w:rFonts w:hint="eastAsia"/>
                      <w:szCs w:val="21"/>
                    </w:rPr>
                    <w:t>新建</w:t>
                  </w:r>
                </w:p>
              </w:tc>
            </w:tr>
            <w:tr w14:paraId="26B895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vMerge w:val="continue"/>
                  <w:tcBorders>
                    <w:tl2br w:val="nil"/>
                    <w:tr2bl w:val="nil"/>
                  </w:tcBorders>
                  <w:vAlign w:val="center"/>
                </w:tcPr>
                <w:p w14:paraId="6CD8593C">
                  <w:pPr>
                    <w:widowControl/>
                    <w:jc w:val="center"/>
                    <w:rPr>
                      <w:szCs w:val="21"/>
                    </w:rPr>
                  </w:pPr>
                </w:p>
              </w:tc>
              <w:tc>
                <w:tcPr>
                  <w:tcW w:w="885" w:type="dxa"/>
                  <w:tcBorders>
                    <w:tl2br w:val="nil"/>
                    <w:tr2bl w:val="nil"/>
                  </w:tcBorders>
                  <w:vAlign w:val="center"/>
                </w:tcPr>
                <w:p w14:paraId="42E43AF3">
                  <w:pPr>
                    <w:widowControl/>
                    <w:jc w:val="center"/>
                    <w:rPr>
                      <w:szCs w:val="21"/>
                    </w:rPr>
                  </w:pPr>
                  <w:r>
                    <w:rPr>
                      <w:rFonts w:hint="eastAsia"/>
                      <w:szCs w:val="21"/>
                    </w:rPr>
                    <w:t>绿化</w:t>
                  </w:r>
                </w:p>
              </w:tc>
              <w:tc>
                <w:tcPr>
                  <w:tcW w:w="4335" w:type="dxa"/>
                  <w:tcBorders>
                    <w:tl2br w:val="nil"/>
                    <w:tr2bl w:val="nil"/>
                  </w:tcBorders>
                  <w:vAlign w:val="center"/>
                </w:tcPr>
                <w:p w14:paraId="48B64256">
                  <w:pPr>
                    <w:adjustRightInd w:val="0"/>
                    <w:snapToGrid w:val="0"/>
                    <w:spacing w:line="25" w:lineRule="atLeast"/>
                    <w:jc w:val="left"/>
                    <w:rPr>
                      <w:b/>
                      <w:bCs/>
                      <w:color w:val="000000"/>
                      <w:kern w:val="0"/>
                      <w:szCs w:val="21"/>
                      <w:lang w:bidi="ar"/>
                    </w:rPr>
                  </w:pPr>
                  <w:r>
                    <w:rPr>
                      <w:rFonts w:hint="eastAsia"/>
                      <w:color w:val="000000"/>
                      <w:kern w:val="0"/>
                      <w:szCs w:val="21"/>
                      <w:lang w:bidi="ar"/>
                    </w:rPr>
                    <w:t>总绿地面积1812.03m</w:t>
                  </w:r>
                  <w:r>
                    <w:rPr>
                      <w:rFonts w:hint="eastAsia"/>
                      <w:color w:val="000000"/>
                      <w:kern w:val="0"/>
                      <w:szCs w:val="21"/>
                      <w:vertAlign w:val="superscript"/>
                      <w:lang w:bidi="ar"/>
                    </w:rPr>
                    <w:t>2</w:t>
                  </w:r>
                  <w:r>
                    <w:rPr>
                      <w:rFonts w:hint="eastAsia"/>
                      <w:color w:val="000000"/>
                      <w:kern w:val="0"/>
                      <w:szCs w:val="21"/>
                      <w:lang w:bidi="ar"/>
                    </w:rPr>
                    <w:t>，绿化率29.81%。</w:t>
                  </w:r>
                </w:p>
              </w:tc>
              <w:tc>
                <w:tcPr>
                  <w:tcW w:w="975" w:type="dxa"/>
                  <w:tcBorders>
                    <w:tl2br w:val="nil"/>
                    <w:tr2bl w:val="nil"/>
                  </w:tcBorders>
                  <w:vAlign w:val="center"/>
                </w:tcPr>
                <w:p w14:paraId="131BB0B7">
                  <w:pPr>
                    <w:widowControl/>
                    <w:jc w:val="center"/>
                    <w:rPr>
                      <w:szCs w:val="21"/>
                    </w:rPr>
                  </w:pPr>
                  <w:r>
                    <w:rPr>
                      <w:rFonts w:hint="eastAsia"/>
                      <w:szCs w:val="21"/>
                    </w:rPr>
                    <w:t>/</w:t>
                  </w:r>
                </w:p>
              </w:tc>
              <w:tc>
                <w:tcPr>
                  <w:tcW w:w="975" w:type="dxa"/>
                  <w:tcBorders>
                    <w:tl2br w:val="nil"/>
                    <w:tr2bl w:val="nil"/>
                  </w:tcBorders>
                  <w:vAlign w:val="center"/>
                </w:tcPr>
                <w:p w14:paraId="28571D4C">
                  <w:pPr>
                    <w:widowControl/>
                    <w:jc w:val="center"/>
                    <w:rPr>
                      <w:szCs w:val="21"/>
                    </w:rPr>
                  </w:pPr>
                  <w:r>
                    <w:rPr>
                      <w:rFonts w:hint="eastAsia"/>
                      <w:szCs w:val="21"/>
                    </w:rPr>
                    <w:t>/</w:t>
                  </w:r>
                </w:p>
              </w:tc>
              <w:tc>
                <w:tcPr>
                  <w:tcW w:w="645" w:type="dxa"/>
                  <w:tcBorders>
                    <w:tl2br w:val="nil"/>
                    <w:tr2bl w:val="nil"/>
                  </w:tcBorders>
                  <w:vAlign w:val="center"/>
                </w:tcPr>
                <w:p w14:paraId="310BA4A8">
                  <w:pPr>
                    <w:widowControl/>
                    <w:jc w:val="center"/>
                    <w:rPr>
                      <w:szCs w:val="21"/>
                    </w:rPr>
                  </w:pPr>
                  <w:r>
                    <w:rPr>
                      <w:rFonts w:hint="eastAsia"/>
                      <w:szCs w:val="21"/>
                    </w:rPr>
                    <w:t>新建</w:t>
                  </w:r>
                </w:p>
              </w:tc>
            </w:tr>
          </w:tbl>
          <w:p w14:paraId="1256B77B">
            <w:pPr>
              <w:pStyle w:val="11"/>
              <w:spacing w:before="0" w:after="0" w:line="360" w:lineRule="auto"/>
              <w:ind w:firstLine="482" w:firstLineChars="200"/>
              <w:rPr>
                <w:b/>
                <w:sz w:val="24"/>
                <w:szCs w:val="24"/>
              </w:rPr>
            </w:pPr>
            <w:r>
              <w:rPr>
                <w:rFonts w:hint="eastAsia"/>
                <w:b/>
                <w:sz w:val="24"/>
                <w:szCs w:val="24"/>
              </w:rPr>
              <w:t>5</w:t>
            </w:r>
            <w:r>
              <w:rPr>
                <w:b/>
                <w:sz w:val="24"/>
                <w:szCs w:val="24"/>
              </w:rPr>
              <w:t>、</w:t>
            </w:r>
            <w:r>
              <w:rPr>
                <w:rFonts w:hint="eastAsia"/>
                <w:b/>
                <w:sz w:val="24"/>
                <w:szCs w:val="24"/>
              </w:rPr>
              <w:t>主要原辅材料及能耗</w:t>
            </w:r>
          </w:p>
          <w:p w14:paraId="23C9A867">
            <w:pPr>
              <w:pStyle w:val="22"/>
              <w:spacing w:line="360" w:lineRule="auto"/>
              <w:ind w:firstLine="480"/>
              <w:jc w:val="both"/>
              <w:rPr>
                <w:rFonts w:ascii="宋体" w:hAnsi="宋体" w:eastAsia="宋体" w:cs="宋体"/>
                <w:sz w:val="24"/>
              </w:rPr>
            </w:pPr>
            <w:r>
              <w:rPr>
                <w:rFonts w:ascii="宋体" w:hAnsi="宋体" w:eastAsia="宋体" w:cs="宋体"/>
                <w:sz w:val="24"/>
              </w:rPr>
              <w:t>本项目主要原辅材料及来源见下表。</w:t>
            </w:r>
          </w:p>
          <w:p w14:paraId="0A4E2C2C">
            <w:pPr>
              <w:jc w:val="center"/>
              <w:rPr>
                <w:b/>
                <w:bCs/>
                <w:szCs w:val="21"/>
              </w:rPr>
            </w:pPr>
            <w:r>
              <w:rPr>
                <w:rFonts w:hint="eastAsia"/>
                <w:b/>
                <w:bCs/>
                <w:szCs w:val="21"/>
              </w:rPr>
              <w:t>表2-2  项目运营期主要原（辅）材料及能耗表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8"/>
              <w:gridCol w:w="1145"/>
              <w:gridCol w:w="726"/>
              <w:gridCol w:w="907"/>
              <w:gridCol w:w="876"/>
              <w:gridCol w:w="1200"/>
              <w:gridCol w:w="1018"/>
              <w:gridCol w:w="1876"/>
            </w:tblGrid>
            <w:tr w14:paraId="40809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tcBorders>
                    <w:tl2br w:val="nil"/>
                    <w:tr2bl w:val="nil"/>
                  </w:tcBorders>
                  <w:vAlign w:val="center"/>
                </w:tcPr>
                <w:p w14:paraId="740142A9">
                  <w:pPr>
                    <w:adjustRightInd w:val="0"/>
                    <w:snapToGrid w:val="0"/>
                    <w:jc w:val="center"/>
                    <w:rPr>
                      <w:color w:val="000000"/>
                      <w:szCs w:val="21"/>
                    </w:rPr>
                  </w:pPr>
                  <w:r>
                    <w:rPr>
                      <w:rFonts w:hint="eastAsia"/>
                      <w:color w:val="000000"/>
                      <w:szCs w:val="21"/>
                    </w:rPr>
                    <w:t>类别</w:t>
                  </w:r>
                </w:p>
              </w:tc>
              <w:tc>
                <w:tcPr>
                  <w:tcW w:w="1145" w:type="dxa"/>
                  <w:tcBorders>
                    <w:tl2br w:val="nil"/>
                    <w:tr2bl w:val="nil"/>
                  </w:tcBorders>
                  <w:vAlign w:val="center"/>
                </w:tcPr>
                <w:p w14:paraId="6F6753D0">
                  <w:pPr>
                    <w:adjustRightInd w:val="0"/>
                    <w:snapToGrid w:val="0"/>
                    <w:jc w:val="center"/>
                    <w:rPr>
                      <w:color w:val="000000"/>
                      <w:szCs w:val="21"/>
                    </w:rPr>
                  </w:pPr>
                  <w:r>
                    <w:rPr>
                      <w:rFonts w:hint="eastAsia"/>
                      <w:color w:val="000000"/>
                      <w:szCs w:val="21"/>
                    </w:rPr>
                    <w:t>材料名称</w:t>
                  </w:r>
                </w:p>
              </w:tc>
              <w:tc>
                <w:tcPr>
                  <w:tcW w:w="726" w:type="dxa"/>
                  <w:tcBorders>
                    <w:tl2br w:val="nil"/>
                    <w:tr2bl w:val="nil"/>
                  </w:tcBorders>
                  <w:vAlign w:val="center"/>
                </w:tcPr>
                <w:p w14:paraId="6A074DAB">
                  <w:pPr>
                    <w:adjustRightInd w:val="0"/>
                    <w:snapToGrid w:val="0"/>
                    <w:jc w:val="center"/>
                    <w:rPr>
                      <w:color w:val="000000"/>
                      <w:szCs w:val="21"/>
                    </w:rPr>
                  </w:pPr>
                  <w:r>
                    <w:rPr>
                      <w:rFonts w:hint="eastAsia"/>
                      <w:color w:val="000000"/>
                      <w:szCs w:val="21"/>
                    </w:rPr>
                    <w:t>单位</w:t>
                  </w:r>
                </w:p>
              </w:tc>
              <w:tc>
                <w:tcPr>
                  <w:tcW w:w="907" w:type="dxa"/>
                  <w:tcBorders>
                    <w:tl2br w:val="nil"/>
                    <w:tr2bl w:val="nil"/>
                  </w:tcBorders>
                  <w:vAlign w:val="center"/>
                </w:tcPr>
                <w:p w14:paraId="353B83BF">
                  <w:pPr>
                    <w:adjustRightInd w:val="0"/>
                    <w:snapToGrid w:val="0"/>
                    <w:jc w:val="center"/>
                    <w:rPr>
                      <w:color w:val="000000"/>
                      <w:szCs w:val="21"/>
                    </w:rPr>
                  </w:pPr>
                  <w:r>
                    <w:rPr>
                      <w:rFonts w:hint="eastAsia"/>
                      <w:color w:val="000000"/>
                      <w:szCs w:val="21"/>
                    </w:rPr>
                    <w:t>数量</w:t>
                  </w:r>
                </w:p>
              </w:tc>
              <w:tc>
                <w:tcPr>
                  <w:tcW w:w="876" w:type="dxa"/>
                  <w:tcBorders>
                    <w:tl2br w:val="nil"/>
                    <w:tr2bl w:val="nil"/>
                  </w:tcBorders>
                  <w:vAlign w:val="center"/>
                </w:tcPr>
                <w:p w14:paraId="4739FC12">
                  <w:pPr>
                    <w:adjustRightInd w:val="0"/>
                    <w:snapToGrid w:val="0"/>
                    <w:jc w:val="center"/>
                    <w:rPr>
                      <w:color w:val="000000"/>
                      <w:szCs w:val="21"/>
                    </w:rPr>
                  </w:pPr>
                  <w:r>
                    <w:rPr>
                      <w:rFonts w:hint="eastAsia"/>
                      <w:color w:val="000000"/>
                      <w:szCs w:val="21"/>
                    </w:rPr>
                    <w:t>来源</w:t>
                  </w:r>
                </w:p>
              </w:tc>
              <w:tc>
                <w:tcPr>
                  <w:tcW w:w="1200" w:type="dxa"/>
                  <w:tcBorders>
                    <w:tl2br w:val="nil"/>
                    <w:tr2bl w:val="nil"/>
                  </w:tcBorders>
                  <w:vAlign w:val="center"/>
                </w:tcPr>
                <w:p w14:paraId="16881589">
                  <w:pPr>
                    <w:adjustRightInd w:val="0"/>
                    <w:snapToGrid w:val="0"/>
                    <w:jc w:val="center"/>
                    <w:rPr>
                      <w:color w:val="000000"/>
                      <w:szCs w:val="21"/>
                    </w:rPr>
                  </w:pPr>
                  <w:r>
                    <w:rPr>
                      <w:rFonts w:hint="eastAsia"/>
                      <w:color w:val="000000"/>
                      <w:szCs w:val="21"/>
                    </w:rPr>
                    <w:t>运输/储存方式</w:t>
                  </w:r>
                </w:p>
              </w:tc>
              <w:tc>
                <w:tcPr>
                  <w:tcW w:w="1018" w:type="dxa"/>
                  <w:tcBorders>
                    <w:tl2br w:val="nil"/>
                    <w:tr2bl w:val="nil"/>
                  </w:tcBorders>
                  <w:vAlign w:val="center"/>
                </w:tcPr>
                <w:p w14:paraId="7DAED7D2">
                  <w:pPr>
                    <w:adjustRightInd w:val="0"/>
                    <w:snapToGrid w:val="0"/>
                    <w:jc w:val="center"/>
                    <w:rPr>
                      <w:color w:val="000000"/>
                      <w:szCs w:val="21"/>
                    </w:rPr>
                  </w:pPr>
                  <w:r>
                    <w:rPr>
                      <w:rFonts w:hint="eastAsia"/>
                      <w:color w:val="000000"/>
                      <w:szCs w:val="21"/>
                    </w:rPr>
                    <w:t>储存位置</w:t>
                  </w:r>
                </w:p>
              </w:tc>
              <w:tc>
                <w:tcPr>
                  <w:tcW w:w="1876" w:type="dxa"/>
                  <w:tcBorders>
                    <w:tl2br w:val="nil"/>
                    <w:tr2bl w:val="nil"/>
                  </w:tcBorders>
                  <w:vAlign w:val="center"/>
                </w:tcPr>
                <w:p w14:paraId="379A9631">
                  <w:pPr>
                    <w:adjustRightInd w:val="0"/>
                    <w:snapToGrid w:val="0"/>
                    <w:jc w:val="center"/>
                    <w:rPr>
                      <w:color w:val="000000"/>
                      <w:szCs w:val="21"/>
                    </w:rPr>
                  </w:pPr>
                  <w:r>
                    <w:rPr>
                      <w:rFonts w:hint="eastAsia"/>
                      <w:color w:val="000000"/>
                      <w:szCs w:val="21"/>
                    </w:rPr>
                    <w:t>备注</w:t>
                  </w:r>
                </w:p>
              </w:tc>
            </w:tr>
            <w:tr w14:paraId="30EEB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dxa"/>
                  <w:tcBorders>
                    <w:tl2br w:val="nil"/>
                    <w:tr2bl w:val="nil"/>
                  </w:tcBorders>
                  <w:vAlign w:val="center"/>
                </w:tcPr>
                <w:p w14:paraId="200224BE">
                  <w:pPr>
                    <w:adjustRightInd w:val="0"/>
                    <w:snapToGrid w:val="0"/>
                    <w:jc w:val="center"/>
                    <w:rPr>
                      <w:color w:val="000000"/>
                      <w:szCs w:val="21"/>
                    </w:rPr>
                  </w:pPr>
                  <w:r>
                    <w:rPr>
                      <w:rFonts w:hint="eastAsia"/>
                      <w:color w:val="000000"/>
                      <w:szCs w:val="21"/>
                    </w:rPr>
                    <w:t>原料</w:t>
                  </w:r>
                </w:p>
              </w:tc>
              <w:tc>
                <w:tcPr>
                  <w:tcW w:w="1145" w:type="dxa"/>
                  <w:tcBorders>
                    <w:tl2br w:val="nil"/>
                    <w:tr2bl w:val="nil"/>
                  </w:tcBorders>
                  <w:vAlign w:val="center"/>
                </w:tcPr>
                <w:p w14:paraId="0D483E41">
                  <w:pPr>
                    <w:adjustRightInd w:val="0"/>
                    <w:snapToGrid w:val="0"/>
                    <w:jc w:val="center"/>
                    <w:rPr>
                      <w:color w:val="000000"/>
                      <w:szCs w:val="21"/>
                    </w:rPr>
                  </w:pPr>
                  <w:r>
                    <w:rPr>
                      <w:rFonts w:hint="eastAsia"/>
                      <w:color w:val="000000"/>
                      <w:szCs w:val="21"/>
                    </w:rPr>
                    <w:t>城市生活垃圾</w:t>
                  </w:r>
                </w:p>
              </w:tc>
              <w:tc>
                <w:tcPr>
                  <w:tcW w:w="726" w:type="dxa"/>
                  <w:tcBorders>
                    <w:tl2br w:val="nil"/>
                    <w:tr2bl w:val="nil"/>
                  </w:tcBorders>
                  <w:vAlign w:val="center"/>
                </w:tcPr>
                <w:p w14:paraId="2789040E">
                  <w:pPr>
                    <w:adjustRightInd w:val="0"/>
                    <w:snapToGrid w:val="0"/>
                    <w:jc w:val="center"/>
                    <w:rPr>
                      <w:color w:val="000000"/>
                      <w:szCs w:val="21"/>
                    </w:rPr>
                  </w:pPr>
                  <w:r>
                    <w:rPr>
                      <w:rFonts w:hint="eastAsia"/>
                      <w:color w:val="000000"/>
                      <w:szCs w:val="21"/>
                    </w:rPr>
                    <w:t>t/a</w:t>
                  </w:r>
                </w:p>
              </w:tc>
              <w:tc>
                <w:tcPr>
                  <w:tcW w:w="907" w:type="dxa"/>
                  <w:tcBorders>
                    <w:tl2br w:val="nil"/>
                    <w:tr2bl w:val="nil"/>
                  </w:tcBorders>
                  <w:vAlign w:val="center"/>
                </w:tcPr>
                <w:p w14:paraId="4E6D48A7">
                  <w:pPr>
                    <w:adjustRightInd w:val="0"/>
                    <w:snapToGrid w:val="0"/>
                    <w:jc w:val="center"/>
                    <w:rPr>
                      <w:color w:val="000000"/>
                      <w:szCs w:val="21"/>
                    </w:rPr>
                  </w:pPr>
                  <w:r>
                    <w:rPr>
                      <w:rFonts w:hint="eastAsia"/>
                      <w:color w:val="000000"/>
                      <w:szCs w:val="21"/>
                    </w:rPr>
                    <w:t>87600</w:t>
                  </w:r>
                </w:p>
              </w:tc>
              <w:tc>
                <w:tcPr>
                  <w:tcW w:w="876" w:type="dxa"/>
                  <w:tcBorders>
                    <w:tl2br w:val="nil"/>
                    <w:tr2bl w:val="nil"/>
                  </w:tcBorders>
                  <w:vAlign w:val="center"/>
                </w:tcPr>
                <w:p w14:paraId="51891804">
                  <w:pPr>
                    <w:adjustRightInd w:val="0"/>
                    <w:snapToGrid w:val="0"/>
                    <w:jc w:val="center"/>
                    <w:rPr>
                      <w:color w:val="000000"/>
                      <w:szCs w:val="21"/>
                    </w:rPr>
                  </w:pPr>
                  <w:r>
                    <w:rPr>
                      <w:rFonts w:hint="eastAsia"/>
                      <w:color w:val="000000"/>
                      <w:szCs w:val="21"/>
                    </w:rPr>
                    <w:t>达州市西南职业教育园区</w:t>
                  </w:r>
                </w:p>
              </w:tc>
              <w:tc>
                <w:tcPr>
                  <w:tcW w:w="1200" w:type="dxa"/>
                  <w:tcBorders>
                    <w:tl2br w:val="nil"/>
                    <w:tr2bl w:val="nil"/>
                  </w:tcBorders>
                  <w:vAlign w:val="center"/>
                </w:tcPr>
                <w:p w14:paraId="136B3A22">
                  <w:pPr>
                    <w:adjustRightInd w:val="0"/>
                    <w:snapToGrid w:val="0"/>
                    <w:jc w:val="center"/>
                    <w:rPr>
                      <w:color w:val="000000"/>
                      <w:szCs w:val="21"/>
                    </w:rPr>
                  </w:pPr>
                  <w:r>
                    <w:rPr>
                      <w:rFonts w:hint="eastAsia"/>
                      <w:color w:val="000000"/>
                      <w:szCs w:val="21"/>
                    </w:rPr>
                    <w:t>密闭钩臂车收集车运转。</w:t>
                  </w:r>
                </w:p>
              </w:tc>
              <w:tc>
                <w:tcPr>
                  <w:tcW w:w="1018" w:type="dxa"/>
                  <w:tcBorders>
                    <w:tl2br w:val="nil"/>
                    <w:tr2bl w:val="nil"/>
                  </w:tcBorders>
                  <w:vAlign w:val="center"/>
                </w:tcPr>
                <w:p w14:paraId="13A1D450">
                  <w:pPr>
                    <w:adjustRightInd w:val="0"/>
                    <w:snapToGrid w:val="0"/>
                    <w:jc w:val="center"/>
                    <w:rPr>
                      <w:color w:val="000000"/>
                      <w:szCs w:val="21"/>
                    </w:rPr>
                  </w:pPr>
                  <w:r>
                    <w:rPr>
                      <w:rFonts w:hint="eastAsia"/>
                      <w:color w:val="000000"/>
                      <w:szCs w:val="21"/>
                    </w:rPr>
                    <w:t>/</w:t>
                  </w:r>
                </w:p>
              </w:tc>
              <w:tc>
                <w:tcPr>
                  <w:tcW w:w="1876" w:type="dxa"/>
                  <w:tcBorders>
                    <w:tl2br w:val="nil"/>
                    <w:tr2bl w:val="nil"/>
                  </w:tcBorders>
                  <w:vAlign w:val="center"/>
                </w:tcPr>
                <w:p w14:paraId="425AD01D">
                  <w:pPr>
                    <w:adjustRightInd w:val="0"/>
                    <w:snapToGrid w:val="0"/>
                    <w:jc w:val="center"/>
                    <w:rPr>
                      <w:color w:val="000000"/>
                      <w:szCs w:val="21"/>
                    </w:rPr>
                  </w:pPr>
                  <w:r>
                    <w:rPr>
                      <w:rFonts w:hint="eastAsia"/>
                      <w:color w:val="000000"/>
                      <w:szCs w:val="21"/>
                    </w:rPr>
                    <w:t>固态，主要为散装，不包括建筑垃圾、工业垃圾、医疗垃圾，并严禁混入有害垃圾。</w:t>
                  </w:r>
                </w:p>
              </w:tc>
            </w:tr>
            <w:tr w14:paraId="51D88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8" w:type="dxa"/>
                  <w:vMerge w:val="restart"/>
                  <w:tcBorders>
                    <w:tl2br w:val="nil"/>
                    <w:tr2bl w:val="nil"/>
                  </w:tcBorders>
                  <w:vAlign w:val="center"/>
                </w:tcPr>
                <w:p w14:paraId="508466FD">
                  <w:pPr>
                    <w:adjustRightInd w:val="0"/>
                    <w:snapToGrid w:val="0"/>
                    <w:jc w:val="center"/>
                    <w:rPr>
                      <w:color w:val="000000"/>
                      <w:szCs w:val="21"/>
                    </w:rPr>
                  </w:pPr>
                  <w:r>
                    <w:rPr>
                      <w:rFonts w:hint="eastAsia"/>
                      <w:color w:val="000000"/>
                      <w:szCs w:val="21"/>
                    </w:rPr>
                    <w:t>辅料</w:t>
                  </w:r>
                </w:p>
              </w:tc>
              <w:tc>
                <w:tcPr>
                  <w:tcW w:w="1145" w:type="dxa"/>
                  <w:tcBorders>
                    <w:tl2br w:val="nil"/>
                    <w:tr2bl w:val="nil"/>
                  </w:tcBorders>
                  <w:vAlign w:val="center"/>
                </w:tcPr>
                <w:p w14:paraId="026FDCEB">
                  <w:pPr>
                    <w:adjustRightInd w:val="0"/>
                    <w:snapToGrid w:val="0"/>
                    <w:jc w:val="center"/>
                    <w:rPr>
                      <w:color w:val="000000"/>
                      <w:szCs w:val="21"/>
                    </w:rPr>
                  </w:pPr>
                  <w:r>
                    <w:rPr>
                      <w:rFonts w:hint="eastAsia"/>
                      <w:color w:val="000000"/>
                      <w:szCs w:val="21"/>
                    </w:rPr>
                    <w:t>除臭剂</w:t>
                  </w:r>
                </w:p>
              </w:tc>
              <w:tc>
                <w:tcPr>
                  <w:tcW w:w="726" w:type="dxa"/>
                  <w:tcBorders>
                    <w:tl2br w:val="nil"/>
                    <w:tr2bl w:val="nil"/>
                  </w:tcBorders>
                  <w:vAlign w:val="center"/>
                </w:tcPr>
                <w:p w14:paraId="187AD128">
                  <w:pPr>
                    <w:adjustRightInd w:val="0"/>
                    <w:snapToGrid w:val="0"/>
                    <w:jc w:val="center"/>
                    <w:rPr>
                      <w:color w:val="000000"/>
                      <w:szCs w:val="21"/>
                    </w:rPr>
                  </w:pPr>
                  <w:r>
                    <w:rPr>
                      <w:rFonts w:hint="eastAsia"/>
                      <w:color w:val="000000"/>
                      <w:szCs w:val="21"/>
                    </w:rPr>
                    <w:t>t/a</w:t>
                  </w:r>
                </w:p>
              </w:tc>
              <w:tc>
                <w:tcPr>
                  <w:tcW w:w="907" w:type="dxa"/>
                  <w:tcBorders>
                    <w:tl2br w:val="nil"/>
                    <w:tr2bl w:val="nil"/>
                  </w:tcBorders>
                  <w:vAlign w:val="center"/>
                </w:tcPr>
                <w:p w14:paraId="3AB69E56">
                  <w:pPr>
                    <w:adjustRightInd w:val="0"/>
                    <w:snapToGrid w:val="0"/>
                    <w:jc w:val="center"/>
                    <w:rPr>
                      <w:color w:val="000000"/>
                      <w:szCs w:val="21"/>
                    </w:rPr>
                  </w:pPr>
                  <w:r>
                    <w:rPr>
                      <w:rFonts w:hint="eastAsia"/>
                      <w:color w:val="000000"/>
                      <w:szCs w:val="21"/>
                    </w:rPr>
                    <w:t>12.8</w:t>
                  </w:r>
                </w:p>
              </w:tc>
              <w:tc>
                <w:tcPr>
                  <w:tcW w:w="876" w:type="dxa"/>
                  <w:tcBorders>
                    <w:tl2br w:val="nil"/>
                    <w:tr2bl w:val="nil"/>
                  </w:tcBorders>
                  <w:vAlign w:val="center"/>
                </w:tcPr>
                <w:p w14:paraId="0AE51992">
                  <w:pPr>
                    <w:adjustRightInd w:val="0"/>
                    <w:snapToGrid w:val="0"/>
                    <w:jc w:val="center"/>
                    <w:rPr>
                      <w:color w:val="000000"/>
                      <w:szCs w:val="21"/>
                    </w:rPr>
                  </w:pPr>
                  <w:r>
                    <w:rPr>
                      <w:rFonts w:hint="eastAsia"/>
                      <w:color w:val="000000"/>
                      <w:szCs w:val="21"/>
                    </w:rPr>
                    <w:t>外购</w:t>
                  </w:r>
                </w:p>
              </w:tc>
              <w:tc>
                <w:tcPr>
                  <w:tcW w:w="1200" w:type="dxa"/>
                  <w:tcBorders>
                    <w:tl2br w:val="nil"/>
                    <w:tr2bl w:val="nil"/>
                  </w:tcBorders>
                  <w:vAlign w:val="center"/>
                </w:tcPr>
                <w:p w14:paraId="12129EBA">
                  <w:pPr>
                    <w:adjustRightInd w:val="0"/>
                    <w:snapToGrid w:val="0"/>
                    <w:jc w:val="center"/>
                    <w:rPr>
                      <w:color w:val="000000"/>
                      <w:szCs w:val="21"/>
                    </w:rPr>
                  </w:pPr>
                  <w:r>
                    <w:rPr>
                      <w:rFonts w:hint="eastAsia"/>
                      <w:color w:val="000000"/>
                      <w:szCs w:val="21"/>
                    </w:rPr>
                    <w:t>桶装，25kg/桶</w:t>
                  </w:r>
                </w:p>
              </w:tc>
              <w:tc>
                <w:tcPr>
                  <w:tcW w:w="1018" w:type="dxa"/>
                  <w:tcBorders>
                    <w:tl2br w:val="nil"/>
                    <w:tr2bl w:val="nil"/>
                  </w:tcBorders>
                  <w:vAlign w:val="center"/>
                </w:tcPr>
                <w:p w14:paraId="6F60113F">
                  <w:pPr>
                    <w:adjustRightInd w:val="0"/>
                    <w:snapToGrid w:val="0"/>
                    <w:jc w:val="center"/>
                    <w:rPr>
                      <w:color w:val="000000"/>
                      <w:szCs w:val="21"/>
                    </w:rPr>
                  </w:pPr>
                  <w:r>
                    <w:rPr>
                      <w:rFonts w:hint="eastAsia"/>
                      <w:color w:val="000000"/>
                      <w:szCs w:val="21"/>
                    </w:rPr>
                    <w:t>垃圾站房储存间</w:t>
                  </w:r>
                </w:p>
              </w:tc>
              <w:tc>
                <w:tcPr>
                  <w:tcW w:w="1876" w:type="dxa"/>
                  <w:tcBorders>
                    <w:tl2br w:val="nil"/>
                    <w:tr2bl w:val="nil"/>
                  </w:tcBorders>
                  <w:vAlign w:val="center"/>
                </w:tcPr>
                <w:p w14:paraId="53828942">
                  <w:pPr>
                    <w:adjustRightInd w:val="0"/>
                    <w:snapToGrid w:val="0"/>
                    <w:jc w:val="center"/>
                    <w:rPr>
                      <w:color w:val="000000"/>
                      <w:szCs w:val="21"/>
                      <w:highlight w:val="yellow"/>
                    </w:rPr>
                  </w:pPr>
                  <w:r>
                    <w:rPr>
                      <w:rFonts w:hint="eastAsia"/>
                      <w:color w:val="000000"/>
                      <w:szCs w:val="21"/>
                      <w:highlight w:val="yellow"/>
                    </w:rPr>
                    <w:t>/</w:t>
                  </w:r>
                </w:p>
              </w:tc>
            </w:tr>
            <w:tr w14:paraId="751BD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continue"/>
                  <w:tcBorders>
                    <w:tl2br w:val="nil"/>
                    <w:tr2bl w:val="nil"/>
                  </w:tcBorders>
                  <w:vAlign w:val="center"/>
                </w:tcPr>
                <w:p w14:paraId="7BCE8A32">
                  <w:pPr>
                    <w:adjustRightInd w:val="0"/>
                    <w:snapToGrid w:val="0"/>
                    <w:jc w:val="center"/>
                    <w:rPr>
                      <w:color w:val="000000"/>
                      <w:szCs w:val="21"/>
                    </w:rPr>
                  </w:pPr>
                </w:p>
              </w:tc>
              <w:tc>
                <w:tcPr>
                  <w:tcW w:w="1145" w:type="dxa"/>
                  <w:tcBorders>
                    <w:tl2br w:val="nil"/>
                    <w:tr2bl w:val="nil"/>
                  </w:tcBorders>
                  <w:vAlign w:val="center"/>
                </w:tcPr>
                <w:p w14:paraId="3D989B92">
                  <w:pPr>
                    <w:adjustRightInd w:val="0"/>
                    <w:snapToGrid w:val="0"/>
                    <w:jc w:val="center"/>
                    <w:rPr>
                      <w:szCs w:val="21"/>
                    </w:rPr>
                  </w:pPr>
                  <w:r>
                    <w:rPr>
                      <w:rFonts w:hint="eastAsia"/>
                      <w:szCs w:val="21"/>
                    </w:rPr>
                    <w:t>液压油</w:t>
                  </w:r>
                </w:p>
              </w:tc>
              <w:tc>
                <w:tcPr>
                  <w:tcW w:w="726" w:type="dxa"/>
                  <w:tcBorders>
                    <w:tl2br w:val="nil"/>
                    <w:tr2bl w:val="nil"/>
                  </w:tcBorders>
                  <w:vAlign w:val="center"/>
                </w:tcPr>
                <w:p w14:paraId="2295102D">
                  <w:pPr>
                    <w:adjustRightInd w:val="0"/>
                    <w:snapToGrid w:val="0"/>
                    <w:jc w:val="center"/>
                    <w:rPr>
                      <w:szCs w:val="21"/>
                    </w:rPr>
                  </w:pPr>
                  <w:r>
                    <w:rPr>
                      <w:rFonts w:hint="eastAsia"/>
                      <w:szCs w:val="21"/>
                    </w:rPr>
                    <w:t>t/a</w:t>
                  </w:r>
                </w:p>
              </w:tc>
              <w:tc>
                <w:tcPr>
                  <w:tcW w:w="907" w:type="dxa"/>
                  <w:tcBorders>
                    <w:tl2br w:val="nil"/>
                    <w:tr2bl w:val="nil"/>
                  </w:tcBorders>
                  <w:vAlign w:val="center"/>
                </w:tcPr>
                <w:p w14:paraId="4B9A438C">
                  <w:pPr>
                    <w:adjustRightInd w:val="0"/>
                    <w:snapToGrid w:val="0"/>
                    <w:jc w:val="center"/>
                    <w:rPr>
                      <w:szCs w:val="21"/>
                    </w:rPr>
                  </w:pPr>
                  <w:r>
                    <w:rPr>
                      <w:rFonts w:hint="eastAsia"/>
                      <w:szCs w:val="21"/>
                    </w:rPr>
                    <w:t>1.3</w:t>
                  </w:r>
                </w:p>
              </w:tc>
              <w:tc>
                <w:tcPr>
                  <w:tcW w:w="876" w:type="dxa"/>
                  <w:tcBorders>
                    <w:tl2br w:val="nil"/>
                    <w:tr2bl w:val="nil"/>
                  </w:tcBorders>
                  <w:vAlign w:val="center"/>
                </w:tcPr>
                <w:p w14:paraId="781E2A59">
                  <w:pPr>
                    <w:adjustRightInd w:val="0"/>
                    <w:snapToGrid w:val="0"/>
                    <w:jc w:val="center"/>
                    <w:rPr>
                      <w:szCs w:val="21"/>
                    </w:rPr>
                  </w:pPr>
                  <w:r>
                    <w:rPr>
                      <w:rFonts w:hint="eastAsia"/>
                      <w:szCs w:val="21"/>
                    </w:rPr>
                    <w:t>外购</w:t>
                  </w:r>
                </w:p>
              </w:tc>
              <w:tc>
                <w:tcPr>
                  <w:tcW w:w="1200" w:type="dxa"/>
                  <w:tcBorders>
                    <w:tl2br w:val="nil"/>
                    <w:tr2bl w:val="nil"/>
                  </w:tcBorders>
                  <w:vAlign w:val="center"/>
                </w:tcPr>
                <w:p w14:paraId="384B8607">
                  <w:pPr>
                    <w:adjustRightInd w:val="0"/>
                    <w:snapToGrid w:val="0"/>
                    <w:jc w:val="center"/>
                    <w:rPr>
                      <w:szCs w:val="21"/>
                    </w:rPr>
                  </w:pPr>
                  <w:r>
                    <w:rPr>
                      <w:rFonts w:hint="eastAsia"/>
                      <w:szCs w:val="21"/>
                    </w:rPr>
                    <w:t>桶装，200L/桶</w:t>
                  </w:r>
                </w:p>
              </w:tc>
              <w:tc>
                <w:tcPr>
                  <w:tcW w:w="1018" w:type="dxa"/>
                  <w:tcBorders>
                    <w:tl2br w:val="nil"/>
                    <w:tr2bl w:val="nil"/>
                  </w:tcBorders>
                  <w:vAlign w:val="center"/>
                </w:tcPr>
                <w:p w14:paraId="44619163">
                  <w:pPr>
                    <w:adjustRightInd w:val="0"/>
                    <w:snapToGrid w:val="0"/>
                    <w:jc w:val="center"/>
                    <w:rPr>
                      <w:szCs w:val="21"/>
                    </w:rPr>
                  </w:pPr>
                  <w:r>
                    <w:rPr>
                      <w:rFonts w:hint="eastAsia"/>
                      <w:szCs w:val="21"/>
                    </w:rPr>
                    <w:t>维保房</w:t>
                  </w:r>
                </w:p>
              </w:tc>
              <w:tc>
                <w:tcPr>
                  <w:tcW w:w="1876" w:type="dxa"/>
                  <w:tcBorders>
                    <w:tl2br w:val="nil"/>
                    <w:tr2bl w:val="nil"/>
                  </w:tcBorders>
                  <w:vAlign w:val="center"/>
                </w:tcPr>
                <w:p w14:paraId="6E134A72">
                  <w:pPr>
                    <w:adjustRightInd w:val="0"/>
                    <w:snapToGrid w:val="0"/>
                    <w:jc w:val="center"/>
                    <w:rPr>
                      <w:color w:val="000000"/>
                      <w:szCs w:val="21"/>
                      <w:highlight w:val="cyan"/>
                    </w:rPr>
                  </w:pPr>
                  <w:r>
                    <w:rPr>
                      <w:rFonts w:hint="eastAsia"/>
                      <w:color w:val="000000"/>
                      <w:szCs w:val="21"/>
                    </w:rPr>
                    <w:t>/</w:t>
                  </w:r>
                </w:p>
              </w:tc>
            </w:tr>
            <w:tr w14:paraId="1F444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continue"/>
                  <w:tcBorders>
                    <w:tl2br w:val="nil"/>
                    <w:tr2bl w:val="nil"/>
                  </w:tcBorders>
                  <w:vAlign w:val="center"/>
                </w:tcPr>
                <w:p w14:paraId="48DB297A">
                  <w:pPr>
                    <w:adjustRightInd w:val="0"/>
                    <w:snapToGrid w:val="0"/>
                    <w:jc w:val="center"/>
                    <w:rPr>
                      <w:color w:val="000000"/>
                      <w:szCs w:val="21"/>
                    </w:rPr>
                  </w:pPr>
                </w:p>
              </w:tc>
              <w:tc>
                <w:tcPr>
                  <w:tcW w:w="1145" w:type="dxa"/>
                  <w:tcBorders>
                    <w:tl2br w:val="nil"/>
                    <w:tr2bl w:val="nil"/>
                  </w:tcBorders>
                  <w:vAlign w:val="center"/>
                </w:tcPr>
                <w:p w14:paraId="1AD319E5">
                  <w:pPr>
                    <w:adjustRightInd w:val="0"/>
                    <w:snapToGrid w:val="0"/>
                    <w:jc w:val="center"/>
                    <w:rPr>
                      <w:color w:val="000000"/>
                      <w:szCs w:val="21"/>
                    </w:rPr>
                  </w:pPr>
                  <w:r>
                    <w:rPr>
                      <w:rFonts w:hint="eastAsia"/>
                      <w:color w:val="000000"/>
                      <w:szCs w:val="21"/>
                    </w:rPr>
                    <w:t>PAC</w:t>
                  </w:r>
                </w:p>
              </w:tc>
              <w:tc>
                <w:tcPr>
                  <w:tcW w:w="726" w:type="dxa"/>
                  <w:tcBorders>
                    <w:tl2br w:val="nil"/>
                    <w:tr2bl w:val="nil"/>
                  </w:tcBorders>
                  <w:vAlign w:val="center"/>
                </w:tcPr>
                <w:p w14:paraId="2F95213C">
                  <w:pPr>
                    <w:adjustRightInd w:val="0"/>
                    <w:snapToGrid w:val="0"/>
                    <w:jc w:val="center"/>
                    <w:rPr>
                      <w:color w:val="000000"/>
                      <w:szCs w:val="21"/>
                    </w:rPr>
                  </w:pPr>
                  <w:r>
                    <w:rPr>
                      <w:rFonts w:hint="eastAsia"/>
                      <w:color w:val="000000"/>
                      <w:szCs w:val="21"/>
                    </w:rPr>
                    <w:t>t/a</w:t>
                  </w:r>
                </w:p>
              </w:tc>
              <w:tc>
                <w:tcPr>
                  <w:tcW w:w="907" w:type="dxa"/>
                  <w:tcBorders>
                    <w:tl2br w:val="nil"/>
                    <w:tr2bl w:val="nil"/>
                  </w:tcBorders>
                  <w:vAlign w:val="center"/>
                </w:tcPr>
                <w:p w14:paraId="0728D9BC">
                  <w:pPr>
                    <w:adjustRightInd w:val="0"/>
                    <w:snapToGrid w:val="0"/>
                    <w:jc w:val="center"/>
                    <w:rPr>
                      <w:color w:val="000000"/>
                      <w:szCs w:val="21"/>
                    </w:rPr>
                  </w:pPr>
                  <w:r>
                    <w:rPr>
                      <w:rFonts w:hint="eastAsia"/>
                      <w:color w:val="000000"/>
                      <w:szCs w:val="21"/>
                    </w:rPr>
                    <w:t>2.0</w:t>
                  </w:r>
                </w:p>
              </w:tc>
              <w:tc>
                <w:tcPr>
                  <w:tcW w:w="876" w:type="dxa"/>
                  <w:tcBorders>
                    <w:tl2br w:val="nil"/>
                    <w:tr2bl w:val="nil"/>
                  </w:tcBorders>
                  <w:vAlign w:val="center"/>
                </w:tcPr>
                <w:p w14:paraId="4535BA18">
                  <w:pPr>
                    <w:adjustRightInd w:val="0"/>
                    <w:snapToGrid w:val="0"/>
                    <w:jc w:val="center"/>
                    <w:rPr>
                      <w:color w:val="000000"/>
                      <w:szCs w:val="21"/>
                    </w:rPr>
                  </w:pPr>
                  <w:r>
                    <w:rPr>
                      <w:rFonts w:hint="eastAsia"/>
                      <w:color w:val="000000"/>
                      <w:szCs w:val="21"/>
                    </w:rPr>
                    <w:t>外购</w:t>
                  </w:r>
                </w:p>
              </w:tc>
              <w:tc>
                <w:tcPr>
                  <w:tcW w:w="1200" w:type="dxa"/>
                  <w:tcBorders>
                    <w:tl2br w:val="nil"/>
                    <w:tr2bl w:val="nil"/>
                  </w:tcBorders>
                  <w:vAlign w:val="center"/>
                </w:tcPr>
                <w:p w14:paraId="3930F86C">
                  <w:pPr>
                    <w:adjustRightInd w:val="0"/>
                    <w:snapToGrid w:val="0"/>
                    <w:jc w:val="center"/>
                    <w:rPr>
                      <w:color w:val="000000"/>
                      <w:szCs w:val="21"/>
                    </w:rPr>
                  </w:pPr>
                  <w:r>
                    <w:rPr>
                      <w:rFonts w:hint="eastAsia"/>
                      <w:color w:val="000000"/>
                      <w:szCs w:val="21"/>
                    </w:rPr>
                    <w:t>袋装，25kg/袋</w:t>
                  </w:r>
                </w:p>
              </w:tc>
              <w:tc>
                <w:tcPr>
                  <w:tcW w:w="1018" w:type="dxa"/>
                  <w:tcBorders>
                    <w:tl2br w:val="nil"/>
                    <w:tr2bl w:val="nil"/>
                  </w:tcBorders>
                  <w:vAlign w:val="center"/>
                </w:tcPr>
                <w:p w14:paraId="26B70893">
                  <w:pPr>
                    <w:adjustRightInd w:val="0"/>
                    <w:snapToGrid w:val="0"/>
                    <w:jc w:val="center"/>
                    <w:rPr>
                      <w:color w:val="000000"/>
                      <w:szCs w:val="21"/>
                      <w:highlight w:val="cyan"/>
                    </w:rPr>
                  </w:pPr>
                  <w:r>
                    <w:rPr>
                      <w:rFonts w:hint="eastAsia"/>
                      <w:color w:val="000000"/>
                      <w:szCs w:val="21"/>
                    </w:rPr>
                    <w:t>渗滤液处理车间</w:t>
                  </w:r>
                </w:p>
              </w:tc>
              <w:tc>
                <w:tcPr>
                  <w:tcW w:w="1876" w:type="dxa"/>
                  <w:tcBorders>
                    <w:tl2br w:val="nil"/>
                    <w:tr2bl w:val="nil"/>
                  </w:tcBorders>
                  <w:vAlign w:val="center"/>
                </w:tcPr>
                <w:p w14:paraId="56D0B1DD">
                  <w:pPr>
                    <w:adjustRightInd w:val="0"/>
                    <w:snapToGrid w:val="0"/>
                    <w:jc w:val="center"/>
                    <w:rPr>
                      <w:color w:val="000000"/>
                      <w:szCs w:val="21"/>
                    </w:rPr>
                  </w:pPr>
                  <w:r>
                    <w:rPr>
                      <w:rFonts w:hint="eastAsia"/>
                      <w:color w:val="000000"/>
                      <w:szCs w:val="21"/>
                    </w:rPr>
                    <w:t>渗滤液等处理</w:t>
                  </w:r>
                </w:p>
              </w:tc>
            </w:tr>
            <w:tr w14:paraId="2F8A1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continue"/>
                  <w:tcBorders>
                    <w:tl2br w:val="nil"/>
                    <w:tr2bl w:val="nil"/>
                  </w:tcBorders>
                  <w:vAlign w:val="center"/>
                </w:tcPr>
                <w:p w14:paraId="19C646AB">
                  <w:pPr>
                    <w:adjustRightInd w:val="0"/>
                    <w:snapToGrid w:val="0"/>
                    <w:jc w:val="center"/>
                    <w:rPr>
                      <w:color w:val="000000"/>
                      <w:szCs w:val="21"/>
                    </w:rPr>
                  </w:pPr>
                </w:p>
              </w:tc>
              <w:tc>
                <w:tcPr>
                  <w:tcW w:w="1145" w:type="dxa"/>
                  <w:tcBorders>
                    <w:tl2br w:val="nil"/>
                    <w:tr2bl w:val="nil"/>
                  </w:tcBorders>
                  <w:vAlign w:val="center"/>
                </w:tcPr>
                <w:p w14:paraId="6691DA8C">
                  <w:pPr>
                    <w:adjustRightInd w:val="0"/>
                    <w:snapToGrid w:val="0"/>
                    <w:jc w:val="center"/>
                    <w:rPr>
                      <w:color w:val="000000"/>
                      <w:szCs w:val="21"/>
                    </w:rPr>
                  </w:pPr>
                  <w:r>
                    <w:rPr>
                      <w:rFonts w:hint="eastAsia"/>
                      <w:color w:val="000000"/>
                      <w:szCs w:val="21"/>
                    </w:rPr>
                    <w:t>PAM</w:t>
                  </w:r>
                </w:p>
              </w:tc>
              <w:tc>
                <w:tcPr>
                  <w:tcW w:w="726" w:type="dxa"/>
                  <w:tcBorders>
                    <w:tl2br w:val="nil"/>
                    <w:tr2bl w:val="nil"/>
                  </w:tcBorders>
                  <w:vAlign w:val="center"/>
                </w:tcPr>
                <w:p w14:paraId="047A1131">
                  <w:pPr>
                    <w:adjustRightInd w:val="0"/>
                    <w:snapToGrid w:val="0"/>
                    <w:jc w:val="center"/>
                    <w:rPr>
                      <w:color w:val="000000"/>
                      <w:szCs w:val="21"/>
                    </w:rPr>
                  </w:pPr>
                  <w:r>
                    <w:rPr>
                      <w:rFonts w:hint="eastAsia"/>
                      <w:color w:val="000000"/>
                      <w:szCs w:val="21"/>
                    </w:rPr>
                    <w:t>t/a</w:t>
                  </w:r>
                </w:p>
              </w:tc>
              <w:tc>
                <w:tcPr>
                  <w:tcW w:w="907" w:type="dxa"/>
                  <w:tcBorders>
                    <w:tl2br w:val="nil"/>
                    <w:tr2bl w:val="nil"/>
                  </w:tcBorders>
                  <w:vAlign w:val="center"/>
                </w:tcPr>
                <w:p w14:paraId="59F24098">
                  <w:pPr>
                    <w:adjustRightInd w:val="0"/>
                    <w:snapToGrid w:val="0"/>
                    <w:jc w:val="center"/>
                    <w:rPr>
                      <w:color w:val="000000"/>
                      <w:szCs w:val="21"/>
                    </w:rPr>
                  </w:pPr>
                  <w:r>
                    <w:rPr>
                      <w:rFonts w:hint="eastAsia"/>
                      <w:color w:val="000000"/>
                      <w:szCs w:val="21"/>
                    </w:rPr>
                    <w:t>1.0</w:t>
                  </w:r>
                </w:p>
              </w:tc>
              <w:tc>
                <w:tcPr>
                  <w:tcW w:w="876" w:type="dxa"/>
                  <w:tcBorders>
                    <w:tl2br w:val="nil"/>
                    <w:tr2bl w:val="nil"/>
                  </w:tcBorders>
                  <w:vAlign w:val="center"/>
                </w:tcPr>
                <w:p w14:paraId="3DA4DF1C">
                  <w:pPr>
                    <w:adjustRightInd w:val="0"/>
                    <w:snapToGrid w:val="0"/>
                    <w:jc w:val="center"/>
                    <w:rPr>
                      <w:color w:val="000000"/>
                      <w:szCs w:val="21"/>
                    </w:rPr>
                  </w:pPr>
                  <w:r>
                    <w:rPr>
                      <w:rFonts w:hint="eastAsia"/>
                      <w:color w:val="000000"/>
                      <w:szCs w:val="21"/>
                    </w:rPr>
                    <w:t>外购</w:t>
                  </w:r>
                </w:p>
              </w:tc>
              <w:tc>
                <w:tcPr>
                  <w:tcW w:w="1200" w:type="dxa"/>
                  <w:tcBorders>
                    <w:tl2br w:val="nil"/>
                    <w:tr2bl w:val="nil"/>
                  </w:tcBorders>
                  <w:vAlign w:val="center"/>
                </w:tcPr>
                <w:p w14:paraId="7910117B">
                  <w:pPr>
                    <w:adjustRightInd w:val="0"/>
                    <w:snapToGrid w:val="0"/>
                    <w:jc w:val="center"/>
                    <w:rPr>
                      <w:color w:val="000000"/>
                      <w:szCs w:val="21"/>
                    </w:rPr>
                  </w:pPr>
                  <w:r>
                    <w:rPr>
                      <w:rFonts w:hint="eastAsia"/>
                      <w:color w:val="000000"/>
                      <w:szCs w:val="21"/>
                    </w:rPr>
                    <w:t>袋装，25kg/袋</w:t>
                  </w:r>
                </w:p>
              </w:tc>
              <w:tc>
                <w:tcPr>
                  <w:tcW w:w="1018" w:type="dxa"/>
                  <w:tcBorders>
                    <w:tl2br w:val="nil"/>
                    <w:tr2bl w:val="nil"/>
                  </w:tcBorders>
                  <w:vAlign w:val="center"/>
                </w:tcPr>
                <w:p w14:paraId="787B937E">
                  <w:pPr>
                    <w:adjustRightInd w:val="0"/>
                    <w:snapToGrid w:val="0"/>
                    <w:jc w:val="center"/>
                    <w:rPr>
                      <w:color w:val="000000"/>
                      <w:szCs w:val="21"/>
                      <w:highlight w:val="cyan"/>
                    </w:rPr>
                  </w:pPr>
                  <w:r>
                    <w:rPr>
                      <w:rFonts w:hint="eastAsia"/>
                      <w:color w:val="000000"/>
                      <w:szCs w:val="21"/>
                    </w:rPr>
                    <w:t>渗滤液处理车间</w:t>
                  </w:r>
                </w:p>
              </w:tc>
              <w:tc>
                <w:tcPr>
                  <w:tcW w:w="1876" w:type="dxa"/>
                  <w:tcBorders>
                    <w:tl2br w:val="nil"/>
                    <w:tr2bl w:val="nil"/>
                  </w:tcBorders>
                  <w:vAlign w:val="center"/>
                </w:tcPr>
                <w:p w14:paraId="37D633B2">
                  <w:pPr>
                    <w:adjustRightInd w:val="0"/>
                    <w:snapToGrid w:val="0"/>
                    <w:jc w:val="center"/>
                    <w:rPr>
                      <w:color w:val="000000"/>
                      <w:szCs w:val="21"/>
                    </w:rPr>
                  </w:pPr>
                  <w:r>
                    <w:rPr>
                      <w:rFonts w:hint="eastAsia"/>
                      <w:color w:val="000000"/>
                      <w:szCs w:val="21"/>
                    </w:rPr>
                    <w:t>渗滤液等处理</w:t>
                  </w:r>
                </w:p>
              </w:tc>
            </w:tr>
            <w:tr w14:paraId="5C219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continue"/>
                  <w:tcBorders>
                    <w:tl2br w:val="nil"/>
                    <w:tr2bl w:val="nil"/>
                  </w:tcBorders>
                  <w:vAlign w:val="center"/>
                </w:tcPr>
                <w:p w14:paraId="5F5FD215">
                  <w:pPr>
                    <w:adjustRightInd w:val="0"/>
                    <w:snapToGrid w:val="0"/>
                    <w:jc w:val="center"/>
                    <w:rPr>
                      <w:color w:val="000000"/>
                      <w:szCs w:val="21"/>
                    </w:rPr>
                  </w:pPr>
                </w:p>
              </w:tc>
              <w:tc>
                <w:tcPr>
                  <w:tcW w:w="1145" w:type="dxa"/>
                  <w:tcBorders>
                    <w:tl2br w:val="nil"/>
                    <w:tr2bl w:val="nil"/>
                  </w:tcBorders>
                  <w:shd w:val="clear" w:color="auto" w:fill="auto"/>
                  <w:vAlign w:val="center"/>
                </w:tcPr>
                <w:p w14:paraId="7A0B68C9">
                  <w:pPr>
                    <w:adjustRightInd w:val="0"/>
                    <w:snapToGrid w:val="0"/>
                    <w:jc w:val="center"/>
                    <w:rPr>
                      <w:szCs w:val="21"/>
                    </w:rPr>
                  </w:pPr>
                  <w:r>
                    <w:rPr>
                      <w:rFonts w:hint="eastAsia"/>
                      <w:szCs w:val="21"/>
                    </w:rPr>
                    <w:t>润滑油</w:t>
                  </w:r>
                </w:p>
              </w:tc>
              <w:tc>
                <w:tcPr>
                  <w:tcW w:w="726" w:type="dxa"/>
                  <w:tcBorders>
                    <w:tl2br w:val="nil"/>
                    <w:tr2bl w:val="nil"/>
                  </w:tcBorders>
                  <w:shd w:val="clear" w:color="auto" w:fill="auto"/>
                  <w:vAlign w:val="center"/>
                </w:tcPr>
                <w:p w14:paraId="22BFDC36">
                  <w:pPr>
                    <w:adjustRightInd w:val="0"/>
                    <w:snapToGrid w:val="0"/>
                    <w:jc w:val="center"/>
                    <w:rPr>
                      <w:szCs w:val="21"/>
                    </w:rPr>
                  </w:pPr>
                  <w:r>
                    <w:rPr>
                      <w:rFonts w:hint="eastAsia"/>
                      <w:szCs w:val="21"/>
                    </w:rPr>
                    <w:t>t/a</w:t>
                  </w:r>
                </w:p>
              </w:tc>
              <w:tc>
                <w:tcPr>
                  <w:tcW w:w="907" w:type="dxa"/>
                  <w:tcBorders>
                    <w:tl2br w:val="nil"/>
                    <w:tr2bl w:val="nil"/>
                  </w:tcBorders>
                  <w:shd w:val="clear" w:color="auto" w:fill="auto"/>
                  <w:vAlign w:val="center"/>
                </w:tcPr>
                <w:p w14:paraId="356FBA64">
                  <w:pPr>
                    <w:adjustRightInd w:val="0"/>
                    <w:snapToGrid w:val="0"/>
                    <w:jc w:val="center"/>
                    <w:rPr>
                      <w:szCs w:val="21"/>
                    </w:rPr>
                  </w:pPr>
                  <w:r>
                    <w:rPr>
                      <w:rFonts w:hint="eastAsia"/>
                      <w:szCs w:val="21"/>
                    </w:rPr>
                    <w:t>0.5</w:t>
                  </w:r>
                </w:p>
              </w:tc>
              <w:tc>
                <w:tcPr>
                  <w:tcW w:w="876" w:type="dxa"/>
                  <w:tcBorders>
                    <w:tl2br w:val="nil"/>
                    <w:tr2bl w:val="nil"/>
                  </w:tcBorders>
                  <w:shd w:val="clear" w:color="auto" w:fill="auto"/>
                  <w:vAlign w:val="center"/>
                </w:tcPr>
                <w:p w14:paraId="1A4E5FB4">
                  <w:pPr>
                    <w:adjustRightInd w:val="0"/>
                    <w:snapToGrid w:val="0"/>
                    <w:jc w:val="center"/>
                    <w:rPr>
                      <w:szCs w:val="21"/>
                    </w:rPr>
                  </w:pPr>
                  <w:r>
                    <w:rPr>
                      <w:rFonts w:hint="eastAsia"/>
                      <w:szCs w:val="21"/>
                    </w:rPr>
                    <w:t>外购</w:t>
                  </w:r>
                </w:p>
              </w:tc>
              <w:tc>
                <w:tcPr>
                  <w:tcW w:w="1200" w:type="dxa"/>
                  <w:tcBorders>
                    <w:tl2br w:val="nil"/>
                    <w:tr2bl w:val="nil"/>
                  </w:tcBorders>
                  <w:shd w:val="clear" w:color="auto" w:fill="auto"/>
                  <w:vAlign w:val="center"/>
                </w:tcPr>
                <w:p w14:paraId="4BBA39E8">
                  <w:pPr>
                    <w:adjustRightInd w:val="0"/>
                    <w:snapToGrid w:val="0"/>
                    <w:jc w:val="center"/>
                    <w:rPr>
                      <w:szCs w:val="21"/>
                    </w:rPr>
                  </w:pPr>
                  <w:r>
                    <w:rPr>
                      <w:rFonts w:hint="eastAsia"/>
                      <w:szCs w:val="21"/>
                    </w:rPr>
                    <w:t>桶装，200kg/桶</w:t>
                  </w:r>
                </w:p>
              </w:tc>
              <w:tc>
                <w:tcPr>
                  <w:tcW w:w="1018" w:type="dxa"/>
                  <w:tcBorders>
                    <w:tl2br w:val="nil"/>
                    <w:tr2bl w:val="nil"/>
                  </w:tcBorders>
                  <w:shd w:val="clear" w:color="auto" w:fill="auto"/>
                  <w:vAlign w:val="center"/>
                </w:tcPr>
                <w:p w14:paraId="424C57FE">
                  <w:pPr>
                    <w:adjustRightInd w:val="0"/>
                    <w:snapToGrid w:val="0"/>
                    <w:jc w:val="center"/>
                    <w:rPr>
                      <w:color w:val="000000"/>
                      <w:szCs w:val="21"/>
                    </w:rPr>
                  </w:pPr>
                  <w:r>
                    <w:rPr>
                      <w:rFonts w:hint="eastAsia"/>
                      <w:color w:val="000000"/>
                      <w:szCs w:val="21"/>
                    </w:rPr>
                    <w:t>维保房</w:t>
                  </w:r>
                </w:p>
              </w:tc>
              <w:tc>
                <w:tcPr>
                  <w:tcW w:w="1876" w:type="dxa"/>
                  <w:tcBorders>
                    <w:tl2br w:val="nil"/>
                    <w:tr2bl w:val="nil"/>
                  </w:tcBorders>
                  <w:vAlign w:val="center"/>
                </w:tcPr>
                <w:p w14:paraId="05D87588">
                  <w:pPr>
                    <w:adjustRightInd w:val="0"/>
                    <w:snapToGrid w:val="0"/>
                    <w:jc w:val="center"/>
                    <w:rPr>
                      <w:color w:val="000000"/>
                      <w:szCs w:val="21"/>
                    </w:rPr>
                  </w:pPr>
                  <w:r>
                    <w:rPr>
                      <w:rFonts w:hint="eastAsia"/>
                      <w:color w:val="000000"/>
                      <w:szCs w:val="21"/>
                    </w:rPr>
                    <w:t>/</w:t>
                  </w:r>
                </w:p>
              </w:tc>
            </w:tr>
            <w:tr w14:paraId="59DCE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458" w:type="dxa"/>
                  <w:vMerge w:val="continue"/>
                  <w:tcBorders>
                    <w:tl2br w:val="nil"/>
                    <w:tr2bl w:val="nil"/>
                  </w:tcBorders>
                  <w:vAlign w:val="center"/>
                </w:tcPr>
                <w:p w14:paraId="0F887064">
                  <w:pPr>
                    <w:adjustRightInd w:val="0"/>
                    <w:snapToGrid w:val="0"/>
                    <w:jc w:val="center"/>
                    <w:rPr>
                      <w:color w:val="000000"/>
                      <w:szCs w:val="21"/>
                    </w:rPr>
                  </w:pPr>
                </w:p>
              </w:tc>
              <w:tc>
                <w:tcPr>
                  <w:tcW w:w="1145" w:type="dxa"/>
                  <w:tcBorders>
                    <w:tl2br w:val="nil"/>
                    <w:tr2bl w:val="nil"/>
                  </w:tcBorders>
                  <w:vAlign w:val="center"/>
                </w:tcPr>
                <w:p w14:paraId="004C52FF">
                  <w:pPr>
                    <w:jc w:val="center"/>
                    <w:rPr>
                      <w:szCs w:val="21"/>
                    </w:rPr>
                  </w:pPr>
                  <w:r>
                    <w:rPr>
                      <w:rFonts w:eastAsiaTheme="minorEastAsia"/>
                      <w:szCs w:val="21"/>
                    </w:rPr>
                    <w:t>次氯酸钠</w:t>
                  </w:r>
                </w:p>
              </w:tc>
              <w:tc>
                <w:tcPr>
                  <w:tcW w:w="726" w:type="dxa"/>
                  <w:tcBorders>
                    <w:tl2br w:val="nil"/>
                    <w:tr2bl w:val="nil"/>
                  </w:tcBorders>
                  <w:vAlign w:val="center"/>
                </w:tcPr>
                <w:p w14:paraId="0B18A9A0">
                  <w:pPr>
                    <w:jc w:val="center"/>
                    <w:rPr>
                      <w:szCs w:val="21"/>
                    </w:rPr>
                  </w:pPr>
                  <w:r>
                    <w:rPr>
                      <w:rFonts w:eastAsiaTheme="minorEastAsia"/>
                      <w:szCs w:val="21"/>
                    </w:rPr>
                    <w:t>t/a</w:t>
                  </w:r>
                </w:p>
              </w:tc>
              <w:tc>
                <w:tcPr>
                  <w:tcW w:w="907" w:type="dxa"/>
                  <w:tcBorders>
                    <w:tl2br w:val="nil"/>
                    <w:tr2bl w:val="nil"/>
                  </w:tcBorders>
                  <w:vAlign w:val="center"/>
                </w:tcPr>
                <w:p w14:paraId="4C302050">
                  <w:pPr>
                    <w:adjustRightInd w:val="0"/>
                    <w:snapToGrid w:val="0"/>
                    <w:jc w:val="center"/>
                    <w:rPr>
                      <w:szCs w:val="21"/>
                    </w:rPr>
                  </w:pPr>
                  <w:r>
                    <w:rPr>
                      <w:rFonts w:hint="eastAsia"/>
                      <w:szCs w:val="21"/>
                    </w:rPr>
                    <w:t>0.1</w:t>
                  </w:r>
                </w:p>
              </w:tc>
              <w:tc>
                <w:tcPr>
                  <w:tcW w:w="876" w:type="dxa"/>
                  <w:tcBorders>
                    <w:tl2br w:val="nil"/>
                    <w:tr2bl w:val="nil"/>
                  </w:tcBorders>
                  <w:shd w:val="clear" w:color="auto" w:fill="auto"/>
                  <w:vAlign w:val="center"/>
                </w:tcPr>
                <w:p w14:paraId="6D548653">
                  <w:pPr>
                    <w:adjustRightInd w:val="0"/>
                    <w:snapToGrid w:val="0"/>
                    <w:jc w:val="center"/>
                    <w:rPr>
                      <w:szCs w:val="21"/>
                    </w:rPr>
                  </w:pPr>
                  <w:r>
                    <w:rPr>
                      <w:rFonts w:hint="eastAsia"/>
                      <w:szCs w:val="21"/>
                    </w:rPr>
                    <w:t>外购</w:t>
                  </w:r>
                </w:p>
              </w:tc>
              <w:tc>
                <w:tcPr>
                  <w:tcW w:w="1200" w:type="dxa"/>
                  <w:tcBorders>
                    <w:tl2br w:val="nil"/>
                    <w:tr2bl w:val="nil"/>
                  </w:tcBorders>
                  <w:shd w:val="clear" w:color="auto" w:fill="auto"/>
                  <w:vAlign w:val="center"/>
                </w:tcPr>
                <w:p w14:paraId="5EB216EF">
                  <w:pPr>
                    <w:jc w:val="center"/>
                    <w:rPr>
                      <w:szCs w:val="21"/>
                    </w:rPr>
                  </w:pPr>
                  <w:r>
                    <w:rPr>
                      <w:rFonts w:eastAsiaTheme="minorEastAsia"/>
                      <w:szCs w:val="21"/>
                    </w:rPr>
                    <w:t>桶装，25kg/桶</w:t>
                  </w:r>
                </w:p>
              </w:tc>
              <w:tc>
                <w:tcPr>
                  <w:tcW w:w="1018" w:type="dxa"/>
                  <w:tcBorders>
                    <w:tl2br w:val="nil"/>
                    <w:tr2bl w:val="nil"/>
                  </w:tcBorders>
                  <w:vAlign w:val="center"/>
                </w:tcPr>
                <w:p w14:paraId="7126C788">
                  <w:pPr>
                    <w:adjustRightInd w:val="0"/>
                    <w:snapToGrid w:val="0"/>
                    <w:jc w:val="center"/>
                    <w:rPr>
                      <w:color w:val="000000"/>
                      <w:szCs w:val="21"/>
                    </w:rPr>
                  </w:pPr>
                  <w:r>
                    <w:rPr>
                      <w:rFonts w:hint="eastAsia"/>
                      <w:color w:val="000000"/>
                      <w:szCs w:val="21"/>
                    </w:rPr>
                    <w:t>渗滤液处理车间</w:t>
                  </w:r>
                </w:p>
              </w:tc>
              <w:tc>
                <w:tcPr>
                  <w:tcW w:w="1876" w:type="dxa"/>
                  <w:tcBorders>
                    <w:tl2br w:val="nil"/>
                    <w:tr2bl w:val="nil"/>
                  </w:tcBorders>
                  <w:vAlign w:val="center"/>
                </w:tcPr>
                <w:p w14:paraId="77C19E25">
                  <w:pPr>
                    <w:adjustRightInd w:val="0"/>
                    <w:snapToGrid w:val="0"/>
                    <w:jc w:val="center"/>
                    <w:rPr>
                      <w:color w:val="000000"/>
                      <w:szCs w:val="21"/>
                    </w:rPr>
                  </w:pPr>
                  <w:r>
                    <w:rPr>
                      <w:rFonts w:hint="eastAsia" w:eastAsiaTheme="minorEastAsia"/>
                      <w:szCs w:val="21"/>
                    </w:rPr>
                    <w:t>清洗MBR膜</w:t>
                  </w:r>
                </w:p>
              </w:tc>
            </w:tr>
            <w:tr w14:paraId="6D4FD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restart"/>
                  <w:tcBorders>
                    <w:tl2br w:val="nil"/>
                    <w:tr2bl w:val="nil"/>
                  </w:tcBorders>
                  <w:vAlign w:val="center"/>
                </w:tcPr>
                <w:p w14:paraId="0AA82A48">
                  <w:pPr>
                    <w:adjustRightInd w:val="0"/>
                    <w:snapToGrid w:val="0"/>
                    <w:jc w:val="center"/>
                    <w:rPr>
                      <w:color w:val="000000"/>
                      <w:szCs w:val="21"/>
                    </w:rPr>
                  </w:pPr>
                  <w:r>
                    <w:rPr>
                      <w:rFonts w:hint="eastAsia"/>
                      <w:color w:val="000000"/>
                      <w:szCs w:val="21"/>
                    </w:rPr>
                    <w:t>能源</w:t>
                  </w:r>
                </w:p>
              </w:tc>
              <w:tc>
                <w:tcPr>
                  <w:tcW w:w="1145" w:type="dxa"/>
                  <w:tcBorders>
                    <w:tl2br w:val="nil"/>
                    <w:tr2bl w:val="nil"/>
                  </w:tcBorders>
                  <w:vAlign w:val="center"/>
                </w:tcPr>
                <w:p w14:paraId="706AB72A">
                  <w:pPr>
                    <w:adjustRightInd w:val="0"/>
                    <w:snapToGrid w:val="0"/>
                    <w:jc w:val="center"/>
                    <w:rPr>
                      <w:color w:val="000000"/>
                      <w:szCs w:val="21"/>
                    </w:rPr>
                  </w:pPr>
                  <w:r>
                    <w:rPr>
                      <w:rFonts w:hint="eastAsia"/>
                      <w:color w:val="000000"/>
                      <w:szCs w:val="21"/>
                    </w:rPr>
                    <w:t>自来水</w:t>
                  </w:r>
                </w:p>
              </w:tc>
              <w:tc>
                <w:tcPr>
                  <w:tcW w:w="726" w:type="dxa"/>
                  <w:tcBorders>
                    <w:tl2br w:val="nil"/>
                    <w:tr2bl w:val="nil"/>
                  </w:tcBorders>
                  <w:vAlign w:val="center"/>
                </w:tcPr>
                <w:p w14:paraId="4901AA23">
                  <w:pPr>
                    <w:adjustRightInd w:val="0"/>
                    <w:snapToGrid w:val="0"/>
                    <w:jc w:val="center"/>
                    <w:rPr>
                      <w:color w:val="000000"/>
                      <w:szCs w:val="21"/>
                    </w:rPr>
                  </w:pPr>
                  <w:r>
                    <w:rPr>
                      <w:rFonts w:hint="eastAsia"/>
                      <w:color w:val="000000"/>
                      <w:szCs w:val="21"/>
                    </w:rPr>
                    <w:t>m</w:t>
                  </w:r>
                  <w:r>
                    <w:rPr>
                      <w:rFonts w:hint="eastAsia"/>
                      <w:color w:val="000000"/>
                      <w:szCs w:val="21"/>
                      <w:vertAlign w:val="superscript"/>
                    </w:rPr>
                    <w:t>3</w:t>
                  </w:r>
                  <w:r>
                    <w:rPr>
                      <w:rFonts w:hint="eastAsia"/>
                      <w:color w:val="000000"/>
                      <w:szCs w:val="21"/>
                    </w:rPr>
                    <w:t>/a</w:t>
                  </w:r>
                </w:p>
              </w:tc>
              <w:tc>
                <w:tcPr>
                  <w:tcW w:w="907" w:type="dxa"/>
                  <w:tcBorders>
                    <w:tl2br w:val="nil"/>
                    <w:tr2bl w:val="nil"/>
                  </w:tcBorders>
                  <w:vAlign w:val="center"/>
                </w:tcPr>
                <w:p w14:paraId="5FE8DF7F">
                  <w:pPr>
                    <w:adjustRightInd w:val="0"/>
                    <w:snapToGrid w:val="0"/>
                    <w:jc w:val="center"/>
                    <w:rPr>
                      <w:color w:val="000000"/>
                      <w:szCs w:val="21"/>
                    </w:rPr>
                  </w:pPr>
                  <w:r>
                    <w:rPr>
                      <w:rFonts w:hint="eastAsia"/>
                      <w:color w:val="000000"/>
                      <w:szCs w:val="21"/>
                    </w:rPr>
                    <w:t>3303.22</w:t>
                  </w:r>
                </w:p>
              </w:tc>
              <w:tc>
                <w:tcPr>
                  <w:tcW w:w="876" w:type="dxa"/>
                  <w:tcBorders>
                    <w:tl2br w:val="nil"/>
                    <w:tr2bl w:val="nil"/>
                  </w:tcBorders>
                  <w:vAlign w:val="center"/>
                </w:tcPr>
                <w:p w14:paraId="03D302BA">
                  <w:pPr>
                    <w:adjustRightInd w:val="0"/>
                    <w:snapToGrid w:val="0"/>
                    <w:jc w:val="center"/>
                    <w:rPr>
                      <w:color w:val="000000"/>
                      <w:szCs w:val="21"/>
                    </w:rPr>
                  </w:pPr>
                  <w:r>
                    <w:rPr>
                      <w:rFonts w:hint="eastAsia"/>
                      <w:color w:val="000000"/>
                      <w:szCs w:val="21"/>
                    </w:rPr>
                    <w:t>市政供给</w:t>
                  </w:r>
                </w:p>
              </w:tc>
              <w:tc>
                <w:tcPr>
                  <w:tcW w:w="1200" w:type="dxa"/>
                  <w:tcBorders>
                    <w:tl2br w:val="nil"/>
                    <w:tr2bl w:val="nil"/>
                  </w:tcBorders>
                  <w:vAlign w:val="center"/>
                </w:tcPr>
                <w:p w14:paraId="511C4926">
                  <w:pPr>
                    <w:adjustRightInd w:val="0"/>
                    <w:snapToGrid w:val="0"/>
                    <w:jc w:val="center"/>
                    <w:rPr>
                      <w:color w:val="000000"/>
                      <w:szCs w:val="21"/>
                    </w:rPr>
                  </w:pPr>
                  <w:r>
                    <w:rPr>
                      <w:rFonts w:hint="eastAsia"/>
                      <w:color w:val="000000"/>
                      <w:szCs w:val="21"/>
                    </w:rPr>
                    <w:t>/</w:t>
                  </w:r>
                </w:p>
              </w:tc>
              <w:tc>
                <w:tcPr>
                  <w:tcW w:w="1018" w:type="dxa"/>
                  <w:tcBorders>
                    <w:tl2br w:val="nil"/>
                    <w:tr2bl w:val="nil"/>
                  </w:tcBorders>
                  <w:vAlign w:val="center"/>
                </w:tcPr>
                <w:p w14:paraId="452F1DC2">
                  <w:pPr>
                    <w:adjustRightInd w:val="0"/>
                    <w:snapToGrid w:val="0"/>
                    <w:jc w:val="center"/>
                    <w:rPr>
                      <w:color w:val="000000"/>
                      <w:szCs w:val="21"/>
                    </w:rPr>
                  </w:pPr>
                  <w:r>
                    <w:rPr>
                      <w:rFonts w:hint="eastAsia"/>
                      <w:color w:val="000000"/>
                      <w:szCs w:val="21"/>
                    </w:rPr>
                    <w:t>/</w:t>
                  </w:r>
                </w:p>
              </w:tc>
              <w:tc>
                <w:tcPr>
                  <w:tcW w:w="1876" w:type="dxa"/>
                  <w:tcBorders>
                    <w:tl2br w:val="nil"/>
                    <w:tr2bl w:val="nil"/>
                  </w:tcBorders>
                  <w:vAlign w:val="center"/>
                </w:tcPr>
                <w:p w14:paraId="3B9564FB">
                  <w:pPr>
                    <w:adjustRightInd w:val="0"/>
                    <w:snapToGrid w:val="0"/>
                    <w:jc w:val="center"/>
                    <w:rPr>
                      <w:color w:val="000000"/>
                      <w:szCs w:val="21"/>
                    </w:rPr>
                  </w:pPr>
                  <w:r>
                    <w:rPr>
                      <w:rFonts w:hint="eastAsia"/>
                      <w:color w:val="000000"/>
                      <w:szCs w:val="21"/>
                    </w:rPr>
                    <w:t>/</w:t>
                  </w:r>
                </w:p>
              </w:tc>
            </w:tr>
            <w:tr w14:paraId="3486B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58" w:type="dxa"/>
                  <w:vMerge w:val="continue"/>
                  <w:tcBorders>
                    <w:tl2br w:val="nil"/>
                    <w:tr2bl w:val="nil"/>
                  </w:tcBorders>
                  <w:vAlign w:val="center"/>
                </w:tcPr>
                <w:p w14:paraId="2A434A4F">
                  <w:pPr>
                    <w:adjustRightInd w:val="0"/>
                    <w:snapToGrid w:val="0"/>
                    <w:jc w:val="center"/>
                    <w:rPr>
                      <w:color w:val="000000"/>
                      <w:szCs w:val="21"/>
                    </w:rPr>
                  </w:pPr>
                </w:p>
              </w:tc>
              <w:tc>
                <w:tcPr>
                  <w:tcW w:w="1145" w:type="dxa"/>
                  <w:tcBorders>
                    <w:tl2br w:val="nil"/>
                    <w:tr2bl w:val="nil"/>
                  </w:tcBorders>
                  <w:vAlign w:val="center"/>
                </w:tcPr>
                <w:p w14:paraId="7286820D">
                  <w:pPr>
                    <w:adjustRightInd w:val="0"/>
                    <w:snapToGrid w:val="0"/>
                    <w:jc w:val="center"/>
                    <w:rPr>
                      <w:color w:val="000000"/>
                      <w:szCs w:val="21"/>
                    </w:rPr>
                  </w:pPr>
                  <w:r>
                    <w:rPr>
                      <w:rFonts w:hint="eastAsia"/>
                      <w:color w:val="000000"/>
                      <w:szCs w:val="21"/>
                    </w:rPr>
                    <w:t>电耗</w:t>
                  </w:r>
                </w:p>
              </w:tc>
              <w:tc>
                <w:tcPr>
                  <w:tcW w:w="726" w:type="dxa"/>
                  <w:tcBorders>
                    <w:tl2br w:val="nil"/>
                    <w:tr2bl w:val="nil"/>
                  </w:tcBorders>
                  <w:vAlign w:val="center"/>
                </w:tcPr>
                <w:p w14:paraId="2D382642">
                  <w:pPr>
                    <w:adjustRightInd w:val="0"/>
                    <w:snapToGrid w:val="0"/>
                    <w:jc w:val="center"/>
                    <w:rPr>
                      <w:color w:val="000000"/>
                      <w:szCs w:val="21"/>
                    </w:rPr>
                  </w:pPr>
                  <w:r>
                    <w:rPr>
                      <w:rFonts w:hint="eastAsia"/>
                      <w:color w:val="000000"/>
                      <w:szCs w:val="21"/>
                      <w:lang w:eastAsia="zh-CN"/>
                    </w:rPr>
                    <w:t>kW</w:t>
                  </w:r>
                  <w:r>
                    <w:rPr>
                      <w:rFonts w:hint="eastAsia"/>
                      <w:color w:val="000000"/>
                      <w:szCs w:val="21"/>
                    </w:rPr>
                    <w:t>·h/a</w:t>
                  </w:r>
                </w:p>
              </w:tc>
              <w:tc>
                <w:tcPr>
                  <w:tcW w:w="907" w:type="dxa"/>
                  <w:tcBorders>
                    <w:tl2br w:val="nil"/>
                    <w:tr2bl w:val="nil"/>
                  </w:tcBorders>
                  <w:vAlign w:val="center"/>
                </w:tcPr>
                <w:p w14:paraId="5E207D6E">
                  <w:pPr>
                    <w:adjustRightInd w:val="0"/>
                    <w:snapToGrid w:val="0"/>
                    <w:jc w:val="center"/>
                    <w:rPr>
                      <w:color w:val="000000"/>
                      <w:szCs w:val="21"/>
                    </w:rPr>
                  </w:pPr>
                  <w:r>
                    <w:rPr>
                      <w:rFonts w:hint="eastAsia"/>
                      <w:color w:val="000000"/>
                      <w:szCs w:val="21"/>
                    </w:rPr>
                    <w:t>17.18万</w:t>
                  </w:r>
                </w:p>
              </w:tc>
              <w:tc>
                <w:tcPr>
                  <w:tcW w:w="876" w:type="dxa"/>
                  <w:tcBorders>
                    <w:tl2br w:val="nil"/>
                    <w:tr2bl w:val="nil"/>
                  </w:tcBorders>
                  <w:vAlign w:val="center"/>
                </w:tcPr>
                <w:p w14:paraId="1F78BB6E">
                  <w:pPr>
                    <w:adjustRightInd w:val="0"/>
                    <w:snapToGrid w:val="0"/>
                    <w:jc w:val="center"/>
                    <w:rPr>
                      <w:color w:val="000000"/>
                      <w:szCs w:val="21"/>
                    </w:rPr>
                  </w:pPr>
                  <w:r>
                    <w:rPr>
                      <w:rFonts w:hint="eastAsia"/>
                      <w:color w:val="000000"/>
                      <w:szCs w:val="21"/>
                    </w:rPr>
                    <w:t>当地供电系统</w:t>
                  </w:r>
                </w:p>
              </w:tc>
              <w:tc>
                <w:tcPr>
                  <w:tcW w:w="1200" w:type="dxa"/>
                  <w:tcBorders>
                    <w:tl2br w:val="nil"/>
                    <w:tr2bl w:val="nil"/>
                  </w:tcBorders>
                  <w:vAlign w:val="center"/>
                </w:tcPr>
                <w:p w14:paraId="75BB35F6">
                  <w:pPr>
                    <w:adjustRightInd w:val="0"/>
                    <w:snapToGrid w:val="0"/>
                    <w:jc w:val="center"/>
                    <w:rPr>
                      <w:color w:val="000000"/>
                      <w:szCs w:val="21"/>
                    </w:rPr>
                  </w:pPr>
                  <w:r>
                    <w:rPr>
                      <w:rFonts w:hint="eastAsia"/>
                      <w:color w:val="000000"/>
                      <w:szCs w:val="21"/>
                    </w:rPr>
                    <w:t>/</w:t>
                  </w:r>
                </w:p>
              </w:tc>
              <w:tc>
                <w:tcPr>
                  <w:tcW w:w="1018" w:type="dxa"/>
                  <w:tcBorders>
                    <w:tl2br w:val="nil"/>
                    <w:tr2bl w:val="nil"/>
                  </w:tcBorders>
                  <w:vAlign w:val="center"/>
                </w:tcPr>
                <w:p w14:paraId="2A1217C1">
                  <w:pPr>
                    <w:adjustRightInd w:val="0"/>
                    <w:snapToGrid w:val="0"/>
                    <w:jc w:val="center"/>
                    <w:rPr>
                      <w:color w:val="000000"/>
                      <w:szCs w:val="21"/>
                    </w:rPr>
                  </w:pPr>
                  <w:r>
                    <w:rPr>
                      <w:rFonts w:hint="eastAsia"/>
                      <w:color w:val="000000"/>
                      <w:szCs w:val="21"/>
                    </w:rPr>
                    <w:t>/</w:t>
                  </w:r>
                </w:p>
              </w:tc>
              <w:tc>
                <w:tcPr>
                  <w:tcW w:w="1876" w:type="dxa"/>
                  <w:tcBorders>
                    <w:tl2br w:val="nil"/>
                    <w:tr2bl w:val="nil"/>
                  </w:tcBorders>
                  <w:vAlign w:val="center"/>
                </w:tcPr>
                <w:p w14:paraId="1326047C">
                  <w:pPr>
                    <w:adjustRightInd w:val="0"/>
                    <w:snapToGrid w:val="0"/>
                    <w:jc w:val="center"/>
                    <w:rPr>
                      <w:color w:val="000000"/>
                      <w:szCs w:val="21"/>
                    </w:rPr>
                  </w:pPr>
                  <w:r>
                    <w:rPr>
                      <w:rFonts w:hint="eastAsia"/>
                      <w:color w:val="000000"/>
                      <w:szCs w:val="21"/>
                    </w:rPr>
                    <w:t>/</w:t>
                  </w:r>
                </w:p>
              </w:tc>
            </w:tr>
          </w:tbl>
          <w:p w14:paraId="2E9F6200">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主要原辅料介绍：</w:t>
            </w:r>
          </w:p>
          <w:p w14:paraId="337F7351">
            <w:pPr>
              <w:widowControl/>
              <w:spacing w:line="360" w:lineRule="auto"/>
              <w:ind w:firstLine="480" w:firstLineChars="200"/>
              <w:jc w:val="left"/>
              <w:rPr>
                <w:color w:val="000000"/>
                <w:kern w:val="0"/>
                <w:sz w:val="24"/>
                <w:lang w:bidi="ar"/>
              </w:rPr>
            </w:pPr>
            <w:r>
              <w:rPr>
                <w:rFonts w:hint="eastAsia"/>
                <w:color w:val="000000"/>
                <w:kern w:val="0"/>
                <w:sz w:val="24"/>
                <w:lang w:bidi="ar"/>
              </w:rPr>
              <w:t>除臭剂：项目所使用的除臭剂成分为天然植物萃取剂，不易挥发，属于生物触媒系统。除臭剂蕴含生物酶本体，含有大量活性菌群，采用微生物分解恶臭气体，无残留物，广泛用于垃圾压缩站、垃圾填埋场、下水道和污水处理厂。</w:t>
            </w:r>
          </w:p>
          <w:p w14:paraId="3B77B1AF">
            <w:pPr>
              <w:widowControl/>
              <w:spacing w:line="360" w:lineRule="auto"/>
              <w:ind w:firstLine="480" w:firstLineChars="200"/>
              <w:jc w:val="left"/>
              <w:rPr>
                <w:color w:val="000000"/>
                <w:kern w:val="0"/>
                <w:sz w:val="24"/>
                <w:lang w:bidi="ar"/>
              </w:rPr>
            </w:pPr>
            <w:r>
              <w:rPr>
                <w:rFonts w:hint="eastAsia"/>
                <w:color w:val="000000"/>
                <w:kern w:val="0"/>
                <w:sz w:val="24"/>
                <w:lang w:bidi="ar"/>
              </w:rPr>
              <w:t>除臭剂表面不仅能有效地吸附、分解空气中的恶臭气体分子，同时也能使初吸附的异味分子的立体构型发生改变，削弱了异味分子中的化合键，使得异味分子的不稳定性增加，容易与其他分子进行化学反应，植物液中的酸性缓冲发生反应，最后生成无味、无毒的有机盐。</w:t>
            </w:r>
          </w:p>
          <w:p w14:paraId="79E85672">
            <w:pPr>
              <w:widowControl/>
              <w:spacing w:line="360" w:lineRule="auto"/>
              <w:ind w:firstLine="480" w:firstLineChars="200"/>
              <w:jc w:val="left"/>
              <w:rPr>
                <w:color w:val="000000"/>
                <w:kern w:val="0"/>
                <w:sz w:val="24"/>
                <w:lang w:bidi="ar"/>
              </w:rPr>
            </w:pPr>
            <w:r>
              <w:rPr>
                <w:rFonts w:hint="eastAsia"/>
                <w:color w:val="000000"/>
                <w:kern w:val="0"/>
                <w:sz w:val="24"/>
                <w:lang w:bidi="ar"/>
              </w:rPr>
              <w:t>PAC（聚合氧化铝）</w:t>
            </w:r>
            <w:r>
              <w:rPr>
                <w:rFonts w:hint="eastAsia"/>
                <w:color w:val="000000"/>
                <w:kern w:val="0"/>
                <w:sz w:val="24"/>
                <w:lang w:eastAsia="zh-CN" w:bidi="ar"/>
              </w:rPr>
              <w:t>：</w:t>
            </w:r>
            <w:r>
              <w:rPr>
                <w:rFonts w:hint="eastAsia"/>
                <w:color w:val="000000"/>
                <w:kern w:val="0"/>
                <w:sz w:val="24"/>
                <w:lang w:bidi="ar"/>
              </w:rPr>
              <w:t>通常也称作碱式氯化铝或混凝剂等，它是介于AlCl</w:t>
            </w:r>
            <w:r>
              <w:rPr>
                <w:rFonts w:hint="eastAsia"/>
                <w:color w:val="000000"/>
                <w:kern w:val="0"/>
                <w:sz w:val="24"/>
                <w:vertAlign w:val="subscript"/>
                <w:lang w:bidi="ar"/>
              </w:rPr>
              <w:t>3</w:t>
            </w:r>
            <w:r>
              <w:rPr>
                <w:rFonts w:hint="eastAsia"/>
                <w:color w:val="000000"/>
                <w:kern w:val="0"/>
                <w:sz w:val="24"/>
                <w:lang w:bidi="ar"/>
              </w:rPr>
              <w:t>和Al（OH）</w:t>
            </w:r>
            <w:r>
              <w:rPr>
                <w:rFonts w:hint="eastAsia"/>
                <w:color w:val="000000"/>
                <w:kern w:val="0"/>
                <w:sz w:val="24"/>
                <w:vertAlign w:val="subscript"/>
                <w:lang w:bidi="ar"/>
              </w:rPr>
              <w:t>3</w:t>
            </w:r>
            <w:r>
              <w:rPr>
                <w:rFonts w:hint="eastAsia"/>
                <w:color w:val="000000"/>
                <w:kern w:val="0"/>
                <w:sz w:val="24"/>
                <w:lang w:bidi="ar"/>
              </w:rPr>
              <w:t>之间的一种水溶性无机高分子聚合物。颜色呈黄色或淡黄色、深褐色、深灰色树脂状固体。有较强的架桥吸附性能，在水解过程中，伴随发生凝聚，吸附和沉淀等物理化学过程。常用作污水处理厂中化学除磷试剂。</w:t>
            </w:r>
          </w:p>
          <w:p w14:paraId="61494561">
            <w:pPr>
              <w:widowControl/>
              <w:wordWrap w:val="0"/>
              <w:spacing w:line="360" w:lineRule="auto"/>
              <w:ind w:firstLine="480" w:firstLineChars="200"/>
              <w:jc w:val="left"/>
              <w:rPr>
                <w:color w:val="000000"/>
                <w:kern w:val="0"/>
                <w:sz w:val="24"/>
                <w:lang w:bidi="ar"/>
              </w:rPr>
            </w:pPr>
            <w:r>
              <w:rPr>
                <w:rFonts w:hint="eastAsia"/>
                <w:color w:val="000000"/>
                <w:kern w:val="0"/>
                <w:sz w:val="24"/>
                <w:lang w:bidi="ar"/>
              </w:rPr>
              <w:t>PAM</w:t>
            </w:r>
            <w:r>
              <w:rPr>
                <w:rFonts w:hint="eastAsia"/>
                <w:color w:val="000000"/>
                <w:kern w:val="0"/>
                <w:sz w:val="24"/>
                <w:lang w:eastAsia="zh-CN" w:bidi="ar"/>
              </w:rPr>
              <w:t>：</w:t>
            </w:r>
            <w:r>
              <w:rPr>
                <w:rFonts w:hint="eastAsia"/>
                <w:color w:val="000000"/>
                <w:kern w:val="0"/>
                <w:sz w:val="24"/>
                <w:lang w:bidi="ar"/>
              </w:rPr>
              <w:t>全名为聚丙烯酰胺，该产品的分子能与分散于溶液中的悬浮粒子架桥附，有着极强的絮凝作用，密度=1.3g/cm</w:t>
            </w:r>
            <w:r>
              <w:rPr>
                <w:rFonts w:hint="eastAsia"/>
                <w:color w:val="000000"/>
                <w:kern w:val="0"/>
                <w:sz w:val="24"/>
                <w:vertAlign w:val="superscript"/>
                <w:lang w:bidi="ar"/>
              </w:rPr>
              <w:t>3</w:t>
            </w:r>
            <w:r>
              <w:rPr>
                <w:rFonts w:hint="eastAsia"/>
                <w:color w:val="000000"/>
                <w:kern w:val="0"/>
                <w:sz w:val="24"/>
                <w:lang w:bidi="ar"/>
              </w:rPr>
              <w:t>。PAM在50-60℃℃下溶于水，水解度为5%</w:t>
            </w:r>
            <w:r>
              <w:rPr>
                <w:rFonts w:hint="eastAsia"/>
                <w:color w:val="000000"/>
                <w:kern w:val="0"/>
                <w:sz w:val="24"/>
                <w:lang w:eastAsia="zh-CN" w:bidi="ar"/>
              </w:rPr>
              <w:t>～</w:t>
            </w:r>
            <w:r>
              <w:rPr>
                <w:rFonts w:hint="eastAsia"/>
                <w:color w:val="000000"/>
                <w:kern w:val="0"/>
                <w:sz w:val="24"/>
                <w:lang w:bidi="ar"/>
              </w:rPr>
              <w:t>35%，也溶于乙酸、丙酸、氯代乙酸、乙二醇、甘油和胺等有机溶剂。PAM在污水处理</w:t>
            </w:r>
            <w:r>
              <w:rPr>
                <w:rFonts w:hint="eastAsia"/>
                <w:color w:val="000000"/>
                <w:kern w:val="0"/>
                <w:sz w:val="24"/>
                <w:lang w:eastAsia="zh-CN" w:bidi="ar"/>
              </w:rPr>
              <w:t>工程</w:t>
            </w:r>
            <w:r>
              <w:rPr>
                <w:rFonts w:hint="eastAsia"/>
                <w:color w:val="000000"/>
                <w:kern w:val="0"/>
                <w:sz w:val="24"/>
                <w:lang w:bidi="ar"/>
              </w:rPr>
              <w:t>中主要用于污水处理，可增加水回用循环的使用率。</w:t>
            </w:r>
          </w:p>
          <w:p w14:paraId="52F77EB7">
            <w:pPr>
              <w:widowControl/>
              <w:spacing w:line="360" w:lineRule="auto"/>
              <w:ind w:firstLine="480" w:firstLineChars="200"/>
              <w:jc w:val="left"/>
              <w:rPr>
                <w:color w:val="000000"/>
                <w:kern w:val="0"/>
                <w:sz w:val="24"/>
                <w:lang w:bidi="ar"/>
              </w:rPr>
            </w:pPr>
            <w:r>
              <w:rPr>
                <w:rFonts w:hint="eastAsia"/>
                <w:color w:val="000000"/>
                <w:kern w:val="0"/>
                <w:sz w:val="24"/>
                <w:lang w:bidi="ar"/>
              </w:rPr>
              <w:t>液压油：利用液体压力能的液压系统使用的液压介质，在液压系统中起着能量传递、抗磨、系统润滑、防腐、防锈、冷却等作用。</w:t>
            </w:r>
          </w:p>
          <w:p w14:paraId="7BC52292">
            <w:pPr>
              <w:widowControl/>
              <w:spacing w:line="360" w:lineRule="auto"/>
              <w:ind w:firstLine="480" w:firstLineChars="200"/>
              <w:jc w:val="left"/>
              <w:rPr>
                <w:sz w:val="24"/>
              </w:rPr>
            </w:pPr>
            <w:r>
              <w:rPr>
                <w:rFonts w:hint="eastAsia"/>
                <w:color w:val="000000"/>
                <w:kern w:val="0"/>
                <w:sz w:val="24"/>
                <w:lang w:bidi="ar"/>
              </w:rPr>
              <w:t>润滑油：</w:t>
            </w:r>
            <w:r>
              <w:rPr>
                <w:rFonts w:hint="eastAsia"/>
                <w:sz w:val="24"/>
              </w:rPr>
              <w:t>即设备润滑油，密度约为0.91×10³（kg/m³）能对发动机起到润滑减磨、辅助冷却降温、密封防漏、防锈防蚀、减震缓冲等作用。</w:t>
            </w:r>
          </w:p>
          <w:p w14:paraId="54CC310D">
            <w:pPr>
              <w:widowControl/>
              <w:spacing w:line="360" w:lineRule="auto"/>
              <w:ind w:firstLine="480" w:firstLineChars="200"/>
              <w:jc w:val="left"/>
              <w:rPr>
                <w:sz w:val="24"/>
              </w:rPr>
            </w:pPr>
            <w:r>
              <w:rPr>
                <w:rFonts w:hint="eastAsia"/>
                <w:sz w:val="24"/>
              </w:rPr>
              <w:t>次氯酸钠：呈微黄色溶液，有似氯气的气味。相对密度（水=1）：1.10，分子量74.44，溶于水，急性毒性LD50:8500 mg/kg（小鼠经口）。不燃，具腐蚀性，可致人体灼伤，具致敏性。</w:t>
            </w:r>
          </w:p>
          <w:p w14:paraId="38829CDC">
            <w:pPr>
              <w:pStyle w:val="22"/>
              <w:spacing w:before="120" w:beforeLines="50" w:line="360" w:lineRule="auto"/>
              <w:ind w:firstLine="482"/>
              <w:jc w:val="both"/>
              <w:rPr>
                <w:rFonts w:ascii="宋体" w:hAnsi="宋体" w:eastAsia="宋体" w:cs="宋体"/>
                <w:b/>
                <w:bCs w:val="0"/>
                <w:sz w:val="24"/>
              </w:rPr>
            </w:pPr>
            <w:r>
              <w:rPr>
                <w:rFonts w:ascii="Times New Roman" w:eastAsia="宋体"/>
                <w:b/>
                <w:bCs w:val="0"/>
                <w:sz w:val="24"/>
              </w:rPr>
              <w:t>7</w:t>
            </w:r>
            <w:r>
              <w:rPr>
                <w:rFonts w:hint="default" w:ascii="Times New Roman" w:eastAsia="宋体"/>
                <w:b/>
                <w:bCs w:val="0"/>
                <w:sz w:val="24"/>
              </w:rPr>
              <w:t>、</w:t>
            </w:r>
            <w:r>
              <w:rPr>
                <w:rFonts w:ascii="Times New Roman" w:eastAsia="宋体"/>
                <w:b/>
                <w:bCs w:val="0"/>
                <w:sz w:val="24"/>
              </w:rPr>
              <w:t>项目主要设备</w:t>
            </w:r>
          </w:p>
          <w:p w14:paraId="05C8754C">
            <w:pPr>
              <w:pStyle w:val="22"/>
              <w:spacing w:line="360" w:lineRule="auto"/>
              <w:ind w:firstLine="480"/>
              <w:jc w:val="both"/>
              <w:rPr>
                <w:rFonts w:ascii="宋体" w:hAnsi="宋体" w:eastAsia="宋体" w:cs="宋体"/>
                <w:sz w:val="24"/>
              </w:rPr>
            </w:pPr>
            <w:r>
              <w:rPr>
                <w:rFonts w:ascii="宋体" w:hAnsi="宋体" w:eastAsia="宋体" w:cs="宋体"/>
                <w:sz w:val="24"/>
              </w:rPr>
              <w:t>本项目主要设备清单见下表。</w:t>
            </w:r>
          </w:p>
          <w:p w14:paraId="7648A21F">
            <w:pPr>
              <w:jc w:val="center"/>
              <w:rPr>
                <w:b/>
                <w:bCs/>
                <w:szCs w:val="21"/>
              </w:rPr>
            </w:pPr>
            <w:r>
              <w:rPr>
                <w:rFonts w:hint="eastAsia"/>
                <w:b/>
                <w:bCs/>
                <w:szCs w:val="21"/>
              </w:rPr>
              <w:t>表2-3 项目主要设备一览表</w:t>
            </w:r>
          </w:p>
          <w:tbl>
            <w:tblPr>
              <w:tblStyle w:val="27"/>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553"/>
              <w:gridCol w:w="408"/>
              <w:gridCol w:w="528"/>
              <w:gridCol w:w="528"/>
              <w:gridCol w:w="4834"/>
            </w:tblGrid>
            <w:tr w14:paraId="44E9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5B808455">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序号</w:t>
                  </w:r>
                </w:p>
              </w:tc>
              <w:tc>
                <w:tcPr>
                  <w:tcW w:w="1553" w:type="dxa"/>
                  <w:vAlign w:val="center"/>
                </w:tcPr>
                <w:p w14:paraId="6C61A17E">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名称</w:t>
                  </w:r>
                </w:p>
              </w:tc>
              <w:tc>
                <w:tcPr>
                  <w:tcW w:w="408" w:type="dxa"/>
                  <w:vAlign w:val="center"/>
                </w:tcPr>
                <w:p w14:paraId="787D5F33">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型号</w:t>
                  </w:r>
                </w:p>
              </w:tc>
              <w:tc>
                <w:tcPr>
                  <w:tcW w:w="528" w:type="dxa"/>
                  <w:vAlign w:val="center"/>
                </w:tcPr>
                <w:p w14:paraId="7CBA0E40">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单位</w:t>
                  </w:r>
                </w:p>
              </w:tc>
              <w:tc>
                <w:tcPr>
                  <w:tcW w:w="528" w:type="dxa"/>
                  <w:vAlign w:val="center"/>
                </w:tcPr>
                <w:p w14:paraId="08C1AEA8">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数量</w:t>
                  </w:r>
                </w:p>
              </w:tc>
              <w:tc>
                <w:tcPr>
                  <w:tcW w:w="4834" w:type="dxa"/>
                  <w:vAlign w:val="center"/>
                </w:tcPr>
                <w:p w14:paraId="09560AD2">
                  <w:pPr>
                    <w:pStyle w:val="81"/>
                    <w:spacing w:line="276" w:lineRule="auto"/>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备注</w:t>
                  </w:r>
                </w:p>
              </w:tc>
            </w:tr>
            <w:tr w14:paraId="28C2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528" w:type="dxa"/>
                  <w:vAlign w:val="center"/>
                </w:tcPr>
                <w:p w14:paraId="5B1FAC00">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69165C81">
                  <w:pPr>
                    <w:pStyle w:val="81"/>
                    <w:spacing w:line="276" w:lineRule="auto"/>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地埋式水平垃圾压缩装置</w:t>
                  </w:r>
                </w:p>
              </w:tc>
              <w:tc>
                <w:tcPr>
                  <w:tcW w:w="408" w:type="dxa"/>
                  <w:vAlign w:val="center"/>
                </w:tcPr>
                <w:p w14:paraId="19E7BF45">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vAlign w:val="center"/>
                </w:tcPr>
                <w:p w14:paraId="6AA17DF3">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vAlign w:val="center"/>
                </w:tcPr>
                <w:p w14:paraId="5069C2D8">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834" w:type="dxa"/>
                  <w:vAlign w:val="center"/>
                </w:tcPr>
                <w:p w14:paraId="0464C412">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含压缩主机装置、垃圾压缩集装箱（22m³/个）、压缩机液压系统、电控系统等</w:t>
                  </w:r>
                </w:p>
              </w:tc>
            </w:tr>
            <w:tr w14:paraId="4449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4BA9E7FD">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5035AF33">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负压除臭除尘系统</w:t>
                  </w:r>
                </w:p>
              </w:tc>
              <w:tc>
                <w:tcPr>
                  <w:tcW w:w="408" w:type="dxa"/>
                  <w:vAlign w:val="center"/>
                </w:tcPr>
                <w:p w14:paraId="368F0CA6">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28E4FCF8">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shd w:val="clear" w:color="auto" w:fill="auto"/>
                  <w:vAlign w:val="center"/>
                </w:tcPr>
                <w:p w14:paraId="73C98690">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153C45AA">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对压缩车间、卸料平台、污水处理站等产生的废气由负压系统收集后经喷淋塔除臭处理后排放。</w:t>
                  </w:r>
                </w:p>
              </w:tc>
            </w:tr>
            <w:tr w14:paraId="0741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4B4C79CB">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4FE93A96">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喷雾除臭消毒系统</w:t>
                  </w:r>
                </w:p>
              </w:tc>
              <w:tc>
                <w:tcPr>
                  <w:tcW w:w="408" w:type="dxa"/>
                  <w:shd w:val="clear" w:color="auto" w:fill="auto"/>
                  <w:vAlign w:val="center"/>
                </w:tcPr>
                <w:p w14:paraId="41795E2A">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681E4AA5">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shd w:val="clear" w:color="auto" w:fill="auto"/>
                  <w:vAlign w:val="center"/>
                </w:tcPr>
                <w:p w14:paraId="6D229087">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620F7D28">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对压缩车间进行喷雾除臭，由控制装置、溶液输送装置、雾化喷嘴装置、喷雾除臭等单元组成。</w:t>
                  </w:r>
                </w:p>
              </w:tc>
            </w:tr>
            <w:tr w14:paraId="2EAD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712480C3">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206CAF9A">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渗滤液处理设备</w:t>
                  </w:r>
                </w:p>
              </w:tc>
              <w:tc>
                <w:tcPr>
                  <w:tcW w:w="408" w:type="dxa"/>
                  <w:vAlign w:val="center"/>
                </w:tcPr>
                <w:p w14:paraId="04997D0B">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0F5EB729">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shd w:val="clear" w:color="auto" w:fill="auto"/>
                  <w:vAlign w:val="center"/>
                </w:tcPr>
                <w:p w14:paraId="3FA56128">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468D1D63">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对站内收集的渗漏液、车间冲洗废水等进行处理，工艺为“高效预处理+MBR系统（二级硝化反硝化+超滤）”。</w:t>
                  </w:r>
                </w:p>
              </w:tc>
            </w:tr>
            <w:tr w14:paraId="74A8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47B0B9C4">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61D36426">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车辆清洗设备</w:t>
                  </w:r>
                </w:p>
              </w:tc>
              <w:tc>
                <w:tcPr>
                  <w:tcW w:w="408" w:type="dxa"/>
                  <w:vAlign w:val="center"/>
                </w:tcPr>
                <w:p w14:paraId="05B5FEBE">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31FA78F2">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shd w:val="clear" w:color="auto" w:fill="auto"/>
                  <w:vAlign w:val="center"/>
                </w:tcPr>
                <w:p w14:paraId="70FE9F0C">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732885F8">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对转运、收集车辆进行高压清洗</w:t>
                  </w:r>
                </w:p>
              </w:tc>
            </w:tr>
            <w:tr w14:paraId="5377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7BE882E0">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21F1B94C">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高压冲洗设备</w:t>
                  </w:r>
                </w:p>
              </w:tc>
              <w:tc>
                <w:tcPr>
                  <w:tcW w:w="408" w:type="dxa"/>
                  <w:shd w:val="clear" w:color="auto" w:fill="auto"/>
                  <w:vAlign w:val="center"/>
                </w:tcPr>
                <w:p w14:paraId="515E5E11">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2C4B9AA1">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528" w:type="dxa"/>
                  <w:shd w:val="clear" w:color="auto" w:fill="auto"/>
                  <w:vAlign w:val="center"/>
                </w:tcPr>
                <w:p w14:paraId="6B77CDE7">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6E2318B1">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对压缩箱进行冲洗</w:t>
                  </w:r>
                </w:p>
              </w:tc>
            </w:tr>
            <w:tr w14:paraId="1319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1E5B46FF">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2EBF5B56">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垃圾转运车辆</w:t>
                  </w:r>
                </w:p>
              </w:tc>
              <w:tc>
                <w:tcPr>
                  <w:tcW w:w="408" w:type="dxa"/>
                  <w:vAlign w:val="center"/>
                </w:tcPr>
                <w:p w14:paraId="7E1FBCA4">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2294EDF2">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辆</w:t>
                  </w:r>
                </w:p>
              </w:tc>
              <w:tc>
                <w:tcPr>
                  <w:tcW w:w="528" w:type="dxa"/>
                  <w:shd w:val="clear" w:color="auto" w:fill="auto"/>
                  <w:vAlign w:val="center"/>
                </w:tcPr>
                <w:p w14:paraId="467914E3">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4834" w:type="dxa"/>
                  <w:vAlign w:val="center"/>
                </w:tcPr>
                <w:p w14:paraId="2E23163E">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共6辆大车，10辆小车。压缩垃圾转运及服务区内垃圾收集、转运</w:t>
                  </w:r>
                </w:p>
              </w:tc>
            </w:tr>
            <w:tr w14:paraId="23C6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Align w:val="center"/>
                </w:tcPr>
                <w:p w14:paraId="43A779B8">
                  <w:pPr>
                    <w:pStyle w:val="81"/>
                    <w:numPr>
                      <w:ilvl w:val="0"/>
                      <w:numId w:val="5"/>
                    </w:numPr>
                    <w:spacing w:line="276" w:lineRule="auto"/>
                    <w:rPr>
                      <w:color w:val="000000" w:themeColor="text1"/>
                      <w14:textFill>
                        <w14:solidFill>
                          <w14:schemeClr w14:val="tx1"/>
                        </w14:solidFill>
                      </w14:textFill>
                    </w:rPr>
                  </w:pPr>
                </w:p>
              </w:tc>
              <w:tc>
                <w:tcPr>
                  <w:tcW w:w="1553" w:type="dxa"/>
                  <w:vAlign w:val="center"/>
                </w:tcPr>
                <w:p w14:paraId="0AF5667B">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地磅设备</w:t>
                  </w:r>
                </w:p>
              </w:tc>
              <w:tc>
                <w:tcPr>
                  <w:tcW w:w="408" w:type="dxa"/>
                  <w:vAlign w:val="center"/>
                </w:tcPr>
                <w:p w14:paraId="03693FF9">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28" w:type="dxa"/>
                  <w:shd w:val="clear" w:color="auto" w:fill="auto"/>
                  <w:vAlign w:val="center"/>
                </w:tcPr>
                <w:p w14:paraId="77C7EB47">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528" w:type="dxa"/>
                  <w:shd w:val="clear" w:color="auto" w:fill="auto"/>
                  <w:vAlign w:val="center"/>
                </w:tcPr>
                <w:p w14:paraId="4B99E8FF">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34" w:type="dxa"/>
                  <w:vAlign w:val="center"/>
                </w:tcPr>
                <w:p w14:paraId="6A8C4F2F">
                  <w:pPr>
                    <w:pStyle w:val="81"/>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称重</w:t>
                  </w:r>
                </w:p>
              </w:tc>
            </w:tr>
          </w:tbl>
          <w:p w14:paraId="1642CC39">
            <w:pPr>
              <w:pStyle w:val="22"/>
              <w:spacing w:before="120" w:beforeLines="50" w:line="360" w:lineRule="auto"/>
              <w:ind w:firstLine="480"/>
              <w:jc w:val="both"/>
              <w:rPr>
                <w:rFonts w:hint="default" w:ascii="Times New Roman" w:eastAsia="宋体"/>
                <w:bCs w:val="0"/>
                <w:color w:val="000000"/>
                <w:kern w:val="0"/>
                <w:sz w:val="24"/>
                <w:lang w:bidi="ar"/>
              </w:rPr>
            </w:pPr>
            <w:r>
              <w:rPr>
                <w:rFonts w:ascii="Times New Roman" w:eastAsia="宋体"/>
                <w:bCs w:val="0"/>
                <w:color w:val="000000"/>
                <w:kern w:val="0"/>
                <w:sz w:val="24"/>
                <w:lang w:bidi="ar"/>
              </w:rPr>
              <w:t>经查，本项目使用的设备无国家限制使用或淘汰的设备，符合国家相关产业政策要求。</w:t>
            </w:r>
          </w:p>
          <w:p w14:paraId="1BA16CD8">
            <w:pPr>
              <w:pStyle w:val="22"/>
              <w:spacing w:before="120" w:beforeLines="50" w:line="360" w:lineRule="auto"/>
              <w:ind w:left="420" w:leftChars="200" w:firstLine="0" w:firstLineChars="0"/>
              <w:jc w:val="both"/>
              <w:rPr>
                <w:rFonts w:hint="default" w:ascii="Times New Roman" w:eastAsia="宋体"/>
                <w:b/>
                <w:bCs w:val="0"/>
                <w:sz w:val="24"/>
              </w:rPr>
            </w:pPr>
            <w:r>
              <w:rPr>
                <w:rFonts w:ascii="Times New Roman" w:eastAsia="宋体"/>
                <w:b/>
                <w:bCs w:val="0"/>
                <w:sz w:val="24"/>
              </w:rPr>
              <w:t>8、</w:t>
            </w:r>
            <w:r>
              <w:rPr>
                <w:rFonts w:hint="default" w:ascii="Times New Roman" w:eastAsia="宋体"/>
                <w:b/>
                <w:bCs w:val="0"/>
                <w:sz w:val="24"/>
              </w:rPr>
              <w:t>公用工程及辅助设施</w:t>
            </w:r>
          </w:p>
          <w:p w14:paraId="1AD94E8C">
            <w:pPr>
              <w:pStyle w:val="22"/>
              <w:numPr>
                <w:ilvl w:val="0"/>
                <w:numId w:val="6"/>
              </w:numPr>
              <w:spacing w:line="360" w:lineRule="auto"/>
              <w:ind w:firstLine="482"/>
              <w:jc w:val="both"/>
              <w:rPr>
                <w:rFonts w:hint="default" w:ascii="Times New Roman" w:eastAsia="宋体"/>
                <w:b/>
                <w:bCs w:val="0"/>
                <w:sz w:val="24"/>
              </w:rPr>
            </w:pPr>
            <w:r>
              <w:rPr>
                <w:rFonts w:ascii="Times New Roman" w:eastAsia="宋体"/>
                <w:b/>
                <w:bCs w:val="0"/>
                <w:sz w:val="24"/>
              </w:rPr>
              <w:t>供电</w:t>
            </w:r>
          </w:p>
          <w:p w14:paraId="1DA70D8E">
            <w:pPr>
              <w:spacing w:line="360" w:lineRule="auto"/>
              <w:ind w:firstLine="480" w:firstLineChars="200"/>
            </w:pPr>
            <w:r>
              <w:rPr>
                <w:rFonts w:hint="eastAsia"/>
                <w:sz w:val="24"/>
              </w:rPr>
              <w:t>本项目供电由市政电网供给，厂址附近有，10kV高压电接入点，供电距离约150m</w:t>
            </w:r>
            <w:r>
              <w:rPr>
                <w:sz w:val="24"/>
              </w:rPr>
              <w:t>。</w:t>
            </w:r>
          </w:p>
          <w:p w14:paraId="2CBFB902">
            <w:pPr>
              <w:pStyle w:val="22"/>
              <w:spacing w:line="360" w:lineRule="auto"/>
              <w:ind w:firstLine="482"/>
              <w:jc w:val="both"/>
              <w:rPr>
                <w:rFonts w:hint="default" w:ascii="Times New Roman" w:eastAsia="宋体"/>
                <w:b/>
                <w:bCs w:val="0"/>
                <w:sz w:val="24"/>
              </w:rPr>
            </w:pPr>
            <w:r>
              <w:rPr>
                <w:rFonts w:ascii="Times New Roman" w:eastAsia="宋体"/>
                <w:b/>
                <w:bCs w:val="0"/>
                <w:sz w:val="24"/>
              </w:rPr>
              <w:t>（2）消防</w:t>
            </w:r>
          </w:p>
          <w:p w14:paraId="522952F3">
            <w:pPr>
              <w:widowControl/>
              <w:spacing w:line="360" w:lineRule="auto"/>
              <w:ind w:firstLine="480" w:firstLineChars="200"/>
              <w:jc w:val="left"/>
              <w:rPr>
                <w:color w:val="000000"/>
                <w:kern w:val="0"/>
                <w:sz w:val="24"/>
                <w:lang w:bidi="ar"/>
              </w:rPr>
            </w:pPr>
            <w:r>
              <w:rPr>
                <w:rFonts w:hint="eastAsia"/>
                <w:color w:val="000000"/>
                <w:kern w:val="0"/>
                <w:sz w:val="24"/>
                <w:lang w:bidi="ar"/>
              </w:rPr>
              <w:t>室内：主厂房火灾危险性属于丁类，建筑耐火等级不低于二级，按规定厂房需设置室内消火栓，室内消防用水量</w:t>
            </w:r>
            <w:r>
              <w:rPr>
                <w:color w:val="000000"/>
                <w:kern w:val="0"/>
                <w:sz w:val="24"/>
                <w:lang w:bidi="ar"/>
              </w:rPr>
              <w:t>10L/s</w:t>
            </w:r>
            <w:r>
              <w:rPr>
                <w:rFonts w:hint="eastAsia"/>
                <w:color w:val="000000"/>
                <w:kern w:val="0"/>
                <w:sz w:val="24"/>
                <w:lang w:bidi="ar"/>
              </w:rPr>
              <w:t>，延续时间为</w:t>
            </w:r>
            <w:r>
              <w:rPr>
                <w:color w:val="000000"/>
                <w:kern w:val="0"/>
                <w:sz w:val="24"/>
                <w:lang w:bidi="ar"/>
              </w:rPr>
              <w:t>2</w:t>
            </w:r>
            <w:r>
              <w:rPr>
                <w:rFonts w:hint="eastAsia"/>
                <w:color w:val="000000"/>
                <w:kern w:val="0"/>
                <w:sz w:val="24"/>
                <w:lang w:bidi="ar"/>
              </w:rPr>
              <w:t>小时，一次消防用水量为</w:t>
            </w:r>
            <w:r>
              <w:rPr>
                <w:color w:val="000000"/>
                <w:kern w:val="0"/>
                <w:sz w:val="24"/>
                <w:lang w:bidi="ar"/>
              </w:rPr>
              <w:t>72m</w:t>
            </w:r>
            <w:r>
              <w:rPr>
                <w:color w:val="000000"/>
                <w:kern w:val="0"/>
                <w:sz w:val="24"/>
                <w:vertAlign w:val="superscript"/>
                <w:lang w:bidi="ar"/>
              </w:rPr>
              <w:t>3</w:t>
            </w:r>
            <w:r>
              <w:rPr>
                <w:rFonts w:hint="eastAsia"/>
                <w:color w:val="000000"/>
                <w:kern w:val="0"/>
                <w:sz w:val="24"/>
                <w:lang w:bidi="ar"/>
              </w:rPr>
              <w:t>，并应配置若干个手提式磷酸铵盐干粉灭火器；在主厂房屋顶设消防水箱（12m³），储存</w:t>
            </w:r>
            <w:r>
              <w:rPr>
                <w:color w:val="000000"/>
                <w:kern w:val="0"/>
                <w:sz w:val="24"/>
                <w:lang w:bidi="ar"/>
              </w:rPr>
              <w:t>10min</w:t>
            </w:r>
            <w:r>
              <w:rPr>
                <w:rFonts w:hint="eastAsia"/>
                <w:color w:val="000000"/>
                <w:kern w:val="0"/>
                <w:sz w:val="24"/>
                <w:lang w:bidi="ar"/>
              </w:rPr>
              <w:t>的消防用水量。</w:t>
            </w:r>
          </w:p>
          <w:p w14:paraId="16600A39">
            <w:pPr>
              <w:widowControl/>
              <w:spacing w:line="360" w:lineRule="auto"/>
              <w:ind w:firstLine="480" w:firstLineChars="200"/>
              <w:jc w:val="left"/>
              <w:rPr>
                <w:color w:val="000000"/>
                <w:kern w:val="0"/>
                <w:sz w:val="24"/>
                <w:lang w:bidi="ar"/>
              </w:rPr>
            </w:pPr>
            <w:r>
              <w:rPr>
                <w:rFonts w:hint="eastAsia"/>
                <w:color w:val="000000"/>
                <w:kern w:val="0"/>
                <w:sz w:val="24"/>
                <w:lang w:bidi="ar"/>
              </w:rPr>
              <w:t>室外：本工程同一时间内的火灾次数为</w:t>
            </w:r>
            <w:r>
              <w:rPr>
                <w:color w:val="000000"/>
                <w:kern w:val="0"/>
                <w:sz w:val="24"/>
                <w:lang w:bidi="ar"/>
              </w:rPr>
              <w:t>1</w:t>
            </w:r>
            <w:r>
              <w:rPr>
                <w:rFonts w:hint="eastAsia"/>
                <w:color w:val="000000"/>
                <w:kern w:val="0"/>
                <w:sz w:val="24"/>
                <w:lang w:bidi="ar"/>
              </w:rPr>
              <w:t>次，室内外消防用水量按需水量最大的垃圾转运主厂房计，为</w:t>
            </w:r>
            <w:r>
              <w:rPr>
                <w:color w:val="000000"/>
                <w:kern w:val="0"/>
                <w:sz w:val="24"/>
                <w:lang w:bidi="ar"/>
              </w:rPr>
              <w:t>25L/s</w:t>
            </w:r>
            <w:r>
              <w:rPr>
                <w:rFonts w:hint="eastAsia"/>
                <w:color w:val="000000"/>
                <w:kern w:val="0"/>
                <w:sz w:val="24"/>
                <w:lang w:bidi="ar"/>
              </w:rPr>
              <w:t>，持续时间为</w:t>
            </w:r>
            <w:r>
              <w:rPr>
                <w:color w:val="000000"/>
                <w:kern w:val="0"/>
                <w:sz w:val="24"/>
                <w:lang w:bidi="ar"/>
              </w:rPr>
              <w:t>2h</w:t>
            </w:r>
            <w:r>
              <w:rPr>
                <w:rFonts w:hint="eastAsia"/>
                <w:color w:val="000000"/>
                <w:kern w:val="0"/>
                <w:sz w:val="24"/>
                <w:lang w:bidi="ar"/>
              </w:rPr>
              <w:t>，故一次消防最大用水量之和为</w:t>
            </w:r>
            <w:r>
              <w:rPr>
                <w:color w:val="000000"/>
                <w:kern w:val="0"/>
                <w:sz w:val="24"/>
                <w:lang w:bidi="ar"/>
              </w:rPr>
              <w:t>180m</w:t>
            </w:r>
            <w:r>
              <w:rPr>
                <w:color w:val="000000"/>
                <w:kern w:val="0"/>
                <w:sz w:val="24"/>
                <w:vertAlign w:val="superscript"/>
                <w:lang w:bidi="ar"/>
              </w:rPr>
              <w:t>3</w:t>
            </w:r>
            <w:r>
              <w:rPr>
                <w:rFonts w:hint="eastAsia"/>
                <w:color w:val="000000"/>
                <w:kern w:val="0"/>
                <w:sz w:val="24"/>
                <w:lang w:bidi="ar"/>
              </w:rPr>
              <w:t>，补水时间按</w:t>
            </w:r>
            <w:r>
              <w:rPr>
                <w:color w:val="000000"/>
                <w:kern w:val="0"/>
                <w:sz w:val="24"/>
                <w:lang w:bidi="ar"/>
              </w:rPr>
              <w:t>48h</w:t>
            </w:r>
            <w:r>
              <w:rPr>
                <w:rFonts w:hint="eastAsia"/>
                <w:color w:val="000000"/>
                <w:kern w:val="0"/>
                <w:sz w:val="24"/>
                <w:lang w:bidi="ar"/>
              </w:rPr>
              <w:t>考虑，设置1个180m³的钢筋砼埋地消防水池。</w:t>
            </w:r>
          </w:p>
          <w:p w14:paraId="7D74ED4B">
            <w:pPr>
              <w:widowControl/>
              <w:spacing w:line="360" w:lineRule="auto"/>
              <w:ind w:firstLine="480" w:firstLineChars="200"/>
              <w:jc w:val="left"/>
              <w:rPr>
                <w:color w:val="000000"/>
                <w:kern w:val="0"/>
                <w:sz w:val="24"/>
                <w:lang w:bidi="ar"/>
              </w:rPr>
            </w:pPr>
            <w:r>
              <w:rPr>
                <w:rFonts w:hint="eastAsia"/>
                <w:color w:val="000000"/>
                <w:kern w:val="0"/>
                <w:sz w:val="24"/>
                <w:lang w:bidi="ar"/>
              </w:rPr>
              <w:t>项目所有建筑周围均能形成独立的消防环道，满足民用建筑防火规范中对消防扑救面的要求。</w:t>
            </w:r>
          </w:p>
          <w:p w14:paraId="09C0461E">
            <w:pPr>
              <w:pStyle w:val="22"/>
              <w:spacing w:line="360" w:lineRule="auto"/>
              <w:ind w:firstLine="482"/>
              <w:jc w:val="both"/>
              <w:rPr>
                <w:rFonts w:hint="default" w:ascii="Times New Roman" w:eastAsia="宋体"/>
                <w:b/>
                <w:bCs w:val="0"/>
                <w:sz w:val="24"/>
              </w:rPr>
            </w:pPr>
            <w:r>
              <w:rPr>
                <w:rFonts w:ascii="Times New Roman" w:eastAsia="宋体"/>
                <w:b/>
                <w:bCs w:val="0"/>
                <w:sz w:val="24"/>
              </w:rPr>
              <w:t>（3）</w:t>
            </w:r>
            <w:r>
              <w:rPr>
                <w:rFonts w:hint="default" w:ascii="Times New Roman" w:eastAsia="宋体"/>
                <w:b/>
                <w:bCs w:val="0"/>
                <w:sz w:val="24"/>
              </w:rPr>
              <w:t>给</w:t>
            </w:r>
            <w:r>
              <w:rPr>
                <w:rFonts w:ascii="Times New Roman" w:eastAsia="宋体"/>
                <w:b/>
                <w:bCs w:val="0"/>
                <w:sz w:val="24"/>
              </w:rPr>
              <w:t>排</w:t>
            </w:r>
            <w:r>
              <w:rPr>
                <w:rFonts w:hint="default" w:ascii="Times New Roman" w:eastAsia="宋体"/>
                <w:b/>
                <w:bCs w:val="0"/>
                <w:sz w:val="24"/>
              </w:rPr>
              <w:t>水</w:t>
            </w:r>
          </w:p>
          <w:p w14:paraId="304EA7B8">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①给水</w:t>
            </w:r>
          </w:p>
          <w:p w14:paraId="548507DF">
            <w:pPr>
              <w:widowControl/>
              <w:spacing w:line="360" w:lineRule="auto"/>
              <w:ind w:firstLine="480" w:firstLineChars="200"/>
              <w:jc w:val="left"/>
              <w:rPr>
                <w:color w:val="000000"/>
                <w:kern w:val="0"/>
                <w:sz w:val="24"/>
                <w:highlight w:val="yellow"/>
                <w:lang w:bidi="ar"/>
              </w:rPr>
            </w:pPr>
            <w:r>
              <w:rPr>
                <w:rFonts w:hint="eastAsia"/>
                <w:color w:val="000000"/>
                <w:kern w:val="0"/>
                <w:sz w:val="24"/>
                <w:lang w:bidi="ar"/>
              </w:rPr>
              <w:t>本项目由市政管网供水，犀牛大道方向有市政给水管网，供水距离约</w:t>
            </w:r>
            <w:r>
              <w:rPr>
                <w:color w:val="000000"/>
                <w:kern w:val="0"/>
                <w:sz w:val="24"/>
                <w:lang w:bidi="ar"/>
              </w:rPr>
              <w:t>150m。</w:t>
            </w:r>
            <w:r>
              <w:rPr>
                <w:rFonts w:hint="eastAsia"/>
                <w:color w:val="000000"/>
                <w:kern w:val="0"/>
                <w:sz w:val="24"/>
                <w:lang w:bidi="ar"/>
              </w:rPr>
              <w:t>项目用水主要是转运车辆冲洗水、设备冲洗水、压缩车间地面冲洗水、降尘除臭用水、生活用水以及绿化用水等，全年用水量约3303.22m³。</w:t>
            </w:r>
          </w:p>
          <w:p w14:paraId="0E8BE18A">
            <w:pPr>
              <w:pStyle w:val="22"/>
              <w:spacing w:line="360" w:lineRule="auto"/>
              <w:ind w:firstLine="482"/>
              <w:jc w:val="both"/>
              <w:rPr>
                <w:rFonts w:hint="default" w:ascii="Times New Roman" w:eastAsia="宋体"/>
                <w:b/>
                <w:bCs w:val="0"/>
                <w:sz w:val="24"/>
              </w:rPr>
            </w:pPr>
            <w:r>
              <w:rPr>
                <w:rFonts w:ascii="Times New Roman" w:eastAsia="宋体"/>
                <w:b/>
                <w:bCs w:val="0"/>
                <w:sz w:val="24"/>
              </w:rPr>
              <w:t>②</w:t>
            </w:r>
            <w:r>
              <w:rPr>
                <w:rFonts w:hint="default" w:ascii="Times New Roman" w:eastAsia="宋体"/>
                <w:b/>
                <w:bCs w:val="0"/>
                <w:sz w:val="24"/>
              </w:rPr>
              <w:t>排水</w:t>
            </w:r>
          </w:p>
          <w:p w14:paraId="27581159">
            <w:pPr>
              <w:adjustRightInd w:val="0"/>
              <w:snapToGrid w:val="0"/>
              <w:spacing w:line="360" w:lineRule="auto"/>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本项目排水采用雨、污分流制，周边雨污市政管网已建成。犀牛大道方向有市政排水管网，排水距离约150m；本项目雨水经雨水管网收集后，排入市政雨水管网。</w:t>
            </w:r>
          </w:p>
          <w:p w14:paraId="789E4F3B">
            <w:pPr>
              <w:adjustRightInd w:val="0"/>
              <w:snapToGrid w:val="0"/>
              <w:spacing w:line="360" w:lineRule="auto"/>
              <w:ind w:firstLine="482" w:firstLineChars="200"/>
              <w:rPr>
                <w:color w:val="000000"/>
                <w:kern w:val="0"/>
                <w:sz w:val="24"/>
                <w:lang w:bidi="ar"/>
              </w:rPr>
            </w:pPr>
            <w:r>
              <w:rPr>
                <w:b/>
                <w:bCs/>
                <w:color w:val="000000"/>
                <w:kern w:val="0"/>
                <w:sz w:val="24"/>
                <w:lang w:bidi="ar"/>
              </w:rPr>
              <w:t>雨水排水系统：</w:t>
            </w:r>
            <w:r>
              <w:rPr>
                <w:color w:val="000000"/>
                <w:kern w:val="0"/>
                <w:sz w:val="24"/>
                <w:lang w:bidi="ar"/>
              </w:rPr>
              <w:t>项目四周设围墙及排水沟，避免项目外雨水流进站内。站内屋面及地面雨水经场内边沟直接排入场外市政雨水管网。垃圾卸料口设置于压缩车间内部第</w:t>
            </w:r>
            <w:r>
              <w:rPr>
                <w:rFonts w:hint="eastAsia"/>
                <w:color w:val="000000"/>
                <w:kern w:val="0"/>
                <w:sz w:val="24"/>
                <w:lang w:bidi="ar"/>
              </w:rPr>
              <w:t>2</w:t>
            </w:r>
            <w:r>
              <w:rPr>
                <w:color w:val="000000"/>
                <w:kern w:val="0"/>
                <w:sz w:val="24"/>
                <w:lang w:bidi="ar"/>
              </w:rPr>
              <w:t>层，杜绝垃圾露天堆放现象，可防止因雨水落入而增加垃圾压滤液产生量。站内设置1个</w:t>
            </w:r>
            <w:r>
              <w:rPr>
                <w:rFonts w:hint="eastAsia"/>
                <w:color w:val="000000"/>
                <w:kern w:val="0"/>
                <w:sz w:val="24"/>
                <w:lang w:bidi="ar"/>
              </w:rPr>
              <w:t>75</w:t>
            </w:r>
            <w:r>
              <w:rPr>
                <w:color w:val="000000"/>
                <w:kern w:val="0"/>
                <w:sz w:val="24"/>
                <w:lang w:bidi="ar"/>
              </w:rPr>
              <w:t>m³初期雨水收集池，下雨前</w:t>
            </w:r>
            <w:r>
              <w:rPr>
                <w:rFonts w:hint="eastAsia"/>
                <w:color w:val="000000"/>
                <w:kern w:val="0"/>
                <w:sz w:val="24"/>
                <w:lang w:bidi="ar"/>
              </w:rPr>
              <w:t>8</w:t>
            </w:r>
            <w:r>
              <w:rPr>
                <w:color w:val="000000"/>
                <w:kern w:val="0"/>
                <w:sz w:val="24"/>
                <w:lang w:bidi="ar"/>
              </w:rPr>
              <w:t>min的初期雨水排入渗漏液收集系统进行处理后排入</w:t>
            </w:r>
            <w:r>
              <w:rPr>
                <w:rFonts w:hint="eastAsia"/>
                <w:color w:val="000000"/>
                <w:kern w:val="0"/>
                <w:sz w:val="24"/>
                <w:lang w:bidi="ar"/>
              </w:rPr>
              <w:t>达州市第二城市生活污水处理厂</w:t>
            </w:r>
            <w:r>
              <w:rPr>
                <w:color w:val="000000"/>
                <w:kern w:val="0"/>
                <w:sz w:val="24"/>
                <w:lang w:bidi="ar"/>
              </w:rPr>
              <w:t>。</w:t>
            </w:r>
          </w:p>
          <w:p w14:paraId="6C528AB5">
            <w:pPr>
              <w:wordWrap w:val="0"/>
              <w:adjustRightInd w:val="0"/>
              <w:snapToGrid w:val="0"/>
              <w:spacing w:line="360" w:lineRule="auto"/>
              <w:ind w:firstLine="482" w:firstLineChars="200"/>
              <w:rPr>
                <w:sz w:val="24"/>
              </w:rPr>
            </w:pPr>
            <w:r>
              <w:rPr>
                <w:rFonts w:hint="eastAsia" w:ascii="宋体" w:hAnsi="宋体" w:cs="宋体"/>
                <w:b/>
                <w:bCs/>
                <w:color w:val="000000"/>
                <w:kern w:val="0"/>
                <w:sz w:val="24"/>
                <w:lang w:bidi="ar"/>
              </w:rPr>
              <w:t>污水收集、处理系统：</w:t>
            </w:r>
            <w:r>
              <w:rPr>
                <w:rFonts w:hint="eastAsia" w:ascii="宋体" w:hAnsi="宋体" w:cs="宋体"/>
                <w:color w:val="000000"/>
                <w:kern w:val="0"/>
                <w:sz w:val="24"/>
                <w:lang w:bidi="ar"/>
              </w:rPr>
              <w:t>本项目运营后，项目产生的废水主要为垃圾压滤液、设备、车辆冲洗水、地面清洁废水以及生活污水。生活污水、生产管理用房地面清洁废水由排水管接至室外化粪池进行预处理后接入室外污水管网，再排入市政排水管网，最终排入达州市第二城市城市污水厂；生产废水（垃圾渗滤液、洗车废水、机修间废水、压缩车间地面清洁废水等）经密闭管道排入渗滤液处理系统处理达标后与生活污水一并排入市政排水管网，最终进入</w:t>
            </w:r>
            <w:r>
              <w:rPr>
                <w:color w:val="000000"/>
                <w:kern w:val="0"/>
                <w:sz w:val="24"/>
                <w:lang w:bidi="ar"/>
              </w:rPr>
              <w:t>达州市第二</w:t>
            </w:r>
            <w:r>
              <w:rPr>
                <w:rFonts w:hint="eastAsia"/>
                <w:color w:val="000000"/>
                <w:kern w:val="0"/>
                <w:sz w:val="24"/>
                <w:lang w:bidi="ar"/>
              </w:rPr>
              <w:t>城市生活</w:t>
            </w:r>
            <w:r>
              <w:rPr>
                <w:color w:val="000000"/>
                <w:kern w:val="0"/>
                <w:sz w:val="24"/>
                <w:lang w:bidi="ar"/>
              </w:rPr>
              <w:t>污水处理厂</w:t>
            </w:r>
            <w:r>
              <w:rPr>
                <w:rFonts w:hint="eastAsia"/>
                <w:color w:val="000000"/>
                <w:sz w:val="24"/>
              </w:rPr>
              <w:t>处理达到</w:t>
            </w:r>
            <w:r>
              <w:rPr>
                <w:color w:val="000000"/>
                <w:sz w:val="24"/>
              </w:rPr>
              <w:t>《城镇污水处理厂污染物排放标准》（GB18981-2002</w:t>
            </w:r>
            <w:r>
              <w:rPr>
                <w:rFonts w:hint="eastAsia"/>
                <w:color w:val="000000"/>
                <w:sz w:val="24"/>
              </w:rPr>
              <w:t>）</w:t>
            </w:r>
            <w:r>
              <w:rPr>
                <w:color w:val="000000"/>
                <w:sz w:val="24"/>
              </w:rPr>
              <w:t>一级A标准</w:t>
            </w:r>
            <w:r>
              <w:rPr>
                <w:rFonts w:hint="eastAsia"/>
                <w:color w:val="000000"/>
                <w:sz w:val="24"/>
              </w:rPr>
              <w:t>后</w:t>
            </w:r>
            <w:r>
              <w:rPr>
                <w:rFonts w:hint="eastAsia" w:ascii="宋体" w:hAnsi="宋体" w:cs="宋体"/>
                <w:color w:val="000000"/>
                <w:kern w:val="0"/>
                <w:sz w:val="24"/>
                <w:lang w:bidi="ar"/>
              </w:rPr>
              <w:t>排入州河</w:t>
            </w:r>
            <w:r>
              <w:rPr>
                <w:rFonts w:hint="eastAsia"/>
                <w:sz w:val="24"/>
              </w:rPr>
              <w:t>。</w:t>
            </w:r>
          </w:p>
          <w:p w14:paraId="35A040C2">
            <w:pPr>
              <w:widowControl/>
              <w:spacing w:line="360" w:lineRule="auto"/>
              <w:ind w:firstLine="482" w:firstLineChars="200"/>
              <w:jc w:val="left"/>
              <w:rPr>
                <w:b/>
                <w:bCs/>
                <w:sz w:val="24"/>
              </w:rPr>
            </w:pPr>
            <w:r>
              <w:rPr>
                <w:rFonts w:hint="eastAsia"/>
                <w:b/>
                <w:bCs/>
                <w:sz w:val="24"/>
              </w:rPr>
              <w:t>9、水平衡</w:t>
            </w:r>
          </w:p>
          <w:p w14:paraId="5FE127D1">
            <w:pPr>
              <w:widowControl/>
              <w:wordWrap w:val="0"/>
              <w:spacing w:line="360" w:lineRule="auto"/>
              <w:ind w:firstLine="480" w:firstLineChars="200"/>
              <w:jc w:val="left"/>
              <w:rPr>
                <w:sz w:val="24"/>
                <w:szCs w:val="36"/>
              </w:rPr>
            </w:pPr>
            <w:r>
              <w:rPr>
                <w:rFonts w:hint="eastAsia"/>
                <w:sz w:val="24"/>
                <w:szCs w:val="36"/>
              </w:rPr>
              <w:t>本项目用水主要包括转运车辆冲洗水、设备冲洗水、地面冲洗水、除臭系统用水、绿化用水以及生活用水。参照《四川省用水定额》（川水发</w:t>
            </w:r>
            <w:r>
              <w:rPr>
                <w:rFonts w:hint="eastAsia"/>
                <w:sz w:val="24"/>
                <w:szCs w:val="36"/>
                <w:lang w:eastAsia="zh-CN"/>
              </w:rPr>
              <w:t>〔2010〕4号</w:t>
            </w:r>
            <w:r>
              <w:rPr>
                <w:rFonts w:hint="eastAsia"/>
                <w:sz w:val="24"/>
                <w:szCs w:val="36"/>
              </w:rPr>
              <w:t>）文件，本项目用水情况如下：</w:t>
            </w:r>
          </w:p>
          <w:p w14:paraId="5BC178DB">
            <w:pPr>
              <w:widowControl/>
              <w:wordWrap w:val="0"/>
              <w:spacing w:line="360" w:lineRule="auto"/>
              <w:ind w:firstLine="482" w:firstLineChars="200"/>
              <w:jc w:val="left"/>
              <w:rPr>
                <w:color w:val="000000"/>
                <w:sz w:val="24"/>
              </w:rPr>
            </w:pPr>
            <w:r>
              <w:rPr>
                <w:rFonts w:hint="eastAsia"/>
                <w:b/>
                <w:bCs/>
                <w:sz w:val="24"/>
                <w:szCs w:val="36"/>
              </w:rPr>
              <w:t>生活用水：</w:t>
            </w:r>
            <w:r>
              <w:rPr>
                <w:rFonts w:hint="eastAsia"/>
                <w:color w:val="000000"/>
                <w:kern w:val="0"/>
                <w:sz w:val="24"/>
                <w:lang w:bidi="ar"/>
              </w:rPr>
              <w:t>根</w:t>
            </w:r>
            <w:r>
              <w:rPr>
                <w:color w:val="000000"/>
                <w:kern w:val="0"/>
                <w:sz w:val="24"/>
                <w:lang w:bidi="ar"/>
              </w:rPr>
              <w:t>据建设单位提供资料，本项目劳动定员12人，不在厂内食宿</w:t>
            </w:r>
            <w:r>
              <w:rPr>
                <w:rFonts w:hint="eastAsia"/>
                <w:color w:val="000000"/>
                <w:kern w:val="0"/>
                <w:sz w:val="24"/>
                <w:lang w:bidi="ar"/>
              </w:rPr>
              <w:t>。</w:t>
            </w:r>
            <w:r>
              <w:rPr>
                <w:color w:val="000000"/>
                <w:kern w:val="0"/>
                <w:sz w:val="24"/>
                <w:lang w:bidi="ar"/>
              </w:rPr>
              <w:t>根据《建筑给水排水设计标准》（GB50015-2019</w:t>
            </w:r>
            <w:r>
              <w:rPr>
                <w:rFonts w:hint="eastAsia"/>
                <w:color w:val="000000"/>
                <w:kern w:val="0"/>
                <w:sz w:val="24"/>
                <w:lang w:bidi="ar"/>
              </w:rPr>
              <w:t>）</w:t>
            </w:r>
            <w:r>
              <w:rPr>
                <w:color w:val="000000"/>
                <w:kern w:val="0"/>
                <w:sz w:val="24"/>
                <w:lang w:bidi="ar"/>
              </w:rPr>
              <w:t>，不含食宿的职工用水量按50L/人·d计，本项目年工作365d，由此本项目厂员工生活用水量0.6m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w:t>
            </w:r>
            <w:r>
              <w:rPr>
                <w:color w:val="000000"/>
                <w:kern w:val="0"/>
                <w:sz w:val="24"/>
                <w:lang w:bidi="ar"/>
              </w:rPr>
              <w:t>219m</w:t>
            </w:r>
            <w:r>
              <w:rPr>
                <w:color w:val="000000"/>
                <w:kern w:val="0"/>
                <w:sz w:val="24"/>
                <w:vertAlign w:val="superscript"/>
                <w:lang w:bidi="ar"/>
              </w:rPr>
              <w:t>3</w:t>
            </w:r>
            <w:r>
              <w:rPr>
                <w:color w:val="000000"/>
                <w:kern w:val="0"/>
                <w:sz w:val="24"/>
                <w:lang w:bidi="ar"/>
              </w:rPr>
              <w:t>/d，排污系数按0.85计，生活污水量约0.51m</w:t>
            </w:r>
            <w:r>
              <w:rPr>
                <w:color w:val="000000"/>
                <w:kern w:val="0"/>
                <w:sz w:val="24"/>
                <w:vertAlign w:val="superscript"/>
                <w:lang w:bidi="ar"/>
              </w:rPr>
              <w:t>3</w:t>
            </w:r>
            <w:r>
              <w:rPr>
                <w:color w:val="000000"/>
                <w:kern w:val="0"/>
                <w:sz w:val="24"/>
                <w:lang w:bidi="ar"/>
              </w:rPr>
              <w:t>/d，186.15m</w:t>
            </w:r>
            <w:r>
              <w:rPr>
                <w:color w:val="000000"/>
                <w:kern w:val="0"/>
                <w:sz w:val="24"/>
                <w:vertAlign w:val="superscript"/>
                <w:lang w:bidi="ar"/>
              </w:rPr>
              <w:t>3</w:t>
            </w:r>
            <w:r>
              <w:rPr>
                <w:color w:val="000000"/>
                <w:kern w:val="0"/>
                <w:sz w:val="24"/>
                <w:lang w:bidi="ar"/>
              </w:rPr>
              <w:t>/a。</w:t>
            </w:r>
          </w:p>
          <w:p w14:paraId="28465409">
            <w:pPr>
              <w:adjustRightInd w:val="0"/>
              <w:snapToGrid w:val="0"/>
              <w:spacing w:line="360" w:lineRule="auto"/>
              <w:ind w:firstLine="482" w:firstLineChars="200"/>
              <w:rPr>
                <w:sz w:val="24"/>
                <w:szCs w:val="36"/>
              </w:rPr>
            </w:pPr>
            <w:r>
              <w:rPr>
                <w:rFonts w:hint="eastAsia"/>
                <w:b/>
                <w:bCs/>
                <w:sz w:val="24"/>
                <w:szCs w:val="36"/>
              </w:rPr>
              <w:t>车辆冲洗用水：</w:t>
            </w:r>
          </w:p>
          <w:p w14:paraId="2D129505">
            <w:pPr>
              <w:adjustRightInd w:val="0"/>
              <w:snapToGrid w:val="0"/>
              <w:spacing w:line="360" w:lineRule="auto"/>
              <w:ind w:firstLine="480" w:firstLineChars="200"/>
              <w:rPr>
                <w:sz w:val="24"/>
                <w:szCs w:val="36"/>
              </w:rPr>
            </w:pPr>
            <w:r>
              <w:rPr>
                <w:rFonts w:hint="eastAsia"/>
                <w:sz w:val="24"/>
                <w:szCs w:val="36"/>
              </w:rPr>
              <w:t>根据业主提供资料，正常运行时车辆冲洗次数约16次/天（大车6次，小车10次），参照《四川省用水定额》（川府函〔2021〕8 号）规定的定额选择用水定额进行计算，大车按照100L/辆•次，小车按50L/L辆•次，则车辆清洗用水量平均1.1m</w:t>
            </w:r>
            <w:r>
              <w:rPr>
                <w:rFonts w:hint="eastAsia"/>
                <w:sz w:val="24"/>
                <w:szCs w:val="36"/>
                <w:vertAlign w:val="superscript"/>
              </w:rPr>
              <w:t>3</w:t>
            </w:r>
            <w:r>
              <w:rPr>
                <w:rFonts w:hint="eastAsia"/>
                <w:sz w:val="24"/>
                <w:szCs w:val="36"/>
              </w:rPr>
              <w:t>/d（401.5m</w:t>
            </w:r>
            <w:r>
              <w:rPr>
                <w:rFonts w:hint="eastAsia"/>
                <w:sz w:val="24"/>
                <w:szCs w:val="36"/>
                <w:vertAlign w:val="superscript"/>
              </w:rPr>
              <w:t>3</w:t>
            </w:r>
            <w:r>
              <w:rPr>
                <w:rFonts w:hint="eastAsia"/>
                <w:sz w:val="24"/>
                <w:szCs w:val="36"/>
              </w:rPr>
              <w:t>/a）。产污系数按0.85，则车辆冲洗废水产生量为0.935m³/d，341.28m³/a。</w:t>
            </w:r>
          </w:p>
          <w:p w14:paraId="3CEB99B0">
            <w:pPr>
              <w:adjustRightInd w:val="0"/>
              <w:snapToGrid w:val="0"/>
              <w:spacing w:line="360" w:lineRule="auto"/>
              <w:ind w:firstLine="482" w:firstLineChars="200"/>
              <w:rPr>
                <w:b/>
                <w:bCs/>
                <w:sz w:val="24"/>
                <w:szCs w:val="36"/>
              </w:rPr>
            </w:pPr>
            <w:r>
              <w:rPr>
                <w:rFonts w:hint="eastAsia"/>
                <w:b/>
                <w:bCs/>
                <w:sz w:val="24"/>
                <w:szCs w:val="36"/>
              </w:rPr>
              <w:t>设备冲洗用水：</w:t>
            </w:r>
          </w:p>
          <w:p w14:paraId="3573C99C">
            <w:pPr>
              <w:adjustRightInd w:val="0"/>
              <w:snapToGrid w:val="0"/>
              <w:spacing w:line="360" w:lineRule="auto"/>
              <w:ind w:firstLine="480" w:firstLineChars="200"/>
              <w:rPr>
                <w:sz w:val="24"/>
                <w:szCs w:val="36"/>
              </w:rPr>
            </w:pPr>
            <w:r>
              <w:rPr>
                <w:sz w:val="24"/>
                <w:szCs w:val="36"/>
              </w:rPr>
              <w:t>项目</w:t>
            </w:r>
            <w:r>
              <w:rPr>
                <w:rFonts w:hint="eastAsia"/>
                <w:sz w:val="24"/>
                <w:szCs w:val="36"/>
              </w:rPr>
              <w:t>配置3个22m³</w:t>
            </w:r>
            <w:r>
              <w:rPr>
                <w:sz w:val="24"/>
                <w:szCs w:val="36"/>
              </w:rPr>
              <w:t>垃圾压缩集装箱</w:t>
            </w:r>
            <w:r>
              <w:rPr>
                <w:rFonts w:hint="eastAsia"/>
                <w:sz w:val="24"/>
                <w:szCs w:val="36"/>
              </w:rPr>
              <w:t>，每天进行1次清洗</w:t>
            </w:r>
            <w:r>
              <w:rPr>
                <w:sz w:val="24"/>
                <w:szCs w:val="36"/>
              </w:rPr>
              <w:t>，</w:t>
            </w:r>
            <w:r>
              <w:rPr>
                <w:rFonts w:hint="eastAsia"/>
                <w:sz w:val="24"/>
                <w:szCs w:val="36"/>
              </w:rPr>
              <w:t>类比同行业，</w:t>
            </w:r>
            <w:r>
              <w:rPr>
                <w:sz w:val="24"/>
                <w:szCs w:val="36"/>
              </w:rPr>
              <w:t>按照100L/只•次。因此本项目垃圾箱体冲洗用水量为</w:t>
            </w:r>
            <w:r>
              <w:rPr>
                <w:rFonts w:hint="eastAsia"/>
                <w:sz w:val="24"/>
                <w:szCs w:val="36"/>
              </w:rPr>
              <w:t>0.3</w:t>
            </w:r>
            <w:r>
              <w:rPr>
                <w:sz w:val="24"/>
                <w:szCs w:val="36"/>
              </w:rPr>
              <w:t>m</w:t>
            </w:r>
            <w:r>
              <w:rPr>
                <w:sz w:val="24"/>
                <w:szCs w:val="36"/>
                <w:vertAlign w:val="superscript"/>
              </w:rPr>
              <w:t>3</w:t>
            </w:r>
            <w:r>
              <w:rPr>
                <w:sz w:val="24"/>
                <w:szCs w:val="36"/>
              </w:rPr>
              <w:t>/d</w:t>
            </w:r>
            <w:r>
              <w:rPr>
                <w:rFonts w:hint="eastAsia"/>
                <w:sz w:val="24"/>
                <w:szCs w:val="36"/>
                <w:lang w:eastAsia="zh-CN"/>
              </w:rPr>
              <w:t>(</w:t>
            </w:r>
            <w:r>
              <w:rPr>
                <w:rFonts w:hint="eastAsia"/>
                <w:sz w:val="24"/>
                <w:szCs w:val="36"/>
              </w:rPr>
              <w:t>109.5</w:t>
            </w:r>
            <w:r>
              <w:rPr>
                <w:sz w:val="24"/>
                <w:szCs w:val="36"/>
              </w:rPr>
              <w:t>m</w:t>
            </w:r>
            <w:r>
              <w:rPr>
                <w:sz w:val="24"/>
                <w:szCs w:val="36"/>
                <w:vertAlign w:val="superscript"/>
              </w:rPr>
              <w:t>3</w:t>
            </w:r>
            <w:r>
              <w:rPr>
                <w:sz w:val="24"/>
                <w:szCs w:val="36"/>
              </w:rPr>
              <w:t>/a</w:t>
            </w:r>
            <w:r>
              <w:rPr>
                <w:rFonts w:hint="eastAsia"/>
                <w:sz w:val="24"/>
                <w:szCs w:val="36"/>
                <w:lang w:eastAsia="zh-CN"/>
              </w:rPr>
              <w:t>)</w:t>
            </w:r>
            <w:r>
              <w:rPr>
                <w:sz w:val="24"/>
                <w:szCs w:val="36"/>
              </w:rPr>
              <w:t>。产污系数按0.8</w:t>
            </w:r>
            <w:r>
              <w:rPr>
                <w:rFonts w:hint="eastAsia"/>
                <w:sz w:val="24"/>
                <w:szCs w:val="36"/>
              </w:rPr>
              <w:t>5</w:t>
            </w:r>
            <w:r>
              <w:rPr>
                <w:sz w:val="24"/>
                <w:szCs w:val="36"/>
              </w:rPr>
              <w:t>计，则项目垃圾箱体冲洗废水产生量为</w:t>
            </w:r>
            <w:r>
              <w:rPr>
                <w:rFonts w:hint="eastAsia"/>
                <w:sz w:val="24"/>
                <w:szCs w:val="36"/>
              </w:rPr>
              <w:t>0.255</w:t>
            </w:r>
            <w:r>
              <w:rPr>
                <w:sz w:val="24"/>
                <w:szCs w:val="36"/>
              </w:rPr>
              <w:t>m</w:t>
            </w:r>
            <w:r>
              <w:rPr>
                <w:sz w:val="24"/>
                <w:szCs w:val="36"/>
                <w:vertAlign w:val="superscript"/>
              </w:rPr>
              <w:t>3</w:t>
            </w:r>
            <w:r>
              <w:rPr>
                <w:sz w:val="24"/>
                <w:szCs w:val="36"/>
              </w:rPr>
              <w:t>/d</w:t>
            </w:r>
            <w:r>
              <w:rPr>
                <w:rFonts w:hint="eastAsia"/>
                <w:sz w:val="24"/>
                <w:szCs w:val="36"/>
              </w:rPr>
              <w:t>（93.075</w:t>
            </w:r>
            <w:r>
              <w:rPr>
                <w:sz w:val="24"/>
                <w:szCs w:val="36"/>
              </w:rPr>
              <w:t>m</w:t>
            </w:r>
            <w:r>
              <w:rPr>
                <w:sz w:val="24"/>
                <w:szCs w:val="36"/>
                <w:vertAlign w:val="superscript"/>
              </w:rPr>
              <w:t>3</w:t>
            </w:r>
            <w:r>
              <w:rPr>
                <w:sz w:val="24"/>
                <w:szCs w:val="36"/>
              </w:rPr>
              <w:t>/a</w:t>
            </w:r>
            <w:r>
              <w:rPr>
                <w:rFonts w:hint="eastAsia"/>
                <w:sz w:val="24"/>
                <w:szCs w:val="36"/>
              </w:rPr>
              <w:t>）</w:t>
            </w:r>
            <w:r>
              <w:rPr>
                <w:sz w:val="24"/>
                <w:szCs w:val="36"/>
              </w:rPr>
              <w:t>。</w:t>
            </w:r>
          </w:p>
          <w:p w14:paraId="360A22E4">
            <w:pPr>
              <w:wordWrap w:val="0"/>
              <w:adjustRightInd w:val="0"/>
              <w:snapToGrid w:val="0"/>
              <w:spacing w:line="360" w:lineRule="auto"/>
              <w:ind w:firstLine="482" w:firstLineChars="200"/>
              <w:rPr>
                <w:sz w:val="24"/>
                <w:szCs w:val="36"/>
              </w:rPr>
            </w:pPr>
            <w:r>
              <w:rPr>
                <w:b/>
                <w:bCs/>
                <w:sz w:val="24"/>
                <w:szCs w:val="36"/>
              </w:rPr>
              <w:t>车间地面清洁用水：</w:t>
            </w:r>
            <w:r>
              <w:rPr>
                <w:sz w:val="24"/>
                <w:szCs w:val="36"/>
              </w:rPr>
              <w:t>本项目类比同行业，参照《四川省用水定额》（川府函〔2021〕8 号）中生活垃圾中转站用水定额，地面清洁用水按1L/</w:t>
            </w:r>
            <w:r>
              <w:rPr>
                <w:rFonts w:hint="eastAsia"/>
                <w:sz w:val="24"/>
                <w:szCs w:val="36"/>
                <w:lang w:eastAsia="zh-CN"/>
              </w:rPr>
              <w:t>（</w:t>
            </w:r>
            <w:r>
              <w:rPr>
                <w:sz w:val="24"/>
                <w:szCs w:val="36"/>
              </w:rPr>
              <w:t>m</w:t>
            </w:r>
            <w:r>
              <w:rPr>
                <w:sz w:val="24"/>
                <w:szCs w:val="36"/>
                <w:vertAlign w:val="superscript"/>
              </w:rPr>
              <w:t>2</w:t>
            </w:r>
            <w:r>
              <w:rPr>
                <w:sz w:val="24"/>
                <w:szCs w:val="36"/>
              </w:rPr>
              <w:t>·次</w:t>
            </w:r>
            <w:r>
              <w:rPr>
                <w:rFonts w:hint="eastAsia"/>
                <w:sz w:val="24"/>
                <w:szCs w:val="36"/>
                <w:lang w:eastAsia="zh-CN"/>
              </w:rPr>
              <w:t>）</w:t>
            </w:r>
            <w:r>
              <w:rPr>
                <w:sz w:val="24"/>
                <w:szCs w:val="36"/>
              </w:rPr>
              <w:t>计，冲洗本项目每天需冲洗面积为1173.77m</w:t>
            </w:r>
            <w:r>
              <w:rPr>
                <w:sz w:val="24"/>
                <w:szCs w:val="36"/>
                <w:vertAlign w:val="superscript"/>
              </w:rPr>
              <w:t>2</w:t>
            </w:r>
            <w:r>
              <w:rPr>
                <w:sz w:val="24"/>
                <w:szCs w:val="36"/>
              </w:rPr>
              <w:t>，因此地面冲洗用水量为1.17m</w:t>
            </w:r>
            <w:r>
              <w:rPr>
                <w:sz w:val="24"/>
                <w:szCs w:val="36"/>
                <w:vertAlign w:val="superscript"/>
              </w:rPr>
              <w:t>3</w:t>
            </w:r>
            <w:r>
              <w:rPr>
                <w:sz w:val="24"/>
                <w:szCs w:val="36"/>
              </w:rPr>
              <w:t>/d(427.05m</w:t>
            </w:r>
            <w:r>
              <w:rPr>
                <w:sz w:val="24"/>
                <w:szCs w:val="36"/>
                <w:vertAlign w:val="superscript"/>
              </w:rPr>
              <w:t>3</w:t>
            </w:r>
            <w:r>
              <w:rPr>
                <w:sz w:val="24"/>
                <w:szCs w:val="36"/>
              </w:rPr>
              <w:t>/a</w:t>
            </w:r>
            <w:r>
              <w:rPr>
                <w:rFonts w:hint="eastAsia"/>
                <w:sz w:val="24"/>
                <w:szCs w:val="36"/>
                <w:lang w:eastAsia="zh-CN"/>
              </w:rPr>
              <w:t>）</w:t>
            </w:r>
            <w:r>
              <w:rPr>
                <w:sz w:val="24"/>
                <w:szCs w:val="36"/>
              </w:rPr>
              <w:t>。产污系数按0.85计，则项目地面冲洗废水产生量为0.99m</w:t>
            </w:r>
            <w:r>
              <w:rPr>
                <w:sz w:val="24"/>
                <w:szCs w:val="36"/>
                <w:vertAlign w:val="superscript"/>
              </w:rPr>
              <w:t>3</w:t>
            </w:r>
            <w:r>
              <w:rPr>
                <w:sz w:val="24"/>
                <w:szCs w:val="36"/>
              </w:rPr>
              <w:t>/d(362.99m</w:t>
            </w:r>
            <w:r>
              <w:rPr>
                <w:sz w:val="24"/>
                <w:szCs w:val="36"/>
                <w:vertAlign w:val="superscript"/>
              </w:rPr>
              <w:t>3</w:t>
            </w:r>
            <w:r>
              <w:rPr>
                <w:sz w:val="24"/>
                <w:szCs w:val="36"/>
              </w:rPr>
              <w:t>/a</w:t>
            </w:r>
            <w:r>
              <w:rPr>
                <w:rFonts w:hint="eastAsia"/>
                <w:sz w:val="24"/>
                <w:szCs w:val="36"/>
                <w:lang w:eastAsia="zh-CN"/>
              </w:rPr>
              <w:t>）</w:t>
            </w:r>
            <w:r>
              <w:rPr>
                <w:rFonts w:hint="eastAsia"/>
                <w:sz w:val="24"/>
                <w:szCs w:val="36"/>
              </w:rPr>
              <w:t>。</w:t>
            </w:r>
          </w:p>
          <w:p w14:paraId="3DE947AA">
            <w:pPr>
              <w:adjustRightInd w:val="0"/>
              <w:snapToGrid w:val="0"/>
              <w:spacing w:line="360" w:lineRule="auto"/>
              <w:ind w:firstLine="482" w:firstLineChars="200"/>
              <w:rPr>
                <w:sz w:val="24"/>
                <w:szCs w:val="36"/>
              </w:rPr>
            </w:pPr>
            <w:r>
              <w:rPr>
                <w:rFonts w:hint="eastAsia"/>
                <w:b/>
                <w:bCs/>
                <w:sz w:val="24"/>
                <w:szCs w:val="36"/>
              </w:rPr>
              <w:t>生产管理用房等地面清洁用水</w:t>
            </w:r>
            <w:r>
              <w:rPr>
                <w:rFonts w:hint="eastAsia"/>
                <w:sz w:val="24"/>
                <w:szCs w:val="36"/>
              </w:rPr>
              <w:t>：每周对生产管理用房等地面进行清洁（采用扫帚和拖布，不用水冲洗）。需采用湿式拖布清洁的面积以367m</w:t>
            </w:r>
            <w:r>
              <w:rPr>
                <w:rFonts w:hint="eastAsia"/>
                <w:sz w:val="24"/>
                <w:szCs w:val="36"/>
                <w:vertAlign w:val="superscript"/>
              </w:rPr>
              <w:t>2</w:t>
            </w:r>
            <w:r>
              <w:rPr>
                <w:rFonts w:hint="eastAsia"/>
                <w:sz w:val="24"/>
                <w:szCs w:val="36"/>
              </w:rPr>
              <w:t>计，用水按0.5L/m</w:t>
            </w:r>
            <w:r>
              <w:rPr>
                <w:rFonts w:hint="eastAsia"/>
                <w:sz w:val="24"/>
                <w:szCs w:val="36"/>
                <w:vertAlign w:val="superscript"/>
              </w:rPr>
              <w:t>2</w:t>
            </w:r>
            <w:r>
              <w:rPr>
                <w:rFonts w:hint="eastAsia"/>
                <w:sz w:val="24"/>
                <w:szCs w:val="36"/>
                <w:vertAlign w:val="superscript"/>
                <w:lang w:eastAsia="zh-CN"/>
              </w:rPr>
              <w:t>一次</w:t>
            </w:r>
            <w:r>
              <w:rPr>
                <w:rFonts w:hint="eastAsia"/>
                <w:sz w:val="24"/>
                <w:szCs w:val="36"/>
              </w:rPr>
              <w:t>，则计算地面清洗用水量约为0.18m</w:t>
            </w:r>
            <w:r>
              <w:rPr>
                <w:rFonts w:hint="eastAsia"/>
                <w:sz w:val="24"/>
                <w:szCs w:val="36"/>
                <w:vertAlign w:val="superscript"/>
              </w:rPr>
              <w:t>3</w:t>
            </w:r>
            <w:r>
              <w:rPr>
                <w:rFonts w:hint="eastAsia"/>
                <w:sz w:val="24"/>
                <w:szCs w:val="36"/>
              </w:rPr>
              <w:t>/d（9.36m</w:t>
            </w:r>
            <w:r>
              <w:rPr>
                <w:rFonts w:hint="eastAsia"/>
                <w:sz w:val="24"/>
                <w:szCs w:val="36"/>
                <w:vertAlign w:val="superscript"/>
              </w:rPr>
              <w:t>3</w:t>
            </w:r>
            <w:r>
              <w:rPr>
                <w:rFonts w:hint="eastAsia"/>
                <w:sz w:val="24"/>
                <w:szCs w:val="36"/>
              </w:rPr>
              <w:t>/a），排放系数取值0.85，则计算地面清洗废水量为0.153m</w:t>
            </w:r>
            <w:r>
              <w:rPr>
                <w:rFonts w:hint="eastAsia"/>
                <w:sz w:val="24"/>
                <w:szCs w:val="36"/>
                <w:vertAlign w:val="superscript"/>
              </w:rPr>
              <w:t>3</w:t>
            </w:r>
            <w:r>
              <w:rPr>
                <w:rFonts w:hint="eastAsia"/>
                <w:sz w:val="24"/>
                <w:szCs w:val="36"/>
              </w:rPr>
              <w:t>/d（7.96m</w:t>
            </w:r>
            <w:r>
              <w:rPr>
                <w:rFonts w:hint="eastAsia"/>
                <w:sz w:val="24"/>
                <w:szCs w:val="36"/>
                <w:vertAlign w:val="superscript"/>
              </w:rPr>
              <w:t>3</w:t>
            </w:r>
            <w:r>
              <w:rPr>
                <w:rFonts w:hint="eastAsia"/>
                <w:sz w:val="24"/>
                <w:szCs w:val="36"/>
              </w:rPr>
              <w:t>/a）。</w:t>
            </w:r>
          </w:p>
          <w:p w14:paraId="396F1F7F">
            <w:pPr>
              <w:adjustRightInd w:val="0"/>
              <w:snapToGrid w:val="0"/>
              <w:spacing w:line="360" w:lineRule="auto"/>
              <w:ind w:firstLine="482" w:firstLineChars="200"/>
              <w:rPr>
                <w:b/>
                <w:bCs/>
                <w:sz w:val="24"/>
                <w:szCs w:val="36"/>
              </w:rPr>
            </w:pPr>
            <w:r>
              <w:rPr>
                <w:rFonts w:hint="eastAsia"/>
                <w:b/>
                <w:bCs/>
                <w:sz w:val="24"/>
                <w:szCs w:val="36"/>
              </w:rPr>
              <w:t>除臭除尘系统用水：</w:t>
            </w:r>
          </w:p>
          <w:p w14:paraId="771823B3">
            <w:pPr>
              <w:adjustRightInd w:val="0"/>
              <w:snapToGrid w:val="0"/>
              <w:spacing w:line="360" w:lineRule="auto"/>
              <w:ind w:firstLine="480" w:firstLineChars="200"/>
              <w:rPr>
                <w:sz w:val="24"/>
                <w:szCs w:val="36"/>
              </w:rPr>
            </w:pPr>
            <w:r>
              <w:rPr>
                <w:rFonts w:hint="eastAsia"/>
                <w:sz w:val="24"/>
                <w:szCs w:val="36"/>
              </w:rPr>
              <w:t>本项目设计1套喷雾除臭系统及1套负压抽风除臭系统，对易散发臭气的空间进行除臭。喷雾除臭系统的除臭剂为天然植物药液与水的混合液（水与植物药液的混合比例为100:1）。</w:t>
            </w:r>
          </w:p>
          <w:p w14:paraId="741E7EB0">
            <w:pPr>
              <w:adjustRightInd w:val="0"/>
              <w:snapToGrid w:val="0"/>
              <w:spacing w:line="360" w:lineRule="auto"/>
              <w:ind w:firstLine="480" w:firstLineChars="200"/>
              <w:rPr>
                <w:sz w:val="24"/>
                <w:szCs w:val="36"/>
              </w:rPr>
            </w:pPr>
            <w:r>
              <w:rPr>
                <w:rFonts w:hint="eastAsia"/>
                <w:sz w:val="24"/>
                <w:szCs w:val="36"/>
              </w:rPr>
              <w:t>喷雾除臭系统用水：喷雾除臭设备的水泵流量为24L/h，共计1套设备80个喷头，每天的工作时间按8h计算，则工作液用量为70.08m³/a，水的用量为69.39m³/a（0.19m³/d），喷淋出来的混合液经自然蒸发消耗掉或者被转运出站的生活垃圾带走，因此产生的废水可以忽略不计。</w:t>
            </w:r>
          </w:p>
          <w:p w14:paraId="50EF1F19">
            <w:pPr>
              <w:adjustRightInd w:val="0"/>
              <w:snapToGrid w:val="0"/>
              <w:spacing w:line="360" w:lineRule="auto"/>
              <w:ind w:firstLine="480" w:firstLineChars="200"/>
              <w:rPr>
                <w:sz w:val="24"/>
                <w:szCs w:val="36"/>
              </w:rPr>
            </w:pPr>
            <w:r>
              <w:rPr>
                <w:rFonts w:hint="eastAsia"/>
                <w:sz w:val="24"/>
                <w:szCs w:val="36"/>
              </w:rPr>
              <w:t>负压除臭除尘系统用水：根据建设单位提供资料，除臭塔水泵循环量为600L/min，循环损失按1%计，则损失量约6L/min，每天工作8h，则除臭液损失量为2.88m³/h(1051.2m³/a</w:t>
            </w:r>
            <w:r>
              <w:rPr>
                <w:rFonts w:hint="eastAsia"/>
                <w:sz w:val="24"/>
                <w:szCs w:val="36"/>
                <w:lang w:eastAsia="zh-CN"/>
              </w:rPr>
              <w:t>）</w:t>
            </w:r>
            <w:r>
              <w:rPr>
                <w:rFonts w:hint="eastAsia"/>
                <w:sz w:val="24"/>
                <w:szCs w:val="36"/>
              </w:rPr>
              <w:t>，则补充新鲜水量为2.85m³/d（1040.25m³/a）。负压抽风除臭系统除臭塔内的循环除臭7</w:t>
            </w:r>
            <w:r>
              <w:rPr>
                <w:rFonts w:hint="eastAsia"/>
                <w:sz w:val="24"/>
                <w:szCs w:val="36"/>
                <w:lang w:eastAsia="zh-CN"/>
              </w:rPr>
              <w:t>～</w:t>
            </w:r>
            <w:r>
              <w:rPr>
                <w:rFonts w:hint="eastAsia"/>
                <w:sz w:val="24"/>
                <w:szCs w:val="36"/>
              </w:rPr>
              <w:t>10d更换一次（本次评价按10d计），每次需更换0.8m³工作液，则除臭降尘工作液用量为29.2m³/a，其中水的用量为28.91m³/a（平均0.079m³/d）。</w:t>
            </w:r>
          </w:p>
          <w:p w14:paraId="0088D0FC">
            <w:pPr>
              <w:adjustRightInd w:val="0"/>
              <w:snapToGrid w:val="0"/>
              <w:spacing w:line="360" w:lineRule="auto"/>
              <w:ind w:firstLine="480" w:firstLineChars="200"/>
              <w:rPr>
                <w:sz w:val="24"/>
                <w:szCs w:val="36"/>
              </w:rPr>
            </w:pPr>
            <w:r>
              <w:rPr>
                <w:rFonts w:hint="eastAsia"/>
                <w:sz w:val="24"/>
                <w:szCs w:val="36"/>
              </w:rPr>
              <w:t>本项目用水一览表如下：</w:t>
            </w:r>
          </w:p>
          <w:p w14:paraId="1BC6114A">
            <w:pPr>
              <w:jc w:val="center"/>
              <w:rPr>
                <w:b/>
                <w:bCs/>
                <w:szCs w:val="21"/>
              </w:rPr>
            </w:pPr>
            <w:r>
              <w:rPr>
                <w:rFonts w:hint="eastAsia"/>
                <w:b/>
                <w:bCs/>
                <w:szCs w:val="21"/>
              </w:rPr>
              <w:t>表2-4  项目用水一览表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9"/>
              <w:gridCol w:w="1197"/>
              <w:gridCol w:w="1068"/>
              <w:gridCol w:w="1154"/>
              <w:gridCol w:w="1242"/>
              <w:gridCol w:w="1206"/>
              <w:gridCol w:w="1059"/>
              <w:gridCol w:w="1010"/>
            </w:tblGrid>
            <w:tr w14:paraId="0729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vMerge w:val="restart"/>
                  <w:vAlign w:val="center"/>
                </w:tcPr>
                <w:p w14:paraId="18921123">
                  <w:pPr>
                    <w:jc w:val="center"/>
                    <w:outlineLvl w:val="1"/>
                    <w:rPr>
                      <w:b/>
                      <w:szCs w:val="21"/>
                      <w:lang w:val="zh-CN"/>
                    </w:rPr>
                  </w:pPr>
                  <w:r>
                    <w:rPr>
                      <w:b/>
                      <w:szCs w:val="21"/>
                      <w:lang w:val="zh-CN"/>
                    </w:rPr>
                    <w:t>序号</w:t>
                  </w:r>
                </w:p>
              </w:tc>
              <w:tc>
                <w:tcPr>
                  <w:tcW w:w="715" w:type="pct"/>
                  <w:vMerge w:val="restart"/>
                  <w:vAlign w:val="center"/>
                </w:tcPr>
                <w:p w14:paraId="36A8351C">
                  <w:pPr>
                    <w:jc w:val="center"/>
                    <w:outlineLvl w:val="1"/>
                    <w:rPr>
                      <w:b/>
                      <w:szCs w:val="21"/>
                      <w:lang w:val="zh-CN"/>
                    </w:rPr>
                  </w:pPr>
                  <w:r>
                    <w:rPr>
                      <w:b/>
                      <w:szCs w:val="21"/>
                      <w:lang w:val="zh-CN"/>
                    </w:rPr>
                    <w:t>用水</w:t>
                  </w:r>
                </w:p>
                <w:p w14:paraId="6E0A36A4">
                  <w:pPr>
                    <w:jc w:val="center"/>
                    <w:outlineLvl w:val="1"/>
                    <w:rPr>
                      <w:b/>
                      <w:szCs w:val="21"/>
                      <w:lang w:val="zh-CN"/>
                    </w:rPr>
                  </w:pPr>
                  <w:r>
                    <w:rPr>
                      <w:b/>
                      <w:szCs w:val="21"/>
                      <w:lang w:val="zh-CN"/>
                    </w:rPr>
                    <w:t>单元</w:t>
                  </w:r>
                </w:p>
              </w:tc>
              <w:tc>
                <w:tcPr>
                  <w:tcW w:w="1327" w:type="pct"/>
                  <w:gridSpan w:val="2"/>
                  <w:vAlign w:val="center"/>
                </w:tcPr>
                <w:p w14:paraId="18DF3468">
                  <w:pPr>
                    <w:jc w:val="center"/>
                    <w:outlineLvl w:val="1"/>
                    <w:rPr>
                      <w:b/>
                      <w:szCs w:val="21"/>
                      <w:lang w:val="zh-CN" w:bidi="ar"/>
                    </w:rPr>
                  </w:pPr>
                  <w:r>
                    <w:rPr>
                      <w:b/>
                      <w:szCs w:val="21"/>
                      <w:lang w:val="zh-CN"/>
                    </w:rPr>
                    <w:t>用水量</w:t>
                  </w:r>
                </w:p>
              </w:tc>
              <w:tc>
                <w:tcPr>
                  <w:tcW w:w="742" w:type="pct"/>
                  <w:vMerge w:val="restart"/>
                  <w:vAlign w:val="center"/>
                </w:tcPr>
                <w:p w14:paraId="45EA32F4">
                  <w:pPr>
                    <w:jc w:val="center"/>
                    <w:outlineLvl w:val="1"/>
                    <w:rPr>
                      <w:b/>
                      <w:szCs w:val="21"/>
                      <w:lang w:val="zh-CN"/>
                    </w:rPr>
                  </w:pPr>
                  <w:r>
                    <w:rPr>
                      <w:rFonts w:hint="eastAsia" w:ascii="宋体" w:hAnsi="宋体"/>
                      <w:b/>
                      <w:szCs w:val="21"/>
                    </w:rPr>
                    <w:t>排污系数</w:t>
                  </w:r>
                </w:p>
              </w:tc>
              <w:tc>
                <w:tcPr>
                  <w:tcW w:w="1354" w:type="pct"/>
                  <w:gridSpan w:val="2"/>
                  <w:vAlign w:val="center"/>
                </w:tcPr>
                <w:p w14:paraId="44B184D2">
                  <w:pPr>
                    <w:jc w:val="center"/>
                    <w:outlineLvl w:val="1"/>
                    <w:rPr>
                      <w:b/>
                      <w:szCs w:val="21"/>
                      <w:lang w:val="zh-CN"/>
                    </w:rPr>
                  </w:pPr>
                  <w:r>
                    <w:rPr>
                      <w:rFonts w:hint="eastAsia"/>
                      <w:b/>
                      <w:szCs w:val="21"/>
                    </w:rPr>
                    <w:t>排</w:t>
                  </w:r>
                  <w:r>
                    <w:rPr>
                      <w:b/>
                      <w:szCs w:val="21"/>
                      <w:lang w:val="zh-CN"/>
                    </w:rPr>
                    <w:t>水量</w:t>
                  </w:r>
                </w:p>
              </w:tc>
              <w:tc>
                <w:tcPr>
                  <w:tcW w:w="604" w:type="pct"/>
                  <w:vMerge w:val="restart"/>
                  <w:vAlign w:val="center"/>
                </w:tcPr>
                <w:p w14:paraId="69413F62">
                  <w:pPr>
                    <w:jc w:val="center"/>
                    <w:outlineLvl w:val="1"/>
                    <w:rPr>
                      <w:b/>
                      <w:szCs w:val="21"/>
                    </w:rPr>
                  </w:pPr>
                  <w:r>
                    <w:rPr>
                      <w:rFonts w:hint="eastAsia"/>
                      <w:b/>
                      <w:szCs w:val="21"/>
                    </w:rPr>
                    <w:t>排水去向</w:t>
                  </w:r>
                </w:p>
              </w:tc>
            </w:tr>
            <w:tr w14:paraId="4D11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vMerge w:val="continue"/>
                  <w:vAlign w:val="center"/>
                </w:tcPr>
                <w:p w14:paraId="5DB8BF9F">
                  <w:pPr>
                    <w:jc w:val="center"/>
                    <w:outlineLvl w:val="1"/>
                    <w:rPr>
                      <w:b/>
                      <w:szCs w:val="21"/>
                      <w:lang w:val="zh-CN"/>
                    </w:rPr>
                  </w:pPr>
                </w:p>
              </w:tc>
              <w:tc>
                <w:tcPr>
                  <w:tcW w:w="715" w:type="pct"/>
                  <w:vMerge w:val="continue"/>
                  <w:vAlign w:val="center"/>
                </w:tcPr>
                <w:p w14:paraId="139C3000">
                  <w:pPr>
                    <w:jc w:val="center"/>
                    <w:outlineLvl w:val="1"/>
                    <w:rPr>
                      <w:b/>
                      <w:szCs w:val="21"/>
                      <w:lang w:val="zh-CN"/>
                    </w:rPr>
                  </w:pPr>
                </w:p>
              </w:tc>
              <w:tc>
                <w:tcPr>
                  <w:tcW w:w="638" w:type="pct"/>
                  <w:vAlign w:val="center"/>
                </w:tcPr>
                <w:p w14:paraId="69EA1F6D">
                  <w:pPr>
                    <w:jc w:val="center"/>
                    <w:outlineLvl w:val="1"/>
                    <w:rPr>
                      <w:b/>
                      <w:szCs w:val="21"/>
                      <w:lang w:val="zh-CN"/>
                    </w:rPr>
                  </w:pPr>
                  <w:r>
                    <w:rPr>
                      <w:rFonts w:hint="eastAsia"/>
                      <w:b/>
                      <w:szCs w:val="21"/>
                      <w:lang w:val="zh-CN"/>
                    </w:rPr>
                    <w:t>(</w:t>
                  </w:r>
                  <w:r>
                    <w:rPr>
                      <w:b/>
                      <w:szCs w:val="21"/>
                    </w:rPr>
                    <w:t>m</w:t>
                  </w:r>
                  <w:r>
                    <w:rPr>
                      <w:b/>
                      <w:szCs w:val="21"/>
                      <w:vertAlign w:val="superscript"/>
                    </w:rPr>
                    <w:t>3</w:t>
                  </w:r>
                  <w:r>
                    <w:rPr>
                      <w:b/>
                      <w:szCs w:val="21"/>
                    </w:rPr>
                    <w:t>/d</w:t>
                  </w:r>
                  <w:r>
                    <w:rPr>
                      <w:rFonts w:hint="eastAsia"/>
                      <w:b/>
                      <w:szCs w:val="21"/>
                      <w:lang w:eastAsia="zh-CN"/>
                    </w:rPr>
                    <w:t>)</w:t>
                  </w:r>
                </w:p>
              </w:tc>
              <w:tc>
                <w:tcPr>
                  <w:tcW w:w="689" w:type="pct"/>
                  <w:vAlign w:val="center"/>
                </w:tcPr>
                <w:p w14:paraId="55C497FA">
                  <w:pPr>
                    <w:jc w:val="center"/>
                    <w:outlineLvl w:val="1"/>
                    <w:rPr>
                      <w:b/>
                      <w:szCs w:val="21"/>
                      <w:lang w:val="zh-CN" w:bidi="ar"/>
                    </w:rPr>
                  </w:pPr>
                  <w:r>
                    <w:rPr>
                      <w:rFonts w:hint="eastAsia"/>
                      <w:b/>
                      <w:szCs w:val="21"/>
                      <w:lang w:val="zh-CN"/>
                    </w:rPr>
                    <w:t>(</w:t>
                  </w:r>
                  <w:r>
                    <w:rPr>
                      <w:b/>
                      <w:szCs w:val="21"/>
                    </w:rPr>
                    <w:t>m</w:t>
                  </w:r>
                  <w:r>
                    <w:rPr>
                      <w:b/>
                      <w:szCs w:val="21"/>
                      <w:vertAlign w:val="superscript"/>
                    </w:rPr>
                    <w:t>3</w:t>
                  </w:r>
                  <w:r>
                    <w:rPr>
                      <w:b/>
                      <w:szCs w:val="21"/>
                    </w:rPr>
                    <w:t>/a</w:t>
                  </w:r>
                  <w:r>
                    <w:rPr>
                      <w:rFonts w:hint="eastAsia"/>
                      <w:b/>
                      <w:szCs w:val="21"/>
                      <w:lang w:eastAsia="zh-CN"/>
                    </w:rPr>
                    <w:t>)</w:t>
                  </w:r>
                </w:p>
              </w:tc>
              <w:tc>
                <w:tcPr>
                  <w:tcW w:w="742" w:type="pct"/>
                  <w:vMerge w:val="continue"/>
                  <w:vAlign w:val="center"/>
                </w:tcPr>
                <w:p w14:paraId="72072390">
                  <w:pPr>
                    <w:jc w:val="center"/>
                    <w:outlineLvl w:val="1"/>
                    <w:rPr>
                      <w:b/>
                      <w:szCs w:val="21"/>
                      <w:lang w:val="zh-CN"/>
                    </w:rPr>
                  </w:pPr>
                </w:p>
              </w:tc>
              <w:tc>
                <w:tcPr>
                  <w:tcW w:w="721" w:type="pct"/>
                  <w:vAlign w:val="center"/>
                </w:tcPr>
                <w:p w14:paraId="16EC5209">
                  <w:pPr>
                    <w:jc w:val="center"/>
                    <w:outlineLvl w:val="1"/>
                    <w:rPr>
                      <w:b/>
                      <w:szCs w:val="21"/>
                      <w:lang w:val="zh-CN"/>
                    </w:rPr>
                  </w:pPr>
                  <w:r>
                    <w:rPr>
                      <w:rFonts w:hint="eastAsia"/>
                      <w:b/>
                      <w:szCs w:val="21"/>
                      <w:lang w:val="zh-CN"/>
                    </w:rPr>
                    <w:t>(</w:t>
                  </w:r>
                  <w:r>
                    <w:rPr>
                      <w:b/>
                      <w:szCs w:val="21"/>
                    </w:rPr>
                    <w:t>m</w:t>
                  </w:r>
                  <w:r>
                    <w:rPr>
                      <w:b/>
                      <w:szCs w:val="21"/>
                      <w:vertAlign w:val="superscript"/>
                    </w:rPr>
                    <w:t>3</w:t>
                  </w:r>
                  <w:r>
                    <w:rPr>
                      <w:b/>
                      <w:szCs w:val="21"/>
                    </w:rPr>
                    <w:t>/d</w:t>
                  </w:r>
                  <w:r>
                    <w:rPr>
                      <w:rFonts w:hint="eastAsia"/>
                      <w:b/>
                      <w:szCs w:val="21"/>
                      <w:lang w:eastAsia="zh-CN"/>
                    </w:rPr>
                    <w:t>)</w:t>
                  </w:r>
                </w:p>
              </w:tc>
              <w:tc>
                <w:tcPr>
                  <w:tcW w:w="633" w:type="pct"/>
                  <w:vAlign w:val="center"/>
                </w:tcPr>
                <w:p w14:paraId="0313ED87">
                  <w:pPr>
                    <w:jc w:val="center"/>
                    <w:outlineLvl w:val="1"/>
                    <w:rPr>
                      <w:b/>
                      <w:szCs w:val="21"/>
                      <w:lang w:val="zh-CN"/>
                    </w:rPr>
                  </w:pPr>
                  <w:r>
                    <w:rPr>
                      <w:rFonts w:hint="eastAsia"/>
                      <w:b/>
                      <w:szCs w:val="21"/>
                      <w:lang w:val="zh-CN"/>
                    </w:rPr>
                    <w:t>(</w:t>
                  </w:r>
                  <w:r>
                    <w:rPr>
                      <w:b/>
                      <w:szCs w:val="21"/>
                    </w:rPr>
                    <w:t>m</w:t>
                  </w:r>
                  <w:r>
                    <w:rPr>
                      <w:b/>
                      <w:szCs w:val="21"/>
                      <w:vertAlign w:val="superscript"/>
                    </w:rPr>
                    <w:t>3</w:t>
                  </w:r>
                  <w:r>
                    <w:rPr>
                      <w:b/>
                      <w:szCs w:val="21"/>
                    </w:rPr>
                    <w:t>/a</w:t>
                  </w:r>
                  <w:r>
                    <w:rPr>
                      <w:rFonts w:hint="eastAsia"/>
                      <w:b/>
                      <w:szCs w:val="21"/>
                      <w:lang w:eastAsia="zh-CN"/>
                    </w:rPr>
                    <w:t>)</w:t>
                  </w:r>
                </w:p>
              </w:tc>
              <w:tc>
                <w:tcPr>
                  <w:tcW w:w="604" w:type="pct"/>
                  <w:vMerge w:val="continue"/>
                  <w:vAlign w:val="center"/>
                </w:tcPr>
                <w:p w14:paraId="2E8C07BF">
                  <w:pPr>
                    <w:jc w:val="center"/>
                    <w:outlineLvl w:val="1"/>
                    <w:rPr>
                      <w:b/>
                      <w:szCs w:val="21"/>
                      <w:lang w:val="zh-CN"/>
                    </w:rPr>
                  </w:pPr>
                </w:p>
              </w:tc>
            </w:tr>
            <w:tr w14:paraId="197B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vAlign w:val="center"/>
                </w:tcPr>
                <w:p w14:paraId="4361F9FA">
                  <w:pPr>
                    <w:jc w:val="center"/>
                    <w:outlineLvl w:val="1"/>
                    <w:rPr>
                      <w:b/>
                      <w:szCs w:val="21"/>
                    </w:rPr>
                  </w:pPr>
                  <w:r>
                    <w:rPr>
                      <w:rFonts w:hint="eastAsia"/>
                      <w:b/>
                      <w:szCs w:val="21"/>
                    </w:rPr>
                    <w:t>1</w:t>
                  </w:r>
                </w:p>
              </w:tc>
              <w:tc>
                <w:tcPr>
                  <w:tcW w:w="715" w:type="pct"/>
                  <w:vAlign w:val="center"/>
                </w:tcPr>
                <w:p w14:paraId="20BFB21B">
                  <w:pPr>
                    <w:widowControl/>
                    <w:jc w:val="center"/>
                    <w:textAlignment w:val="center"/>
                    <w:rPr>
                      <w:b/>
                      <w:szCs w:val="21"/>
                      <w:lang w:val="zh-CN"/>
                    </w:rPr>
                  </w:pPr>
                  <w:r>
                    <w:rPr>
                      <w:rFonts w:hint="eastAsia" w:ascii="宋体" w:hAnsi="宋体" w:cs="宋体"/>
                      <w:color w:val="000000"/>
                      <w:kern w:val="0"/>
                      <w:szCs w:val="21"/>
                      <w:lang w:bidi="ar"/>
                    </w:rPr>
                    <w:t>生活污水</w:t>
                  </w:r>
                </w:p>
              </w:tc>
              <w:tc>
                <w:tcPr>
                  <w:tcW w:w="1068" w:type="dxa"/>
                  <w:vAlign w:val="center"/>
                </w:tcPr>
                <w:p w14:paraId="752077D1">
                  <w:pPr>
                    <w:widowControl/>
                    <w:jc w:val="center"/>
                    <w:textAlignment w:val="center"/>
                    <w:rPr>
                      <w:b/>
                      <w:szCs w:val="21"/>
                    </w:rPr>
                  </w:pPr>
                  <w:r>
                    <w:rPr>
                      <w:color w:val="000000"/>
                      <w:kern w:val="0"/>
                      <w:szCs w:val="21"/>
                      <w:lang w:bidi="ar"/>
                    </w:rPr>
                    <w:t>0.6</w:t>
                  </w:r>
                </w:p>
              </w:tc>
              <w:tc>
                <w:tcPr>
                  <w:tcW w:w="1153" w:type="dxa"/>
                  <w:vAlign w:val="center"/>
                </w:tcPr>
                <w:p w14:paraId="79A18E19">
                  <w:pPr>
                    <w:widowControl/>
                    <w:jc w:val="center"/>
                    <w:textAlignment w:val="center"/>
                    <w:rPr>
                      <w:b/>
                      <w:szCs w:val="21"/>
                      <w:lang w:val="zh-CN"/>
                    </w:rPr>
                  </w:pPr>
                  <w:r>
                    <w:rPr>
                      <w:color w:val="000000"/>
                      <w:kern w:val="0"/>
                      <w:szCs w:val="21"/>
                      <w:lang w:bidi="ar"/>
                    </w:rPr>
                    <w:t>219</w:t>
                  </w:r>
                </w:p>
              </w:tc>
              <w:tc>
                <w:tcPr>
                  <w:tcW w:w="1242" w:type="dxa"/>
                  <w:vAlign w:val="center"/>
                </w:tcPr>
                <w:p w14:paraId="45D55AFB">
                  <w:pPr>
                    <w:widowControl/>
                    <w:jc w:val="center"/>
                    <w:textAlignment w:val="center"/>
                    <w:rPr>
                      <w:szCs w:val="21"/>
                    </w:rPr>
                  </w:pPr>
                  <w:r>
                    <w:rPr>
                      <w:color w:val="000000"/>
                      <w:kern w:val="0"/>
                      <w:szCs w:val="21"/>
                      <w:lang w:bidi="ar"/>
                    </w:rPr>
                    <w:t>0.85</w:t>
                  </w:r>
                </w:p>
              </w:tc>
              <w:tc>
                <w:tcPr>
                  <w:tcW w:w="1207" w:type="dxa"/>
                  <w:vAlign w:val="center"/>
                </w:tcPr>
                <w:p w14:paraId="25101971">
                  <w:pPr>
                    <w:widowControl/>
                    <w:jc w:val="center"/>
                    <w:textAlignment w:val="center"/>
                    <w:rPr>
                      <w:szCs w:val="21"/>
                    </w:rPr>
                  </w:pPr>
                  <w:r>
                    <w:rPr>
                      <w:color w:val="000000"/>
                      <w:kern w:val="0"/>
                      <w:szCs w:val="21"/>
                      <w:lang w:bidi="ar"/>
                    </w:rPr>
                    <w:t>0.51</w:t>
                  </w:r>
                </w:p>
              </w:tc>
              <w:tc>
                <w:tcPr>
                  <w:tcW w:w="1059" w:type="dxa"/>
                  <w:vAlign w:val="center"/>
                </w:tcPr>
                <w:p w14:paraId="75ACB7C0">
                  <w:pPr>
                    <w:widowControl/>
                    <w:jc w:val="center"/>
                    <w:textAlignment w:val="center"/>
                    <w:rPr>
                      <w:szCs w:val="21"/>
                    </w:rPr>
                  </w:pPr>
                  <w:r>
                    <w:rPr>
                      <w:color w:val="000000"/>
                      <w:kern w:val="0"/>
                      <w:szCs w:val="21"/>
                      <w:lang w:bidi="ar"/>
                    </w:rPr>
                    <w:t>186.15</w:t>
                  </w:r>
                </w:p>
              </w:tc>
              <w:tc>
                <w:tcPr>
                  <w:tcW w:w="604" w:type="pct"/>
                  <w:vAlign w:val="center"/>
                </w:tcPr>
                <w:p w14:paraId="7E122753">
                  <w:pPr>
                    <w:widowControl/>
                    <w:jc w:val="center"/>
                    <w:textAlignment w:val="center"/>
                    <w:rPr>
                      <w:b/>
                      <w:szCs w:val="21"/>
                    </w:rPr>
                  </w:pPr>
                  <w:r>
                    <w:rPr>
                      <w:rFonts w:hint="eastAsia" w:ascii="宋体" w:hAnsi="宋体" w:cs="宋体"/>
                      <w:kern w:val="0"/>
                      <w:szCs w:val="21"/>
                      <w:lang w:bidi="ar"/>
                    </w:rPr>
                    <w:t>经化粪池处理后排入达州市第二城市污水处理厂</w:t>
                  </w:r>
                </w:p>
              </w:tc>
            </w:tr>
            <w:tr w14:paraId="4D89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3" w:hRule="atLeast"/>
                <w:jc w:val="center"/>
              </w:trPr>
              <w:tc>
                <w:tcPr>
                  <w:tcW w:w="256" w:type="pct"/>
                  <w:shd w:val="clear" w:color="auto" w:fill="auto"/>
                  <w:vAlign w:val="center"/>
                </w:tcPr>
                <w:p w14:paraId="341B19CB">
                  <w:pPr>
                    <w:jc w:val="center"/>
                    <w:outlineLvl w:val="1"/>
                    <w:rPr>
                      <w:szCs w:val="21"/>
                    </w:rPr>
                  </w:pPr>
                  <w:r>
                    <w:rPr>
                      <w:szCs w:val="21"/>
                    </w:rPr>
                    <w:t>2</w:t>
                  </w:r>
                </w:p>
              </w:tc>
              <w:tc>
                <w:tcPr>
                  <w:tcW w:w="715" w:type="pct"/>
                  <w:vAlign w:val="center"/>
                </w:tcPr>
                <w:p w14:paraId="0EB944C9">
                  <w:pPr>
                    <w:widowControl/>
                    <w:jc w:val="center"/>
                    <w:textAlignment w:val="center"/>
                    <w:rPr>
                      <w:szCs w:val="21"/>
                    </w:rPr>
                  </w:pPr>
                  <w:r>
                    <w:rPr>
                      <w:color w:val="000000"/>
                      <w:kern w:val="0"/>
                      <w:szCs w:val="21"/>
                      <w:lang w:bidi="ar"/>
                    </w:rPr>
                    <w:t>转运车辆清洗用水</w:t>
                  </w:r>
                </w:p>
              </w:tc>
              <w:tc>
                <w:tcPr>
                  <w:tcW w:w="1068" w:type="dxa"/>
                  <w:shd w:val="clear" w:color="auto" w:fill="auto"/>
                  <w:vAlign w:val="center"/>
                </w:tcPr>
                <w:p w14:paraId="749083CC">
                  <w:pPr>
                    <w:widowControl/>
                    <w:jc w:val="center"/>
                    <w:textAlignment w:val="center"/>
                    <w:rPr>
                      <w:kern w:val="0"/>
                      <w:szCs w:val="21"/>
                      <w:lang w:bidi="ar"/>
                    </w:rPr>
                  </w:pPr>
                  <w:r>
                    <w:rPr>
                      <w:color w:val="000000"/>
                      <w:kern w:val="0"/>
                      <w:szCs w:val="21"/>
                      <w:lang w:bidi="ar"/>
                    </w:rPr>
                    <w:t>1.1</w:t>
                  </w:r>
                </w:p>
              </w:tc>
              <w:tc>
                <w:tcPr>
                  <w:tcW w:w="1153" w:type="dxa"/>
                  <w:shd w:val="clear" w:color="auto" w:fill="auto"/>
                  <w:vAlign w:val="center"/>
                </w:tcPr>
                <w:p w14:paraId="671D0C76">
                  <w:pPr>
                    <w:widowControl/>
                    <w:jc w:val="center"/>
                    <w:textAlignment w:val="center"/>
                    <w:rPr>
                      <w:kern w:val="0"/>
                      <w:szCs w:val="21"/>
                      <w:lang w:bidi="ar"/>
                    </w:rPr>
                  </w:pPr>
                  <w:r>
                    <w:rPr>
                      <w:color w:val="000000"/>
                      <w:kern w:val="0"/>
                      <w:szCs w:val="21"/>
                      <w:lang w:bidi="ar"/>
                    </w:rPr>
                    <w:t>401.5</w:t>
                  </w:r>
                </w:p>
              </w:tc>
              <w:tc>
                <w:tcPr>
                  <w:tcW w:w="1242" w:type="dxa"/>
                  <w:vAlign w:val="center"/>
                </w:tcPr>
                <w:p w14:paraId="607405AC">
                  <w:pPr>
                    <w:widowControl/>
                    <w:jc w:val="center"/>
                    <w:textAlignment w:val="center"/>
                    <w:rPr>
                      <w:kern w:val="0"/>
                      <w:szCs w:val="21"/>
                      <w:lang w:bidi="ar"/>
                    </w:rPr>
                  </w:pPr>
                  <w:r>
                    <w:rPr>
                      <w:color w:val="000000"/>
                      <w:kern w:val="0"/>
                      <w:szCs w:val="21"/>
                      <w:lang w:bidi="ar"/>
                    </w:rPr>
                    <w:t>0.85</w:t>
                  </w:r>
                </w:p>
              </w:tc>
              <w:tc>
                <w:tcPr>
                  <w:tcW w:w="1207" w:type="dxa"/>
                  <w:vAlign w:val="center"/>
                </w:tcPr>
                <w:p w14:paraId="5E0A8C85">
                  <w:pPr>
                    <w:widowControl/>
                    <w:jc w:val="center"/>
                    <w:textAlignment w:val="center"/>
                    <w:rPr>
                      <w:kern w:val="0"/>
                      <w:szCs w:val="21"/>
                      <w:lang w:bidi="ar"/>
                    </w:rPr>
                  </w:pPr>
                  <w:r>
                    <w:rPr>
                      <w:color w:val="000000"/>
                      <w:kern w:val="0"/>
                      <w:szCs w:val="21"/>
                      <w:lang w:bidi="ar"/>
                    </w:rPr>
                    <w:t>0.935</w:t>
                  </w:r>
                </w:p>
              </w:tc>
              <w:tc>
                <w:tcPr>
                  <w:tcW w:w="1059" w:type="dxa"/>
                  <w:vAlign w:val="center"/>
                </w:tcPr>
                <w:p w14:paraId="55BDBFE1">
                  <w:pPr>
                    <w:widowControl/>
                    <w:jc w:val="center"/>
                    <w:textAlignment w:val="center"/>
                    <w:rPr>
                      <w:kern w:val="0"/>
                      <w:szCs w:val="21"/>
                      <w:lang w:bidi="ar"/>
                    </w:rPr>
                  </w:pPr>
                  <w:r>
                    <w:rPr>
                      <w:color w:val="000000"/>
                      <w:kern w:val="0"/>
                      <w:szCs w:val="21"/>
                      <w:lang w:bidi="ar"/>
                    </w:rPr>
                    <w:t xml:space="preserve">341.28 </w:t>
                  </w:r>
                </w:p>
              </w:tc>
              <w:tc>
                <w:tcPr>
                  <w:tcW w:w="604" w:type="pct"/>
                  <w:vMerge w:val="restart"/>
                  <w:vAlign w:val="center"/>
                </w:tcPr>
                <w:p w14:paraId="6B76F45A">
                  <w:pPr>
                    <w:widowControl/>
                    <w:jc w:val="center"/>
                    <w:textAlignment w:val="center"/>
                    <w:rPr>
                      <w:rFonts w:hint="eastAsia" w:ascii="宋体" w:hAnsi="宋体" w:cs="宋体"/>
                      <w:kern w:val="0"/>
                      <w:szCs w:val="21"/>
                      <w:lang w:bidi="ar"/>
                    </w:rPr>
                  </w:pPr>
                  <w:r>
                    <w:rPr>
                      <w:kern w:val="0"/>
                      <w:szCs w:val="21"/>
                      <w:lang w:bidi="ar"/>
                    </w:rPr>
                    <w:t>经渗滤液处理系统处理后排入达州市第二城市污水处理厂</w:t>
                  </w:r>
                </w:p>
              </w:tc>
            </w:tr>
            <w:tr w14:paraId="0138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3" w:hRule="atLeast"/>
                <w:jc w:val="center"/>
              </w:trPr>
              <w:tc>
                <w:tcPr>
                  <w:tcW w:w="256" w:type="pct"/>
                  <w:shd w:val="clear" w:color="auto" w:fill="auto"/>
                  <w:vAlign w:val="center"/>
                </w:tcPr>
                <w:p w14:paraId="1C649B7B">
                  <w:pPr>
                    <w:jc w:val="center"/>
                    <w:outlineLvl w:val="1"/>
                    <w:rPr>
                      <w:szCs w:val="21"/>
                    </w:rPr>
                  </w:pPr>
                  <w:r>
                    <w:rPr>
                      <w:szCs w:val="21"/>
                    </w:rPr>
                    <w:t>3</w:t>
                  </w:r>
                </w:p>
              </w:tc>
              <w:tc>
                <w:tcPr>
                  <w:tcW w:w="715" w:type="pct"/>
                  <w:vAlign w:val="center"/>
                </w:tcPr>
                <w:p w14:paraId="5AAD91C0">
                  <w:pPr>
                    <w:widowControl/>
                    <w:jc w:val="center"/>
                    <w:textAlignment w:val="center"/>
                    <w:rPr>
                      <w:szCs w:val="21"/>
                    </w:rPr>
                  </w:pPr>
                  <w:r>
                    <w:rPr>
                      <w:color w:val="000000"/>
                      <w:kern w:val="0"/>
                      <w:szCs w:val="21"/>
                      <w:lang w:bidi="ar"/>
                    </w:rPr>
                    <w:t>移动压缩箱清洗用水</w:t>
                  </w:r>
                </w:p>
              </w:tc>
              <w:tc>
                <w:tcPr>
                  <w:tcW w:w="1068" w:type="dxa"/>
                  <w:shd w:val="clear" w:color="auto" w:fill="auto"/>
                  <w:vAlign w:val="center"/>
                </w:tcPr>
                <w:p w14:paraId="4FBD6B4F">
                  <w:pPr>
                    <w:widowControl/>
                    <w:jc w:val="center"/>
                    <w:textAlignment w:val="center"/>
                    <w:rPr>
                      <w:szCs w:val="21"/>
                    </w:rPr>
                  </w:pPr>
                  <w:r>
                    <w:rPr>
                      <w:color w:val="000000"/>
                      <w:kern w:val="0"/>
                      <w:szCs w:val="21"/>
                      <w:lang w:bidi="ar"/>
                    </w:rPr>
                    <w:t>0.3</w:t>
                  </w:r>
                </w:p>
              </w:tc>
              <w:tc>
                <w:tcPr>
                  <w:tcW w:w="1153" w:type="dxa"/>
                  <w:shd w:val="clear" w:color="auto" w:fill="auto"/>
                  <w:vAlign w:val="center"/>
                </w:tcPr>
                <w:p w14:paraId="30CA9981">
                  <w:pPr>
                    <w:widowControl/>
                    <w:jc w:val="center"/>
                    <w:textAlignment w:val="center"/>
                    <w:rPr>
                      <w:szCs w:val="21"/>
                    </w:rPr>
                  </w:pPr>
                  <w:r>
                    <w:rPr>
                      <w:color w:val="000000"/>
                      <w:kern w:val="0"/>
                      <w:szCs w:val="21"/>
                      <w:lang w:bidi="ar"/>
                    </w:rPr>
                    <w:t>109.5</w:t>
                  </w:r>
                </w:p>
              </w:tc>
              <w:tc>
                <w:tcPr>
                  <w:tcW w:w="1242" w:type="dxa"/>
                  <w:vAlign w:val="center"/>
                </w:tcPr>
                <w:p w14:paraId="676FC19A">
                  <w:pPr>
                    <w:widowControl/>
                    <w:jc w:val="center"/>
                    <w:textAlignment w:val="center"/>
                    <w:rPr>
                      <w:szCs w:val="21"/>
                    </w:rPr>
                  </w:pPr>
                  <w:r>
                    <w:rPr>
                      <w:color w:val="000000"/>
                      <w:kern w:val="0"/>
                      <w:szCs w:val="21"/>
                      <w:lang w:bidi="ar"/>
                    </w:rPr>
                    <w:t>0.85</w:t>
                  </w:r>
                </w:p>
              </w:tc>
              <w:tc>
                <w:tcPr>
                  <w:tcW w:w="1207" w:type="dxa"/>
                  <w:vAlign w:val="center"/>
                </w:tcPr>
                <w:p w14:paraId="456325AF">
                  <w:pPr>
                    <w:widowControl/>
                    <w:jc w:val="center"/>
                    <w:textAlignment w:val="center"/>
                    <w:rPr>
                      <w:szCs w:val="21"/>
                    </w:rPr>
                  </w:pPr>
                  <w:r>
                    <w:rPr>
                      <w:color w:val="000000"/>
                      <w:kern w:val="0"/>
                      <w:szCs w:val="21"/>
                      <w:lang w:bidi="ar"/>
                    </w:rPr>
                    <w:t>0.255</w:t>
                  </w:r>
                </w:p>
              </w:tc>
              <w:tc>
                <w:tcPr>
                  <w:tcW w:w="1059" w:type="dxa"/>
                  <w:vAlign w:val="center"/>
                </w:tcPr>
                <w:p w14:paraId="07A98444">
                  <w:pPr>
                    <w:widowControl/>
                    <w:jc w:val="center"/>
                    <w:textAlignment w:val="center"/>
                    <w:rPr>
                      <w:szCs w:val="21"/>
                    </w:rPr>
                  </w:pPr>
                  <w:r>
                    <w:rPr>
                      <w:color w:val="000000"/>
                      <w:kern w:val="0"/>
                      <w:szCs w:val="21"/>
                      <w:lang w:bidi="ar"/>
                    </w:rPr>
                    <w:t>93.075</w:t>
                  </w:r>
                </w:p>
              </w:tc>
              <w:tc>
                <w:tcPr>
                  <w:tcW w:w="604" w:type="pct"/>
                  <w:vMerge w:val="continue"/>
                  <w:vAlign w:val="center"/>
                </w:tcPr>
                <w:p w14:paraId="0D43E871">
                  <w:pPr>
                    <w:jc w:val="center"/>
                    <w:rPr>
                      <w:szCs w:val="21"/>
                    </w:rPr>
                  </w:pPr>
                </w:p>
              </w:tc>
            </w:tr>
            <w:tr w14:paraId="3B95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shd w:val="clear" w:color="auto" w:fill="auto"/>
                  <w:vAlign w:val="center"/>
                </w:tcPr>
                <w:p w14:paraId="00B50145">
                  <w:pPr>
                    <w:jc w:val="center"/>
                    <w:outlineLvl w:val="1"/>
                    <w:rPr>
                      <w:szCs w:val="21"/>
                    </w:rPr>
                  </w:pPr>
                  <w:r>
                    <w:rPr>
                      <w:szCs w:val="21"/>
                    </w:rPr>
                    <w:t>4</w:t>
                  </w:r>
                </w:p>
              </w:tc>
              <w:tc>
                <w:tcPr>
                  <w:tcW w:w="715" w:type="pct"/>
                  <w:vAlign w:val="center"/>
                </w:tcPr>
                <w:p w14:paraId="3AFE6080">
                  <w:pPr>
                    <w:widowControl/>
                    <w:jc w:val="center"/>
                    <w:textAlignment w:val="center"/>
                    <w:rPr>
                      <w:szCs w:val="21"/>
                    </w:rPr>
                  </w:pPr>
                  <w:r>
                    <w:rPr>
                      <w:color w:val="000000"/>
                      <w:kern w:val="0"/>
                      <w:szCs w:val="21"/>
                      <w:lang w:bidi="ar"/>
                    </w:rPr>
                    <w:t>车间内地面清洗用水</w:t>
                  </w:r>
                </w:p>
              </w:tc>
              <w:tc>
                <w:tcPr>
                  <w:tcW w:w="1068" w:type="dxa"/>
                  <w:shd w:val="clear" w:color="auto" w:fill="auto"/>
                  <w:vAlign w:val="center"/>
                </w:tcPr>
                <w:p w14:paraId="4BC8E8D3">
                  <w:pPr>
                    <w:widowControl/>
                    <w:jc w:val="center"/>
                    <w:textAlignment w:val="center"/>
                    <w:rPr>
                      <w:szCs w:val="21"/>
                    </w:rPr>
                  </w:pPr>
                  <w:r>
                    <w:rPr>
                      <w:color w:val="000000"/>
                      <w:kern w:val="0"/>
                      <w:szCs w:val="21"/>
                      <w:lang w:bidi="ar"/>
                    </w:rPr>
                    <w:t>1.17</w:t>
                  </w:r>
                </w:p>
              </w:tc>
              <w:tc>
                <w:tcPr>
                  <w:tcW w:w="1153" w:type="dxa"/>
                  <w:shd w:val="clear" w:color="auto" w:fill="auto"/>
                  <w:vAlign w:val="center"/>
                </w:tcPr>
                <w:p w14:paraId="7598BB78">
                  <w:pPr>
                    <w:widowControl/>
                    <w:jc w:val="center"/>
                    <w:textAlignment w:val="center"/>
                    <w:rPr>
                      <w:szCs w:val="21"/>
                    </w:rPr>
                  </w:pPr>
                  <w:r>
                    <w:rPr>
                      <w:color w:val="000000"/>
                      <w:kern w:val="0"/>
                      <w:szCs w:val="21"/>
                      <w:lang w:bidi="ar"/>
                    </w:rPr>
                    <w:t>427.05</w:t>
                  </w:r>
                </w:p>
              </w:tc>
              <w:tc>
                <w:tcPr>
                  <w:tcW w:w="1242" w:type="dxa"/>
                  <w:vAlign w:val="center"/>
                </w:tcPr>
                <w:p w14:paraId="7F5CDC1B">
                  <w:pPr>
                    <w:widowControl/>
                    <w:jc w:val="center"/>
                    <w:textAlignment w:val="center"/>
                    <w:rPr>
                      <w:szCs w:val="21"/>
                    </w:rPr>
                  </w:pPr>
                  <w:r>
                    <w:rPr>
                      <w:color w:val="000000"/>
                      <w:kern w:val="0"/>
                      <w:szCs w:val="21"/>
                      <w:lang w:bidi="ar"/>
                    </w:rPr>
                    <w:t>0.85</w:t>
                  </w:r>
                </w:p>
              </w:tc>
              <w:tc>
                <w:tcPr>
                  <w:tcW w:w="1207" w:type="dxa"/>
                  <w:vAlign w:val="center"/>
                </w:tcPr>
                <w:p w14:paraId="2874FF35">
                  <w:pPr>
                    <w:widowControl/>
                    <w:jc w:val="center"/>
                    <w:textAlignment w:val="center"/>
                    <w:rPr>
                      <w:szCs w:val="21"/>
                    </w:rPr>
                  </w:pPr>
                  <w:r>
                    <w:rPr>
                      <w:color w:val="000000"/>
                      <w:kern w:val="0"/>
                      <w:szCs w:val="21"/>
                      <w:lang w:bidi="ar"/>
                    </w:rPr>
                    <w:t xml:space="preserve">0.99 </w:t>
                  </w:r>
                </w:p>
              </w:tc>
              <w:tc>
                <w:tcPr>
                  <w:tcW w:w="1059" w:type="dxa"/>
                  <w:vAlign w:val="center"/>
                </w:tcPr>
                <w:p w14:paraId="2B6F506C">
                  <w:pPr>
                    <w:widowControl/>
                    <w:jc w:val="center"/>
                    <w:textAlignment w:val="center"/>
                    <w:rPr>
                      <w:szCs w:val="21"/>
                      <w:lang w:val="zh-CN"/>
                    </w:rPr>
                  </w:pPr>
                  <w:r>
                    <w:rPr>
                      <w:color w:val="000000"/>
                      <w:kern w:val="0"/>
                      <w:szCs w:val="21"/>
                      <w:lang w:bidi="ar"/>
                    </w:rPr>
                    <w:t xml:space="preserve">362.99 </w:t>
                  </w:r>
                </w:p>
              </w:tc>
              <w:tc>
                <w:tcPr>
                  <w:tcW w:w="604" w:type="pct"/>
                  <w:vMerge w:val="continue"/>
                  <w:vAlign w:val="center"/>
                </w:tcPr>
                <w:p w14:paraId="686D139A">
                  <w:pPr>
                    <w:jc w:val="center"/>
                    <w:rPr>
                      <w:szCs w:val="21"/>
                      <w:lang w:val="zh-CN"/>
                    </w:rPr>
                  </w:pPr>
                </w:p>
              </w:tc>
            </w:tr>
            <w:tr w14:paraId="4FF1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shd w:val="clear" w:color="auto" w:fill="auto"/>
                  <w:vAlign w:val="center"/>
                </w:tcPr>
                <w:p w14:paraId="011911C7">
                  <w:pPr>
                    <w:jc w:val="center"/>
                    <w:outlineLvl w:val="1"/>
                    <w:rPr>
                      <w:szCs w:val="21"/>
                    </w:rPr>
                  </w:pPr>
                  <w:r>
                    <w:rPr>
                      <w:rFonts w:hint="eastAsia"/>
                      <w:szCs w:val="21"/>
                    </w:rPr>
                    <w:t>5</w:t>
                  </w:r>
                </w:p>
              </w:tc>
              <w:tc>
                <w:tcPr>
                  <w:tcW w:w="715" w:type="pct"/>
                  <w:vAlign w:val="center"/>
                </w:tcPr>
                <w:p w14:paraId="39CBB22C">
                  <w:pPr>
                    <w:widowControl/>
                    <w:jc w:val="center"/>
                    <w:textAlignment w:val="center"/>
                    <w:rPr>
                      <w:szCs w:val="21"/>
                    </w:rPr>
                  </w:pPr>
                  <w:r>
                    <w:rPr>
                      <w:rFonts w:hint="eastAsia"/>
                      <w:szCs w:val="21"/>
                    </w:rPr>
                    <w:t>生产管理用房等地面清洁用水</w:t>
                  </w:r>
                </w:p>
              </w:tc>
              <w:tc>
                <w:tcPr>
                  <w:tcW w:w="1068" w:type="dxa"/>
                  <w:shd w:val="clear" w:color="auto" w:fill="auto"/>
                  <w:vAlign w:val="center"/>
                </w:tcPr>
                <w:p w14:paraId="567F0246">
                  <w:pPr>
                    <w:widowControl/>
                    <w:jc w:val="center"/>
                    <w:textAlignment w:val="center"/>
                    <w:rPr>
                      <w:szCs w:val="21"/>
                      <w:lang w:bidi="ar"/>
                    </w:rPr>
                  </w:pPr>
                  <w:r>
                    <w:rPr>
                      <w:color w:val="000000"/>
                      <w:kern w:val="0"/>
                      <w:szCs w:val="21"/>
                      <w:lang w:bidi="ar"/>
                    </w:rPr>
                    <w:t>0.18</w:t>
                  </w:r>
                </w:p>
              </w:tc>
              <w:tc>
                <w:tcPr>
                  <w:tcW w:w="1153" w:type="dxa"/>
                  <w:shd w:val="clear" w:color="auto" w:fill="auto"/>
                  <w:vAlign w:val="center"/>
                </w:tcPr>
                <w:p w14:paraId="618716E3">
                  <w:pPr>
                    <w:widowControl/>
                    <w:jc w:val="center"/>
                    <w:textAlignment w:val="center"/>
                    <w:rPr>
                      <w:szCs w:val="21"/>
                    </w:rPr>
                  </w:pPr>
                  <w:r>
                    <w:rPr>
                      <w:rFonts w:hint="eastAsia"/>
                      <w:color w:val="000000"/>
                      <w:kern w:val="0"/>
                      <w:szCs w:val="21"/>
                      <w:lang w:bidi="ar"/>
                    </w:rPr>
                    <w:t>9.36</w:t>
                  </w:r>
                </w:p>
              </w:tc>
              <w:tc>
                <w:tcPr>
                  <w:tcW w:w="1242" w:type="dxa"/>
                  <w:vAlign w:val="center"/>
                </w:tcPr>
                <w:p w14:paraId="1685EC0B">
                  <w:pPr>
                    <w:widowControl/>
                    <w:jc w:val="center"/>
                    <w:textAlignment w:val="center"/>
                    <w:rPr>
                      <w:szCs w:val="21"/>
                      <w:lang w:bidi="ar"/>
                    </w:rPr>
                  </w:pPr>
                  <w:r>
                    <w:rPr>
                      <w:color w:val="000000"/>
                      <w:kern w:val="0"/>
                      <w:szCs w:val="21"/>
                      <w:lang w:bidi="ar"/>
                    </w:rPr>
                    <w:t>0.85</w:t>
                  </w:r>
                </w:p>
              </w:tc>
              <w:tc>
                <w:tcPr>
                  <w:tcW w:w="1207" w:type="dxa"/>
                  <w:vAlign w:val="center"/>
                </w:tcPr>
                <w:p w14:paraId="2ABD12DA">
                  <w:pPr>
                    <w:widowControl/>
                    <w:jc w:val="center"/>
                    <w:textAlignment w:val="center"/>
                    <w:rPr>
                      <w:szCs w:val="21"/>
                    </w:rPr>
                  </w:pPr>
                  <w:r>
                    <w:rPr>
                      <w:color w:val="000000"/>
                      <w:kern w:val="0"/>
                      <w:szCs w:val="21"/>
                      <w:lang w:bidi="ar"/>
                    </w:rPr>
                    <w:t>0.153</w:t>
                  </w:r>
                </w:p>
              </w:tc>
              <w:tc>
                <w:tcPr>
                  <w:tcW w:w="1059" w:type="dxa"/>
                  <w:vAlign w:val="center"/>
                </w:tcPr>
                <w:p w14:paraId="3288F928">
                  <w:pPr>
                    <w:widowControl/>
                    <w:jc w:val="center"/>
                    <w:textAlignment w:val="center"/>
                    <w:rPr>
                      <w:szCs w:val="21"/>
                    </w:rPr>
                  </w:pPr>
                  <w:r>
                    <w:rPr>
                      <w:rFonts w:hint="eastAsia"/>
                      <w:color w:val="000000"/>
                      <w:kern w:val="0"/>
                      <w:szCs w:val="21"/>
                      <w:lang w:bidi="ar"/>
                    </w:rPr>
                    <w:t>7.96</w:t>
                  </w:r>
                </w:p>
              </w:tc>
              <w:tc>
                <w:tcPr>
                  <w:tcW w:w="604" w:type="pct"/>
                  <w:vAlign w:val="center"/>
                </w:tcPr>
                <w:p w14:paraId="4BCB43B4">
                  <w:pPr>
                    <w:jc w:val="center"/>
                    <w:rPr>
                      <w:szCs w:val="21"/>
                      <w:lang w:val="zh-CN"/>
                    </w:rPr>
                  </w:pPr>
                  <w:r>
                    <w:rPr>
                      <w:rFonts w:hint="eastAsia" w:ascii="宋体" w:hAnsi="宋体" w:cs="宋体"/>
                      <w:kern w:val="0"/>
                      <w:szCs w:val="21"/>
                      <w:lang w:bidi="ar"/>
                    </w:rPr>
                    <w:t>经化粪池处理后排入达州市第二城市污水处理厂</w:t>
                  </w:r>
                </w:p>
              </w:tc>
            </w:tr>
            <w:tr w14:paraId="0114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shd w:val="clear" w:color="auto" w:fill="auto"/>
                  <w:vAlign w:val="center"/>
                </w:tcPr>
                <w:p w14:paraId="73F91391">
                  <w:pPr>
                    <w:jc w:val="center"/>
                    <w:outlineLvl w:val="1"/>
                    <w:rPr>
                      <w:szCs w:val="21"/>
                    </w:rPr>
                  </w:pPr>
                  <w:r>
                    <w:rPr>
                      <w:rFonts w:hint="eastAsia"/>
                      <w:szCs w:val="21"/>
                    </w:rPr>
                    <w:t>6</w:t>
                  </w:r>
                </w:p>
              </w:tc>
              <w:tc>
                <w:tcPr>
                  <w:tcW w:w="715" w:type="pct"/>
                  <w:vAlign w:val="center"/>
                </w:tcPr>
                <w:p w14:paraId="35708C4D">
                  <w:pPr>
                    <w:widowControl/>
                    <w:jc w:val="center"/>
                    <w:textAlignment w:val="center"/>
                    <w:rPr>
                      <w:szCs w:val="21"/>
                    </w:rPr>
                  </w:pPr>
                  <w:r>
                    <w:rPr>
                      <w:rFonts w:hint="eastAsia"/>
                      <w:color w:val="000000"/>
                      <w:kern w:val="0"/>
                      <w:sz w:val="22"/>
                      <w:szCs w:val="22"/>
                      <w:lang w:bidi="ar"/>
                    </w:rPr>
                    <w:t>喷雾除臭系统用水</w:t>
                  </w:r>
                </w:p>
              </w:tc>
              <w:tc>
                <w:tcPr>
                  <w:tcW w:w="1068" w:type="dxa"/>
                  <w:shd w:val="clear" w:color="auto" w:fill="auto"/>
                  <w:vAlign w:val="center"/>
                </w:tcPr>
                <w:p w14:paraId="39C32BBB">
                  <w:pPr>
                    <w:widowControl/>
                    <w:jc w:val="center"/>
                    <w:textAlignment w:val="center"/>
                    <w:rPr>
                      <w:szCs w:val="21"/>
                      <w:lang w:bidi="ar"/>
                    </w:rPr>
                  </w:pPr>
                  <w:r>
                    <w:rPr>
                      <w:color w:val="000000"/>
                      <w:kern w:val="0"/>
                      <w:szCs w:val="21"/>
                      <w:lang w:bidi="ar"/>
                    </w:rPr>
                    <w:t>0.19</w:t>
                  </w:r>
                </w:p>
              </w:tc>
              <w:tc>
                <w:tcPr>
                  <w:tcW w:w="1153" w:type="dxa"/>
                  <w:shd w:val="clear" w:color="auto" w:fill="auto"/>
                  <w:vAlign w:val="center"/>
                </w:tcPr>
                <w:p w14:paraId="0F7182E6">
                  <w:pPr>
                    <w:widowControl/>
                    <w:jc w:val="center"/>
                    <w:textAlignment w:val="center"/>
                    <w:rPr>
                      <w:szCs w:val="21"/>
                    </w:rPr>
                  </w:pPr>
                  <w:r>
                    <w:rPr>
                      <w:color w:val="000000"/>
                      <w:kern w:val="0"/>
                      <w:szCs w:val="21"/>
                      <w:lang w:bidi="ar"/>
                    </w:rPr>
                    <w:t>69.39</w:t>
                  </w:r>
                </w:p>
              </w:tc>
              <w:tc>
                <w:tcPr>
                  <w:tcW w:w="1242" w:type="dxa"/>
                  <w:vAlign w:val="center"/>
                </w:tcPr>
                <w:p w14:paraId="10B75C7E">
                  <w:pPr>
                    <w:widowControl/>
                    <w:jc w:val="center"/>
                    <w:textAlignment w:val="center"/>
                    <w:rPr>
                      <w:szCs w:val="21"/>
                      <w:lang w:bidi="ar"/>
                    </w:rPr>
                  </w:pPr>
                  <w:r>
                    <w:rPr>
                      <w:color w:val="000000"/>
                      <w:kern w:val="0"/>
                      <w:szCs w:val="21"/>
                      <w:lang w:bidi="ar"/>
                    </w:rPr>
                    <w:t>/</w:t>
                  </w:r>
                </w:p>
              </w:tc>
              <w:tc>
                <w:tcPr>
                  <w:tcW w:w="1207" w:type="dxa"/>
                  <w:vAlign w:val="center"/>
                </w:tcPr>
                <w:p w14:paraId="65640452">
                  <w:pPr>
                    <w:widowControl/>
                    <w:jc w:val="center"/>
                    <w:textAlignment w:val="center"/>
                    <w:rPr>
                      <w:szCs w:val="21"/>
                    </w:rPr>
                  </w:pPr>
                  <w:r>
                    <w:rPr>
                      <w:color w:val="000000"/>
                      <w:kern w:val="0"/>
                      <w:szCs w:val="21"/>
                      <w:lang w:bidi="ar"/>
                    </w:rPr>
                    <w:t>/</w:t>
                  </w:r>
                </w:p>
              </w:tc>
              <w:tc>
                <w:tcPr>
                  <w:tcW w:w="1059" w:type="dxa"/>
                  <w:vAlign w:val="center"/>
                </w:tcPr>
                <w:p w14:paraId="4906A09F">
                  <w:pPr>
                    <w:widowControl/>
                    <w:jc w:val="center"/>
                    <w:textAlignment w:val="center"/>
                    <w:rPr>
                      <w:szCs w:val="21"/>
                      <w:lang w:val="zh-CN"/>
                    </w:rPr>
                  </w:pPr>
                  <w:r>
                    <w:rPr>
                      <w:color w:val="000000"/>
                      <w:kern w:val="0"/>
                      <w:szCs w:val="21"/>
                      <w:lang w:bidi="ar"/>
                    </w:rPr>
                    <w:t>/</w:t>
                  </w:r>
                </w:p>
              </w:tc>
              <w:tc>
                <w:tcPr>
                  <w:tcW w:w="604" w:type="pct"/>
                  <w:vAlign w:val="center"/>
                </w:tcPr>
                <w:p w14:paraId="1E4CBDA5">
                  <w:pPr>
                    <w:jc w:val="center"/>
                    <w:rPr>
                      <w:szCs w:val="21"/>
                      <w:lang w:val="zh-CN"/>
                    </w:rPr>
                  </w:pPr>
                  <w:r>
                    <w:rPr>
                      <w:kern w:val="0"/>
                      <w:szCs w:val="21"/>
                      <w:lang w:bidi="ar"/>
                    </w:rPr>
                    <w:t>蒸发</w:t>
                  </w:r>
                </w:p>
              </w:tc>
            </w:tr>
            <w:tr w14:paraId="3426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shd w:val="clear" w:color="auto" w:fill="auto"/>
                  <w:vAlign w:val="center"/>
                </w:tcPr>
                <w:p w14:paraId="7B3C9213">
                  <w:pPr>
                    <w:jc w:val="center"/>
                    <w:outlineLvl w:val="1"/>
                    <w:rPr>
                      <w:szCs w:val="21"/>
                    </w:rPr>
                  </w:pPr>
                  <w:r>
                    <w:rPr>
                      <w:rFonts w:hint="eastAsia"/>
                      <w:szCs w:val="21"/>
                    </w:rPr>
                    <w:t>7</w:t>
                  </w:r>
                </w:p>
              </w:tc>
              <w:tc>
                <w:tcPr>
                  <w:tcW w:w="715" w:type="pct"/>
                  <w:vAlign w:val="center"/>
                </w:tcPr>
                <w:p w14:paraId="5DBCD46B">
                  <w:pPr>
                    <w:widowControl/>
                    <w:jc w:val="center"/>
                    <w:textAlignment w:val="center"/>
                    <w:rPr>
                      <w:color w:val="000000"/>
                      <w:kern w:val="0"/>
                      <w:sz w:val="22"/>
                      <w:szCs w:val="22"/>
                      <w:lang w:bidi="ar"/>
                    </w:rPr>
                  </w:pPr>
                  <w:r>
                    <w:rPr>
                      <w:rFonts w:hint="eastAsia"/>
                      <w:color w:val="000000"/>
                      <w:kern w:val="0"/>
                      <w:sz w:val="22"/>
                      <w:szCs w:val="22"/>
                      <w:lang w:bidi="ar"/>
                    </w:rPr>
                    <w:t>负压除臭除尘系统用水</w:t>
                  </w:r>
                </w:p>
              </w:tc>
              <w:tc>
                <w:tcPr>
                  <w:tcW w:w="638" w:type="pct"/>
                  <w:shd w:val="clear" w:color="auto" w:fill="auto"/>
                  <w:vAlign w:val="center"/>
                </w:tcPr>
                <w:p w14:paraId="302DF972">
                  <w:pPr>
                    <w:widowControl/>
                    <w:jc w:val="center"/>
                    <w:textAlignment w:val="center"/>
                    <w:rPr>
                      <w:szCs w:val="21"/>
                      <w:lang w:bidi="ar"/>
                    </w:rPr>
                  </w:pPr>
                  <w:r>
                    <w:rPr>
                      <w:rFonts w:hint="eastAsia"/>
                      <w:szCs w:val="21"/>
                      <w:lang w:bidi="ar"/>
                    </w:rPr>
                    <w:t>2.85（</w:t>
                  </w:r>
                  <w:r>
                    <w:rPr>
                      <w:color w:val="000000"/>
                      <w:kern w:val="0"/>
                      <w:szCs w:val="21"/>
                      <w:lang w:bidi="ar"/>
                    </w:rPr>
                    <w:t>最大日用水量</w:t>
                  </w:r>
                  <w:r>
                    <w:rPr>
                      <w:rFonts w:hint="eastAsia"/>
                      <w:color w:val="000000"/>
                      <w:kern w:val="0"/>
                      <w:szCs w:val="21"/>
                      <w:lang w:bidi="ar"/>
                    </w:rPr>
                    <w:t>2.929</w:t>
                  </w:r>
                  <w:r>
                    <w:rPr>
                      <w:rFonts w:hint="eastAsia"/>
                      <w:szCs w:val="21"/>
                      <w:lang w:bidi="ar"/>
                    </w:rPr>
                    <w:t>）</w:t>
                  </w:r>
                </w:p>
              </w:tc>
              <w:tc>
                <w:tcPr>
                  <w:tcW w:w="689" w:type="pct"/>
                  <w:shd w:val="clear" w:color="auto" w:fill="auto"/>
                  <w:vAlign w:val="center"/>
                </w:tcPr>
                <w:p w14:paraId="6EC74574">
                  <w:pPr>
                    <w:widowControl/>
                    <w:jc w:val="center"/>
                    <w:textAlignment w:val="center"/>
                    <w:rPr>
                      <w:szCs w:val="21"/>
                    </w:rPr>
                  </w:pPr>
                  <w:r>
                    <w:rPr>
                      <w:rFonts w:hint="eastAsia"/>
                      <w:szCs w:val="21"/>
                    </w:rPr>
                    <w:t>1040.25（</w:t>
                  </w:r>
                  <w:r>
                    <w:rPr>
                      <w:color w:val="000000"/>
                      <w:kern w:val="0"/>
                      <w:szCs w:val="21"/>
                      <w:lang w:bidi="ar"/>
                    </w:rPr>
                    <w:t>最大年用水量</w:t>
                  </w:r>
                  <w:r>
                    <w:rPr>
                      <w:rFonts w:hint="eastAsia"/>
                      <w:color w:val="000000"/>
                      <w:kern w:val="0"/>
                      <w:szCs w:val="21"/>
                      <w:lang w:bidi="ar"/>
                    </w:rPr>
                    <w:t>1069.45</w:t>
                  </w:r>
                  <w:r>
                    <w:rPr>
                      <w:rFonts w:hint="eastAsia"/>
                      <w:szCs w:val="21"/>
                    </w:rPr>
                    <w:t>）</w:t>
                  </w:r>
                </w:p>
              </w:tc>
              <w:tc>
                <w:tcPr>
                  <w:tcW w:w="742" w:type="pct"/>
                  <w:vAlign w:val="center"/>
                </w:tcPr>
                <w:p w14:paraId="6DC07870">
                  <w:pPr>
                    <w:widowControl/>
                    <w:jc w:val="center"/>
                    <w:textAlignment w:val="center"/>
                    <w:rPr>
                      <w:color w:val="000000"/>
                      <w:kern w:val="0"/>
                      <w:szCs w:val="21"/>
                      <w:lang w:bidi="ar"/>
                    </w:rPr>
                  </w:pPr>
                  <w:r>
                    <w:rPr>
                      <w:color w:val="000000"/>
                      <w:kern w:val="0"/>
                      <w:szCs w:val="21"/>
                      <w:lang w:bidi="ar"/>
                    </w:rPr>
                    <w:t>/</w:t>
                  </w:r>
                </w:p>
              </w:tc>
              <w:tc>
                <w:tcPr>
                  <w:tcW w:w="721" w:type="pct"/>
                  <w:vAlign w:val="center"/>
                </w:tcPr>
                <w:p w14:paraId="0BD93FED">
                  <w:pPr>
                    <w:widowControl/>
                    <w:jc w:val="center"/>
                    <w:textAlignment w:val="center"/>
                    <w:rPr>
                      <w:color w:val="000000"/>
                      <w:kern w:val="0"/>
                      <w:szCs w:val="21"/>
                      <w:lang w:bidi="ar"/>
                    </w:rPr>
                  </w:pPr>
                  <w:r>
                    <w:rPr>
                      <w:rFonts w:hint="eastAsia"/>
                      <w:color w:val="000000"/>
                      <w:kern w:val="0"/>
                      <w:szCs w:val="21"/>
                      <w:lang w:bidi="ar"/>
                    </w:rPr>
                    <w:t>0.079（最大日排水量）</w:t>
                  </w:r>
                </w:p>
              </w:tc>
              <w:tc>
                <w:tcPr>
                  <w:tcW w:w="633" w:type="pct"/>
                  <w:vAlign w:val="center"/>
                </w:tcPr>
                <w:p w14:paraId="2876157B">
                  <w:pPr>
                    <w:widowControl/>
                    <w:jc w:val="center"/>
                    <w:textAlignment w:val="center"/>
                    <w:rPr>
                      <w:color w:val="000000"/>
                      <w:kern w:val="0"/>
                      <w:szCs w:val="21"/>
                      <w:lang w:bidi="ar"/>
                    </w:rPr>
                  </w:pPr>
                  <w:r>
                    <w:rPr>
                      <w:rFonts w:hint="eastAsia"/>
                      <w:color w:val="000000"/>
                      <w:kern w:val="0"/>
                      <w:szCs w:val="21"/>
                      <w:lang w:bidi="ar"/>
                    </w:rPr>
                    <w:t>28.91（最大年排放量）</w:t>
                  </w:r>
                </w:p>
              </w:tc>
              <w:tc>
                <w:tcPr>
                  <w:tcW w:w="604" w:type="pct"/>
                  <w:vAlign w:val="center"/>
                </w:tcPr>
                <w:p w14:paraId="5522D3DE">
                  <w:pPr>
                    <w:jc w:val="center"/>
                    <w:rPr>
                      <w:szCs w:val="21"/>
                    </w:rPr>
                  </w:pPr>
                  <w:r>
                    <w:rPr>
                      <w:kern w:val="0"/>
                      <w:szCs w:val="21"/>
                      <w:lang w:bidi="ar"/>
                    </w:rPr>
                    <w:t>经渗滤液处理系统处理后排入达州市第二城市污水处理厂</w:t>
                  </w:r>
                </w:p>
              </w:tc>
            </w:tr>
            <w:tr w14:paraId="1FAA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256" w:type="pct"/>
                  <w:shd w:val="clear" w:color="auto" w:fill="auto"/>
                  <w:vAlign w:val="center"/>
                </w:tcPr>
                <w:p w14:paraId="50224AAF">
                  <w:pPr>
                    <w:jc w:val="center"/>
                    <w:outlineLvl w:val="1"/>
                    <w:rPr>
                      <w:szCs w:val="21"/>
                    </w:rPr>
                  </w:pPr>
                  <w:r>
                    <w:rPr>
                      <w:rFonts w:hint="eastAsia"/>
                      <w:szCs w:val="21"/>
                    </w:rPr>
                    <w:t>8</w:t>
                  </w:r>
                </w:p>
              </w:tc>
              <w:tc>
                <w:tcPr>
                  <w:tcW w:w="715" w:type="pct"/>
                  <w:vAlign w:val="center"/>
                </w:tcPr>
                <w:p w14:paraId="4E97F09E">
                  <w:pPr>
                    <w:widowControl/>
                    <w:jc w:val="center"/>
                    <w:textAlignment w:val="center"/>
                    <w:rPr>
                      <w:color w:val="000000"/>
                      <w:kern w:val="0"/>
                      <w:sz w:val="22"/>
                      <w:szCs w:val="22"/>
                      <w:lang w:bidi="ar"/>
                    </w:rPr>
                  </w:pPr>
                  <w:r>
                    <w:rPr>
                      <w:color w:val="000000"/>
                      <w:kern w:val="0"/>
                      <w:szCs w:val="21"/>
                      <w:lang w:bidi="ar"/>
                    </w:rPr>
                    <w:t>绿化用水</w:t>
                  </w:r>
                </w:p>
              </w:tc>
              <w:tc>
                <w:tcPr>
                  <w:tcW w:w="638" w:type="pct"/>
                  <w:shd w:val="clear" w:color="auto" w:fill="auto"/>
                  <w:vAlign w:val="center"/>
                </w:tcPr>
                <w:p w14:paraId="35F6BD75">
                  <w:pPr>
                    <w:widowControl/>
                    <w:jc w:val="center"/>
                    <w:textAlignment w:val="center"/>
                    <w:rPr>
                      <w:color w:val="000000"/>
                      <w:kern w:val="0"/>
                      <w:sz w:val="22"/>
                      <w:szCs w:val="22"/>
                      <w:lang w:bidi="ar"/>
                    </w:rPr>
                  </w:pPr>
                  <w:r>
                    <w:rPr>
                      <w:color w:val="000000"/>
                      <w:kern w:val="0"/>
                      <w:szCs w:val="21"/>
                      <w:lang w:bidi="ar"/>
                    </w:rPr>
                    <w:t xml:space="preserve">2.73 </w:t>
                  </w:r>
                </w:p>
              </w:tc>
              <w:tc>
                <w:tcPr>
                  <w:tcW w:w="689" w:type="pct"/>
                  <w:shd w:val="clear" w:color="auto" w:fill="auto"/>
                  <w:vAlign w:val="center"/>
                </w:tcPr>
                <w:p w14:paraId="55CF0619">
                  <w:pPr>
                    <w:widowControl/>
                    <w:jc w:val="center"/>
                    <w:textAlignment w:val="center"/>
                    <w:rPr>
                      <w:color w:val="000000"/>
                      <w:kern w:val="0"/>
                      <w:sz w:val="22"/>
                      <w:szCs w:val="22"/>
                      <w:lang w:bidi="ar"/>
                    </w:rPr>
                  </w:pPr>
                  <w:r>
                    <w:rPr>
                      <w:color w:val="000000"/>
                      <w:kern w:val="0"/>
                      <w:szCs w:val="21"/>
                      <w:lang w:bidi="ar"/>
                    </w:rPr>
                    <w:t xml:space="preserve">996.62 </w:t>
                  </w:r>
                </w:p>
              </w:tc>
              <w:tc>
                <w:tcPr>
                  <w:tcW w:w="742" w:type="pct"/>
                  <w:vAlign w:val="center"/>
                </w:tcPr>
                <w:p w14:paraId="0229C9B3">
                  <w:pPr>
                    <w:widowControl/>
                    <w:jc w:val="center"/>
                    <w:textAlignment w:val="center"/>
                    <w:rPr>
                      <w:color w:val="000000"/>
                      <w:kern w:val="0"/>
                      <w:szCs w:val="21"/>
                      <w:lang w:bidi="ar"/>
                    </w:rPr>
                  </w:pPr>
                  <w:r>
                    <w:rPr>
                      <w:color w:val="000000"/>
                      <w:kern w:val="0"/>
                      <w:szCs w:val="21"/>
                      <w:lang w:bidi="ar"/>
                    </w:rPr>
                    <w:t>/</w:t>
                  </w:r>
                </w:p>
              </w:tc>
              <w:tc>
                <w:tcPr>
                  <w:tcW w:w="721" w:type="pct"/>
                  <w:vAlign w:val="center"/>
                </w:tcPr>
                <w:p w14:paraId="182B78A0">
                  <w:pPr>
                    <w:widowControl/>
                    <w:jc w:val="center"/>
                    <w:textAlignment w:val="center"/>
                    <w:rPr>
                      <w:color w:val="000000"/>
                      <w:kern w:val="0"/>
                      <w:szCs w:val="21"/>
                      <w:lang w:bidi="ar"/>
                    </w:rPr>
                  </w:pPr>
                  <w:r>
                    <w:rPr>
                      <w:color w:val="000000"/>
                      <w:kern w:val="0"/>
                      <w:szCs w:val="21"/>
                      <w:lang w:bidi="ar"/>
                    </w:rPr>
                    <w:t>/</w:t>
                  </w:r>
                </w:p>
              </w:tc>
              <w:tc>
                <w:tcPr>
                  <w:tcW w:w="633" w:type="pct"/>
                  <w:vAlign w:val="center"/>
                </w:tcPr>
                <w:p w14:paraId="56BF4620">
                  <w:pPr>
                    <w:widowControl/>
                    <w:jc w:val="center"/>
                    <w:textAlignment w:val="center"/>
                    <w:rPr>
                      <w:color w:val="000000"/>
                      <w:kern w:val="0"/>
                      <w:szCs w:val="21"/>
                      <w:lang w:bidi="ar"/>
                    </w:rPr>
                  </w:pPr>
                  <w:r>
                    <w:rPr>
                      <w:color w:val="000000"/>
                      <w:kern w:val="0"/>
                      <w:szCs w:val="21"/>
                      <w:lang w:bidi="ar"/>
                    </w:rPr>
                    <w:t>/</w:t>
                  </w:r>
                </w:p>
              </w:tc>
              <w:tc>
                <w:tcPr>
                  <w:tcW w:w="604" w:type="pct"/>
                  <w:vAlign w:val="center"/>
                </w:tcPr>
                <w:p w14:paraId="02F22CB8">
                  <w:pPr>
                    <w:widowControl/>
                    <w:jc w:val="center"/>
                    <w:textAlignment w:val="center"/>
                    <w:rPr>
                      <w:kern w:val="0"/>
                      <w:szCs w:val="21"/>
                      <w:lang w:bidi="ar"/>
                    </w:rPr>
                  </w:pPr>
                  <w:r>
                    <w:rPr>
                      <w:kern w:val="0"/>
                      <w:szCs w:val="21"/>
                      <w:lang w:bidi="ar"/>
                    </w:rPr>
                    <w:t>蒸发</w:t>
                  </w:r>
                </w:p>
              </w:tc>
            </w:tr>
            <w:tr w14:paraId="2065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971" w:type="pct"/>
                  <w:gridSpan w:val="2"/>
                  <w:vAlign w:val="center"/>
                </w:tcPr>
                <w:p w14:paraId="61BF1576">
                  <w:pPr>
                    <w:jc w:val="center"/>
                    <w:outlineLvl w:val="1"/>
                    <w:rPr>
                      <w:szCs w:val="21"/>
                    </w:rPr>
                  </w:pPr>
                  <w:r>
                    <w:rPr>
                      <w:szCs w:val="21"/>
                    </w:rPr>
                    <w:t>合计</w:t>
                  </w:r>
                </w:p>
              </w:tc>
              <w:tc>
                <w:tcPr>
                  <w:tcW w:w="638" w:type="pct"/>
                  <w:shd w:val="clear" w:color="auto" w:fill="auto"/>
                  <w:vAlign w:val="center"/>
                </w:tcPr>
                <w:p w14:paraId="7AA74042">
                  <w:pPr>
                    <w:widowControl/>
                    <w:jc w:val="center"/>
                    <w:textAlignment w:val="center"/>
                    <w:rPr>
                      <w:szCs w:val="21"/>
                    </w:rPr>
                  </w:pPr>
                  <w:r>
                    <w:rPr>
                      <w:rFonts w:hint="eastAsia"/>
                      <w:color w:val="000000"/>
                      <w:kern w:val="0"/>
                      <w:szCs w:val="21"/>
                      <w:lang w:bidi="ar"/>
                    </w:rPr>
                    <w:t>9.12</w:t>
                  </w:r>
                  <w:r>
                    <w:rPr>
                      <w:color w:val="000000"/>
                      <w:kern w:val="0"/>
                      <w:szCs w:val="21"/>
                      <w:lang w:bidi="ar"/>
                    </w:rPr>
                    <w:t>（最大日用水量</w:t>
                  </w:r>
                  <w:r>
                    <w:rPr>
                      <w:rFonts w:hint="eastAsia"/>
                      <w:color w:val="000000"/>
                      <w:kern w:val="0"/>
                      <w:szCs w:val="21"/>
                      <w:lang w:bidi="ar"/>
                    </w:rPr>
                    <w:t>9.199</w:t>
                  </w:r>
                  <w:r>
                    <w:rPr>
                      <w:color w:val="000000"/>
                      <w:kern w:val="0"/>
                      <w:szCs w:val="21"/>
                      <w:lang w:bidi="ar"/>
                    </w:rPr>
                    <w:t xml:space="preserve">） </w:t>
                  </w:r>
                </w:p>
              </w:tc>
              <w:tc>
                <w:tcPr>
                  <w:tcW w:w="689" w:type="pct"/>
                  <w:shd w:val="clear" w:color="auto" w:fill="auto"/>
                  <w:vAlign w:val="center"/>
                </w:tcPr>
                <w:p w14:paraId="7D590F7F">
                  <w:pPr>
                    <w:widowControl/>
                    <w:jc w:val="center"/>
                    <w:textAlignment w:val="center"/>
                    <w:rPr>
                      <w:szCs w:val="21"/>
                    </w:rPr>
                  </w:pPr>
                  <w:r>
                    <w:rPr>
                      <w:rFonts w:hint="eastAsia"/>
                      <w:color w:val="000000"/>
                      <w:kern w:val="0"/>
                      <w:szCs w:val="21"/>
                      <w:lang w:bidi="ar"/>
                    </w:rPr>
                    <w:t>3272.67</w:t>
                  </w:r>
                  <w:r>
                    <w:rPr>
                      <w:color w:val="000000"/>
                      <w:kern w:val="0"/>
                      <w:szCs w:val="21"/>
                      <w:lang w:bidi="ar"/>
                    </w:rPr>
                    <w:t>（最大年用水量</w:t>
                  </w:r>
                  <w:r>
                    <w:rPr>
                      <w:rFonts w:hint="eastAsia"/>
                      <w:color w:val="000000"/>
                      <w:kern w:val="0"/>
                      <w:szCs w:val="21"/>
                      <w:lang w:bidi="ar"/>
                    </w:rPr>
                    <w:t>3303.22</w:t>
                  </w:r>
                  <w:r>
                    <w:rPr>
                      <w:color w:val="000000"/>
                      <w:kern w:val="0"/>
                      <w:szCs w:val="21"/>
                      <w:lang w:bidi="ar"/>
                    </w:rPr>
                    <w:t>）</w:t>
                  </w:r>
                </w:p>
              </w:tc>
              <w:tc>
                <w:tcPr>
                  <w:tcW w:w="742" w:type="pct"/>
                  <w:vAlign w:val="center"/>
                </w:tcPr>
                <w:p w14:paraId="5CB46E26">
                  <w:pPr>
                    <w:widowControl/>
                    <w:jc w:val="center"/>
                    <w:textAlignment w:val="center"/>
                    <w:rPr>
                      <w:szCs w:val="21"/>
                    </w:rPr>
                  </w:pPr>
                  <w:r>
                    <w:rPr>
                      <w:color w:val="000000"/>
                      <w:kern w:val="0"/>
                      <w:szCs w:val="21"/>
                      <w:lang w:bidi="ar"/>
                    </w:rPr>
                    <w:t>/</w:t>
                  </w:r>
                </w:p>
              </w:tc>
              <w:tc>
                <w:tcPr>
                  <w:tcW w:w="721" w:type="pct"/>
                  <w:vAlign w:val="center"/>
                </w:tcPr>
                <w:p w14:paraId="10F2A11E">
                  <w:pPr>
                    <w:widowControl/>
                    <w:jc w:val="center"/>
                    <w:textAlignment w:val="center"/>
                    <w:rPr>
                      <w:szCs w:val="21"/>
                    </w:rPr>
                  </w:pPr>
                  <w:r>
                    <w:rPr>
                      <w:rFonts w:hint="eastAsia"/>
                      <w:color w:val="000000"/>
                      <w:kern w:val="0"/>
                      <w:szCs w:val="21"/>
                      <w:lang w:bidi="ar"/>
                    </w:rPr>
                    <w:t>2.85（最大日排水量2.927）</w:t>
                  </w:r>
                </w:p>
              </w:tc>
              <w:tc>
                <w:tcPr>
                  <w:tcW w:w="633" w:type="pct"/>
                  <w:vAlign w:val="center"/>
                </w:tcPr>
                <w:p w14:paraId="471BB24C">
                  <w:pPr>
                    <w:widowControl/>
                    <w:wordWrap w:val="0"/>
                    <w:jc w:val="center"/>
                    <w:textAlignment w:val="center"/>
                    <w:rPr>
                      <w:szCs w:val="21"/>
                    </w:rPr>
                  </w:pPr>
                  <w:r>
                    <w:rPr>
                      <w:rFonts w:hint="eastAsia"/>
                      <w:color w:val="000000"/>
                      <w:kern w:val="0"/>
                      <w:szCs w:val="21"/>
                      <w:lang w:bidi="ar"/>
                    </w:rPr>
                    <w:t>991.45（（最大年排放量1022.29）</w:t>
                  </w:r>
                </w:p>
              </w:tc>
              <w:tc>
                <w:tcPr>
                  <w:tcW w:w="604" w:type="pct"/>
                  <w:vAlign w:val="center"/>
                </w:tcPr>
                <w:p w14:paraId="0C93E282">
                  <w:pPr>
                    <w:jc w:val="center"/>
                    <w:rPr>
                      <w:szCs w:val="21"/>
                    </w:rPr>
                  </w:pPr>
                </w:p>
              </w:tc>
            </w:tr>
          </w:tbl>
          <w:p w14:paraId="677AE062">
            <w:pPr>
              <w:adjustRightInd w:val="0"/>
              <w:snapToGrid w:val="0"/>
              <w:spacing w:line="360" w:lineRule="auto"/>
              <w:ind w:firstLine="482" w:firstLineChars="200"/>
              <w:rPr>
                <w:sz w:val="24"/>
                <w:szCs w:val="36"/>
                <w:highlight w:val="cyan"/>
              </w:rPr>
            </w:pPr>
            <w:r>
              <w:rPr>
                <w:rFonts w:hint="eastAsia"/>
                <w:b/>
                <w:bCs/>
                <w:sz w:val="24"/>
                <w:szCs w:val="36"/>
              </w:rPr>
              <w:t>渗滤液产生量</w:t>
            </w:r>
            <w:r>
              <w:rPr>
                <w:rFonts w:hint="eastAsia"/>
                <w:sz w:val="24"/>
                <w:szCs w:val="36"/>
              </w:rPr>
              <w:t>：</w:t>
            </w:r>
          </w:p>
          <w:p w14:paraId="6FFEEB76">
            <w:pPr>
              <w:adjustRightInd w:val="0"/>
              <w:snapToGrid w:val="0"/>
              <w:spacing w:line="360" w:lineRule="auto"/>
              <w:ind w:firstLine="480" w:firstLineChars="200"/>
              <w:rPr>
                <w:color w:val="000000"/>
                <w:kern w:val="0"/>
                <w:sz w:val="24"/>
                <w:lang w:bidi="ar"/>
              </w:rPr>
            </w:pPr>
            <w:r>
              <w:rPr>
                <w:rFonts w:hint="eastAsia"/>
                <w:color w:val="000000"/>
                <w:kern w:val="0"/>
                <w:sz w:val="24"/>
                <w:lang w:bidi="ar"/>
              </w:rPr>
              <w:t>本项目垃圾压缩及垃圾运输的过程中将产生垃圾渗滤液，根据业主提供类比项目数据</w:t>
            </w:r>
            <w:r>
              <w:rPr>
                <w:color w:val="000000"/>
                <w:kern w:val="0"/>
                <w:sz w:val="24"/>
                <w:lang w:bidi="ar"/>
              </w:rPr>
              <w:t>，本项目渗滤液</w:t>
            </w:r>
            <w:r>
              <w:rPr>
                <w:rFonts w:hint="eastAsia"/>
                <w:color w:val="000000"/>
                <w:kern w:val="0"/>
                <w:sz w:val="24"/>
                <w:lang w:bidi="ar"/>
              </w:rPr>
              <w:t>最大</w:t>
            </w:r>
            <w:r>
              <w:rPr>
                <w:color w:val="000000"/>
                <w:kern w:val="0"/>
                <w:sz w:val="24"/>
                <w:lang w:bidi="ar"/>
              </w:rPr>
              <w:t>产生量按照转运垃圾总量</w:t>
            </w:r>
            <w:r>
              <w:rPr>
                <w:rFonts w:hint="eastAsia"/>
                <w:color w:val="000000"/>
                <w:kern w:val="0"/>
                <w:sz w:val="24"/>
                <w:lang w:bidi="ar"/>
              </w:rPr>
              <w:t>的8</w:t>
            </w:r>
            <w:r>
              <w:rPr>
                <w:color w:val="000000"/>
                <w:kern w:val="0"/>
                <w:sz w:val="24"/>
                <w:lang w:bidi="ar"/>
              </w:rPr>
              <w:t>%来核算，则本项目的垃圾渗滤液产生量为</w:t>
            </w:r>
            <w:r>
              <w:rPr>
                <w:rFonts w:hint="eastAsia"/>
                <w:color w:val="000000"/>
                <w:kern w:val="0"/>
                <w:sz w:val="24"/>
                <w:lang w:bidi="ar"/>
              </w:rPr>
              <w:t>19.2m³</w:t>
            </w:r>
            <w:r>
              <w:rPr>
                <w:color w:val="000000"/>
                <w:kern w:val="0"/>
                <w:sz w:val="24"/>
                <w:lang w:bidi="ar"/>
              </w:rPr>
              <w:t>/d</w:t>
            </w:r>
            <w:r>
              <w:rPr>
                <w:rFonts w:hint="eastAsia"/>
                <w:color w:val="000000"/>
                <w:kern w:val="0"/>
                <w:sz w:val="24"/>
                <w:lang w:bidi="ar"/>
              </w:rPr>
              <w:t>（7008m³/a）。</w:t>
            </w:r>
          </w:p>
          <w:p w14:paraId="219C023C">
            <w:pPr>
              <w:adjustRightInd w:val="0"/>
              <w:snapToGrid w:val="0"/>
              <w:spacing w:line="360" w:lineRule="auto"/>
              <w:ind w:firstLine="480" w:firstLineChars="200"/>
              <w:rPr>
                <w:sz w:val="24"/>
                <w:szCs w:val="36"/>
              </w:rPr>
            </w:pPr>
            <w:r>
              <w:rPr>
                <w:rFonts w:hint="eastAsia"/>
                <w:sz w:val="24"/>
                <w:szCs w:val="36"/>
              </w:rPr>
              <w:t>本项目运营期的水量平衡见下图。</w:t>
            </w:r>
          </w:p>
          <w:p w14:paraId="790E6EB7">
            <w:pPr>
              <w:widowControl/>
              <w:spacing w:line="360" w:lineRule="auto"/>
              <w:jc w:val="center"/>
              <w:rPr>
                <w:highlight w:val="yellow"/>
              </w:rPr>
            </w:pPr>
            <w:r>
              <w:rPr>
                <w:rFonts w:hint="eastAsia"/>
              </w:rPr>
              <w:drawing>
                <wp:inline distT="0" distB="0" distL="114300" distR="114300">
                  <wp:extent cx="5331460" cy="3134995"/>
                  <wp:effectExtent l="0" t="0" r="0" b="0"/>
                  <wp:docPr id="5" name="ECB019B1-382A-4266-B25C-5B523AA43C14-1" descr="C:/Users/Administrator/AppData/Local/Temp/wps.sddik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Administrator/AppData/Local/Temp/wps.sddikcwps"/>
                          <pic:cNvPicPr>
                            <a:picLocks noChangeAspect="1"/>
                          </pic:cNvPicPr>
                        </pic:nvPicPr>
                        <pic:blipFill>
                          <a:blip r:embed="rId12"/>
                          <a:stretch>
                            <a:fillRect/>
                          </a:stretch>
                        </pic:blipFill>
                        <pic:spPr>
                          <a:xfrm>
                            <a:off x="0" y="0"/>
                            <a:ext cx="5331460" cy="3134995"/>
                          </a:xfrm>
                          <a:prstGeom prst="rect">
                            <a:avLst/>
                          </a:prstGeom>
                        </pic:spPr>
                      </pic:pic>
                    </a:graphicData>
                  </a:graphic>
                </wp:inline>
              </w:drawing>
            </w:r>
          </w:p>
          <w:p w14:paraId="39BA6827">
            <w:pPr>
              <w:adjustRightInd w:val="0"/>
              <w:snapToGrid w:val="0"/>
              <w:spacing w:line="360" w:lineRule="auto"/>
              <w:jc w:val="center"/>
              <w:rPr>
                <w:rFonts w:eastAsia="黑体"/>
                <w:bCs/>
                <w:szCs w:val="21"/>
              </w:rPr>
            </w:pPr>
            <w:r>
              <w:rPr>
                <w:rFonts w:eastAsia="黑体"/>
                <w:bCs/>
                <w:szCs w:val="21"/>
              </w:rPr>
              <w:t>图2-</w:t>
            </w:r>
            <w:r>
              <w:rPr>
                <w:rFonts w:hint="eastAsia" w:eastAsia="黑体"/>
                <w:bCs/>
                <w:szCs w:val="21"/>
              </w:rPr>
              <w:t>10</w:t>
            </w:r>
            <w:r>
              <w:rPr>
                <w:rFonts w:eastAsia="黑体"/>
                <w:bCs/>
                <w:szCs w:val="21"/>
              </w:rPr>
              <w:t xml:space="preserve">   本项目水平衡图   单位：m</w:t>
            </w:r>
            <w:r>
              <w:rPr>
                <w:rFonts w:eastAsia="黑体"/>
                <w:bCs/>
                <w:szCs w:val="21"/>
                <w:vertAlign w:val="superscript"/>
              </w:rPr>
              <w:t>3</w:t>
            </w:r>
            <w:r>
              <w:rPr>
                <w:rFonts w:eastAsia="黑体"/>
                <w:bCs/>
                <w:szCs w:val="21"/>
              </w:rPr>
              <w:t>/d</w:t>
            </w:r>
          </w:p>
          <w:p w14:paraId="3F3A7BCE">
            <w:pPr>
              <w:pStyle w:val="22"/>
              <w:spacing w:line="360" w:lineRule="auto"/>
              <w:ind w:firstLine="482"/>
              <w:jc w:val="both"/>
              <w:rPr>
                <w:rFonts w:ascii="宋体" w:hAnsi="宋体" w:eastAsia="宋体" w:cs="宋体"/>
                <w:sz w:val="24"/>
              </w:rPr>
            </w:pPr>
            <w:r>
              <w:rPr>
                <w:rFonts w:ascii="Times New Roman" w:eastAsia="宋体"/>
                <w:b/>
                <w:bCs w:val="0"/>
                <w:sz w:val="24"/>
              </w:rPr>
              <w:t>10</w:t>
            </w:r>
            <w:r>
              <w:rPr>
                <w:rFonts w:hint="default" w:ascii="Times New Roman" w:eastAsia="宋体"/>
                <w:b/>
                <w:bCs w:val="0"/>
                <w:sz w:val="24"/>
              </w:rPr>
              <w:t>、平面布置合理性分析</w:t>
            </w:r>
          </w:p>
          <w:p w14:paraId="41AC6D4B">
            <w:pPr>
              <w:spacing w:line="360" w:lineRule="auto"/>
              <w:ind w:firstLine="480"/>
              <w:rPr>
                <w:sz w:val="24"/>
              </w:rPr>
            </w:pPr>
            <w:r>
              <w:rPr>
                <w:rFonts w:hint="eastAsia"/>
                <w:sz w:val="24"/>
              </w:rPr>
              <w:t>（1）车间布置原则</w:t>
            </w:r>
          </w:p>
          <w:p w14:paraId="0EE9BFD3">
            <w:pPr>
              <w:spacing w:line="360" w:lineRule="auto"/>
              <w:ind w:firstLine="480"/>
              <w:rPr>
                <w:sz w:val="24"/>
              </w:rPr>
            </w:pPr>
            <w:r>
              <w:rPr>
                <w:sz w:val="24"/>
              </w:rPr>
              <w:t>①</w:t>
            </w:r>
            <w:r>
              <w:rPr>
                <w:rFonts w:hint="eastAsia"/>
                <w:sz w:val="24"/>
              </w:rPr>
              <w:t>满足功能需求，功能设置齐全，功能分区明确。</w:t>
            </w:r>
          </w:p>
          <w:p w14:paraId="3870B282">
            <w:pPr>
              <w:spacing w:line="360" w:lineRule="auto"/>
              <w:ind w:firstLine="480"/>
              <w:rPr>
                <w:sz w:val="24"/>
              </w:rPr>
            </w:pPr>
            <w:r>
              <w:rPr>
                <w:sz w:val="24"/>
              </w:rPr>
              <w:t>②</w:t>
            </w:r>
            <w:r>
              <w:rPr>
                <w:rFonts w:hint="eastAsia"/>
                <w:sz w:val="24"/>
              </w:rPr>
              <w:t>物流组织流畅，收集车和转运车分离，回转场地足够。</w:t>
            </w:r>
          </w:p>
          <w:p w14:paraId="567CE92F">
            <w:pPr>
              <w:spacing w:line="360" w:lineRule="auto"/>
              <w:ind w:firstLine="480"/>
              <w:rPr>
                <w:sz w:val="24"/>
              </w:rPr>
            </w:pPr>
            <w:r>
              <w:rPr>
                <w:sz w:val="24"/>
              </w:rPr>
              <w:t>③</w:t>
            </w:r>
            <w:r>
              <w:rPr>
                <w:rFonts w:hint="eastAsia"/>
                <w:sz w:val="24"/>
              </w:rPr>
              <w:t>集约化设计，除臭设备间、污水泵房、变配电间等辅助用房与垃圾转运车间合建，尽量减少工程用地。</w:t>
            </w:r>
          </w:p>
          <w:p w14:paraId="110AA69D">
            <w:pPr>
              <w:spacing w:line="360" w:lineRule="auto"/>
              <w:ind w:firstLine="480"/>
              <w:rPr>
                <w:sz w:val="24"/>
              </w:rPr>
            </w:pPr>
            <w:r>
              <w:rPr>
                <w:sz w:val="24"/>
              </w:rPr>
              <w:t>④</w:t>
            </w:r>
            <w:r>
              <w:rPr>
                <w:rFonts w:hint="eastAsia"/>
                <w:sz w:val="24"/>
              </w:rPr>
              <w:t>车间内部功能包含转运车辆停车要求。</w:t>
            </w:r>
          </w:p>
          <w:p w14:paraId="60A69625">
            <w:pPr>
              <w:spacing w:line="360" w:lineRule="auto"/>
              <w:ind w:firstLine="480"/>
              <w:rPr>
                <w:sz w:val="24"/>
              </w:rPr>
            </w:pPr>
            <w:r>
              <w:rPr>
                <w:rFonts w:hint="eastAsia"/>
                <w:sz w:val="24"/>
              </w:rPr>
              <w:t>（2）总体布局合理性</w:t>
            </w:r>
          </w:p>
          <w:p w14:paraId="71DB03B9">
            <w:pPr>
              <w:spacing w:line="360" w:lineRule="auto"/>
              <w:ind w:firstLine="480"/>
              <w:rPr>
                <w:sz w:val="24"/>
              </w:rPr>
            </w:pPr>
            <w:r>
              <w:rPr>
                <w:rFonts w:hint="eastAsia"/>
                <w:sz w:val="24"/>
              </w:rPr>
              <w:t>职教园区中型垃圾转运站选址呈矩形，北长98.49米、南长90.52米、西长67.81米、东长61.24米，地势为南北高，西低。自然地形最低标高349.07m，最高标高364.49m。项目总平面采用台阶+平坡式布置，垃圾站房的垃圾卸料平台架设高架桥保障通行，卸料口位于最北侧，背向主厂区。</w:t>
            </w:r>
          </w:p>
          <w:p w14:paraId="7A2ABAD4">
            <w:pPr>
              <w:spacing w:line="360" w:lineRule="auto"/>
              <w:ind w:firstLine="480"/>
              <w:rPr>
                <w:sz w:val="24"/>
              </w:rPr>
            </w:pPr>
            <w:r>
              <w:rPr>
                <w:rFonts w:hint="eastAsia"/>
                <w:sz w:val="24"/>
              </w:rPr>
              <w:t>站内布局按“分区明确、合理布局、节约用地”的原则布置，按建筑设施划分为垃圾站房、生产管理用房、维保房等。主要出入口设在地块东侧，供垃圾收集车和垃圾转运车出入，出入口布置在站区与现状道路衔接处，在站内垃圾收集车运输方向设地磅。出口设置门卫值班室，生产管理用房位于场地东部；垃圾站房（处理车间）设置于地块西部，包括卸料平台、压缩车间、控制室、值班室等；维保房位于垃圾站房中侧，包括有洗车间、机修车间等；维保房北侧布置污水处理系统；地块中部设置有生态停车场和集中绿化。</w:t>
            </w:r>
          </w:p>
          <w:p w14:paraId="544E4323">
            <w:pPr>
              <w:spacing w:line="360" w:lineRule="auto"/>
              <w:ind w:firstLine="480"/>
              <w:rPr>
                <w:sz w:val="24"/>
              </w:rPr>
            </w:pPr>
            <w:r>
              <w:rPr>
                <w:rFonts w:hint="eastAsia"/>
                <w:sz w:val="24"/>
              </w:rPr>
              <w:t>综上，本项目总平面布置功能分区明确，各项配套设施均于整体布局中充分</w:t>
            </w:r>
          </w:p>
          <w:p w14:paraId="597273C0">
            <w:pPr>
              <w:spacing w:line="360" w:lineRule="auto"/>
              <w:rPr>
                <w:sz w:val="24"/>
              </w:rPr>
            </w:pPr>
            <w:r>
              <w:rPr>
                <w:rFonts w:hint="eastAsia"/>
                <w:sz w:val="24"/>
              </w:rPr>
              <w:t>考虑，总图布置上考虑了环保要求，从环保角度而言，本项目总平面布置是合理</w:t>
            </w:r>
          </w:p>
          <w:p w14:paraId="16CF6505">
            <w:pPr>
              <w:spacing w:line="360" w:lineRule="auto"/>
              <w:rPr>
                <w:sz w:val="24"/>
              </w:rPr>
            </w:pPr>
            <w:r>
              <w:rPr>
                <w:rFonts w:hint="eastAsia"/>
                <w:sz w:val="24"/>
              </w:rPr>
              <w:t>的。</w:t>
            </w:r>
          </w:p>
          <w:p w14:paraId="2D63233F">
            <w:pPr>
              <w:spacing w:line="360" w:lineRule="auto"/>
              <w:rPr>
                <w:sz w:val="24"/>
              </w:rPr>
            </w:pPr>
          </w:p>
          <w:p w14:paraId="4F4BE4BA">
            <w:pPr>
              <w:spacing w:line="360" w:lineRule="auto"/>
              <w:rPr>
                <w:sz w:val="24"/>
              </w:rPr>
            </w:pPr>
          </w:p>
          <w:p w14:paraId="2D92A04B">
            <w:pPr>
              <w:spacing w:line="360" w:lineRule="auto"/>
              <w:rPr>
                <w:sz w:val="24"/>
              </w:rPr>
            </w:pPr>
          </w:p>
          <w:p w14:paraId="6D1C2639">
            <w:pPr>
              <w:spacing w:line="360" w:lineRule="auto"/>
              <w:rPr>
                <w:sz w:val="24"/>
              </w:rPr>
            </w:pPr>
          </w:p>
          <w:p w14:paraId="6BF355C3">
            <w:pPr>
              <w:spacing w:line="360" w:lineRule="auto"/>
              <w:rPr>
                <w:sz w:val="24"/>
              </w:rPr>
            </w:pPr>
          </w:p>
          <w:p w14:paraId="712DF9D2">
            <w:pPr>
              <w:spacing w:line="360" w:lineRule="auto"/>
              <w:rPr>
                <w:sz w:val="24"/>
              </w:rPr>
            </w:pPr>
          </w:p>
          <w:p w14:paraId="0BD5E15B">
            <w:pPr>
              <w:spacing w:line="360" w:lineRule="auto"/>
              <w:rPr>
                <w:sz w:val="24"/>
              </w:rPr>
            </w:pPr>
          </w:p>
          <w:p w14:paraId="27332179">
            <w:pPr>
              <w:spacing w:line="360" w:lineRule="auto"/>
              <w:rPr>
                <w:sz w:val="24"/>
              </w:rPr>
            </w:pPr>
          </w:p>
          <w:p w14:paraId="6F97E862">
            <w:pPr>
              <w:spacing w:line="360" w:lineRule="auto"/>
              <w:rPr>
                <w:sz w:val="24"/>
              </w:rPr>
            </w:pPr>
          </w:p>
          <w:p w14:paraId="31BAF81B">
            <w:pPr>
              <w:spacing w:line="360" w:lineRule="auto"/>
              <w:rPr>
                <w:sz w:val="24"/>
              </w:rPr>
            </w:pPr>
          </w:p>
          <w:p w14:paraId="6CCCEB10">
            <w:pPr>
              <w:spacing w:line="360" w:lineRule="auto"/>
              <w:rPr>
                <w:sz w:val="24"/>
              </w:rPr>
            </w:pPr>
          </w:p>
          <w:p w14:paraId="0C62BB0E">
            <w:pPr>
              <w:spacing w:line="360" w:lineRule="auto"/>
              <w:rPr>
                <w:sz w:val="24"/>
              </w:rPr>
            </w:pPr>
          </w:p>
          <w:p w14:paraId="42AEAD7A">
            <w:pPr>
              <w:spacing w:line="360" w:lineRule="auto"/>
              <w:rPr>
                <w:sz w:val="24"/>
              </w:rPr>
            </w:pPr>
          </w:p>
          <w:p w14:paraId="4241ED4C">
            <w:pPr>
              <w:spacing w:line="360" w:lineRule="auto"/>
              <w:rPr>
                <w:sz w:val="24"/>
              </w:rPr>
            </w:pPr>
          </w:p>
          <w:p w14:paraId="76395D7D">
            <w:pPr>
              <w:spacing w:line="360" w:lineRule="auto"/>
              <w:rPr>
                <w:sz w:val="24"/>
              </w:rPr>
            </w:pPr>
          </w:p>
          <w:p w14:paraId="11C47F4C">
            <w:pPr>
              <w:spacing w:line="360" w:lineRule="auto"/>
              <w:rPr>
                <w:sz w:val="24"/>
              </w:rPr>
            </w:pPr>
          </w:p>
          <w:p w14:paraId="3A5435E4">
            <w:pPr>
              <w:spacing w:line="360" w:lineRule="auto"/>
              <w:rPr>
                <w:sz w:val="24"/>
              </w:rPr>
            </w:pPr>
          </w:p>
          <w:p w14:paraId="4BA436E8">
            <w:pPr>
              <w:spacing w:line="360" w:lineRule="auto"/>
              <w:rPr>
                <w:sz w:val="24"/>
              </w:rPr>
            </w:pPr>
          </w:p>
          <w:p w14:paraId="75DB3C44">
            <w:pPr>
              <w:spacing w:line="360" w:lineRule="auto"/>
              <w:rPr>
                <w:sz w:val="24"/>
              </w:rPr>
            </w:pPr>
          </w:p>
          <w:p w14:paraId="76A402AC">
            <w:pPr>
              <w:spacing w:line="360" w:lineRule="auto"/>
              <w:rPr>
                <w:sz w:val="24"/>
              </w:rPr>
            </w:pPr>
          </w:p>
          <w:p w14:paraId="0D077800">
            <w:pPr>
              <w:spacing w:line="360" w:lineRule="auto"/>
              <w:rPr>
                <w:sz w:val="24"/>
              </w:rPr>
            </w:pPr>
          </w:p>
          <w:p w14:paraId="729340AF">
            <w:pPr>
              <w:spacing w:line="360" w:lineRule="auto"/>
              <w:rPr>
                <w:sz w:val="24"/>
              </w:rPr>
            </w:pPr>
          </w:p>
          <w:p w14:paraId="16256B9E">
            <w:pPr>
              <w:spacing w:line="360" w:lineRule="auto"/>
              <w:rPr>
                <w:sz w:val="24"/>
              </w:rPr>
            </w:pPr>
          </w:p>
          <w:p w14:paraId="349E518F">
            <w:pPr>
              <w:spacing w:line="360" w:lineRule="auto"/>
              <w:rPr>
                <w:sz w:val="24"/>
              </w:rPr>
            </w:pPr>
          </w:p>
          <w:p w14:paraId="38ABA787">
            <w:pPr>
              <w:spacing w:line="360" w:lineRule="auto"/>
              <w:rPr>
                <w:sz w:val="24"/>
              </w:rPr>
            </w:pPr>
          </w:p>
        </w:tc>
      </w:tr>
      <w:tr w14:paraId="58E97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390" w:type="dxa"/>
            <w:vAlign w:val="center"/>
          </w:tcPr>
          <w:p w14:paraId="2F256AD4">
            <w:pPr>
              <w:pStyle w:val="24"/>
              <w:adjustRightInd w:val="0"/>
              <w:snapToGrid w:val="0"/>
              <w:spacing w:before="0" w:beforeAutospacing="0" w:after="0" w:afterAutospacing="0" w:line="360" w:lineRule="auto"/>
              <w:jc w:val="center"/>
              <w:rPr>
                <w:rFonts w:hint="eastAsia" w:cs="宋体"/>
                <w:szCs w:val="24"/>
              </w:rPr>
            </w:pPr>
            <w:r>
              <w:rPr>
                <w:rFonts w:hint="eastAsia" w:cs="宋体"/>
                <w:szCs w:val="24"/>
              </w:rPr>
              <w:t>工艺流程和产排污环节</w:t>
            </w:r>
          </w:p>
        </w:tc>
        <w:tc>
          <w:tcPr>
            <w:tcW w:w="8594" w:type="dxa"/>
          </w:tcPr>
          <w:p w14:paraId="49801FA8">
            <w:pPr>
              <w:adjustRightInd w:val="0"/>
              <w:snapToGrid w:val="0"/>
              <w:spacing w:before="120" w:beforeLines="50" w:line="360" w:lineRule="auto"/>
              <w:ind w:firstLine="482" w:firstLineChars="200"/>
              <w:rPr>
                <w:b/>
                <w:sz w:val="24"/>
              </w:rPr>
            </w:pPr>
            <w:r>
              <w:rPr>
                <w:rFonts w:hint="eastAsia"/>
                <w:b/>
                <w:sz w:val="24"/>
              </w:rPr>
              <w:t>1、</w:t>
            </w:r>
            <w:r>
              <w:rPr>
                <w:b/>
                <w:sz w:val="24"/>
              </w:rPr>
              <w:t>施工期工艺流程及产污环</w:t>
            </w:r>
            <w:r>
              <w:rPr>
                <w:rFonts w:hint="eastAsia"/>
                <w:b/>
                <w:sz w:val="24"/>
              </w:rPr>
              <w:t>节</w:t>
            </w:r>
          </w:p>
          <w:p w14:paraId="534B454C">
            <w:pPr>
              <w:widowControl/>
              <w:spacing w:line="360" w:lineRule="auto"/>
              <w:ind w:firstLine="480" w:firstLineChars="200"/>
              <w:jc w:val="left"/>
              <w:rPr>
                <w:rFonts w:hint="eastAsia" w:ascii="宋体" w:hAnsi="宋体"/>
                <w:kern w:val="0"/>
                <w:sz w:val="24"/>
              </w:rPr>
            </w:pPr>
            <w:r>
              <w:rPr>
                <w:rFonts w:hint="eastAsia" w:ascii="宋体" w:hAnsi="宋体"/>
                <w:kern w:val="0"/>
                <w:sz w:val="24"/>
              </w:rPr>
              <w:t>本项目主要包含基础施工、主体工程建设、装饰工程、设备安装等。其主要的环境影响为施工扬尘、噪声、施工废水、建筑垃圾等，其</w:t>
            </w:r>
            <w:r>
              <w:rPr>
                <w:sz w:val="24"/>
              </w:rPr>
              <w:t>排放量随工期和施工强度不同而有所变化</w:t>
            </w:r>
            <w:r>
              <w:rPr>
                <w:rFonts w:hint="eastAsia" w:ascii="宋体" w:hAnsi="宋体"/>
                <w:kern w:val="0"/>
                <w:sz w:val="24"/>
              </w:rPr>
              <w:t>。施工期生产工艺流程及产污流程见下图。</w:t>
            </w:r>
          </w:p>
          <w:p w14:paraId="09AE6993">
            <w:pPr>
              <w:widowControl/>
              <w:spacing w:line="360" w:lineRule="auto"/>
              <w:ind w:firstLine="480" w:firstLineChars="200"/>
              <w:jc w:val="left"/>
              <w:rPr>
                <w:rFonts w:hint="eastAsia" w:ascii="宋体" w:hAnsi="宋体"/>
                <w:kern w:val="0"/>
                <w:sz w:val="24"/>
              </w:rPr>
            </w:pPr>
          </w:p>
          <w:p w14:paraId="0314F4A3">
            <w:pPr>
              <w:widowControl/>
              <w:spacing w:line="360" w:lineRule="auto"/>
              <w:ind w:firstLine="420" w:firstLineChars="200"/>
              <w:jc w:val="left"/>
              <w:rPr>
                <w:rFonts w:hint="eastAsia" w:ascii="宋体" w:hAnsi="宋体" w:cs="宋体"/>
                <w:color w:val="000000"/>
                <w:kern w:val="0"/>
                <w:sz w:val="24"/>
                <w:lang w:bidi="ar"/>
              </w:rPr>
            </w:pPr>
            <w:r>
              <w:pict>
                <v:shape id="_x0000_i1025" o:spt="75" type="#_x0000_t75" style="height:228.05pt;width:391.9pt;" filled="f" o:preferrelative="t" stroked="f" coordsize="21600,21600">
                  <v:path/>
                  <v:fill on="f" focussize="0,0"/>
                  <v:stroke on="f" joinstyle="miter"/>
                  <v:imagedata r:id="rId13" o:title=""/>
                  <o:lock v:ext="edit" aspectratio="t"/>
                  <w10:wrap type="none"/>
                  <w10:anchorlock/>
                </v:shape>
              </w:pict>
            </w:r>
          </w:p>
          <w:p w14:paraId="55F9C896">
            <w:pPr>
              <w:widowControl/>
              <w:spacing w:line="360" w:lineRule="auto"/>
              <w:jc w:val="center"/>
              <w:rPr>
                <w:rFonts w:eastAsia="黑体" w:cs="黑体"/>
                <w:szCs w:val="21"/>
              </w:rPr>
            </w:pPr>
            <w:r>
              <w:rPr>
                <w:rFonts w:eastAsia="黑体" w:cs="黑体"/>
                <w:szCs w:val="21"/>
              </w:rPr>
              <w:t>图2-</w:t>
            </w:r>
            <w:r>
              <w:rPr>
                <w:rFonts w:hint="eastAsia" w:eastAsia="黑体" w:cs="黑体"/>
                <w:szCs w:val="21"/>
              </w:rPr>
              <w:t>1</w:t>
            </w:r>
            <w:r>
              <w:rPr>
                <w:rFonts w:eastAsia="黑体" w:cs="黑体"/>
                <w:szCs w:val="21"/>
              </w:rPr>
              <w:t xml:space="preserve"> 施工期工艺流程及产污位置示意图</w:t>
            </w:r>
          </w:p>
          <w:p w14:paraId="6A91053F">
            <w:pPr>
              <w:spacing w:line="360" w:lineRule="auto"/>
              <w:ind w:firstLine="482" w:firstLineChars="200"/>
              <w:rPr>
                <w:b/>
                <w:sz w:val="24"/>
              </w:rPr>
            </w:pPr>
            <w:r>
              <w:rPr>
                <w:b/>
                <w:sz w:val="24"/>
              </w:rPr>
              <w:t>主要工序简述：</w:t>
            </w:r>
          </w:p>
          <w:p w14:paraId="5883422A">
            <w:pPr>
              <w:spacing w:line="360" w:lineRule="auto"/>
              <w:ind w:firstLine="482" w:firstLineChars="200"/>
              <w:rPr>
                <w:b/>
                <w:sz w:val="24"/>
              </w:rPr>
            </w:pPr>
            <w:r>
              <w:rPr>
                <w:rFonts w:hint="eastAsia"/>
                <w:b/>
                <w:sz w:val="24"/>
              </w:rPr>
              <w:t>①</w:t>
            </w:r>
            <w:r>
              <w:rPr>
                <w:b/>
                <w:sz w:val="24"/>
              </w:rPr>
              <w:t>基础工程</w:t>
            </w:r>
          </w:p>
          <w:p w14:paraId="3E8E1DE6">
            <w:pPr>
              <w:spacing w:line="360" w:lineRule="auto"/>
              <w:ind w:firstLine="480" w:firstLineChars="200"/>
              <w:rPr>
                <w:sz w:val="24"/>
              </w:rPr>
            </w:pPr>
            <w:r>
              <w:rPr>
                <w:sz w:val="24"/>
              </w:rPr>
              <w:t>在基础开挖、地基处理与基础施工时，由于挖土机、运土卡车等施工机械的运行，将产生一定的噪声；</w:t>
            </w:r>
            <w:r>
              <w:rPr>
                <w:bCs/>
                <w:sz w:val="24"/>
              </w:rPr>
              <w:t>同时产生扬尘，属无组织面源排放，源强不易确定；基础开挖引起原有土地利用类型的改变，会造成生态变化并引起一定程度的水土流失。同时产生施工人员</w:t>
            </w:r>
            <w:r>
              <w:rPr>
                <w:rFonts w:hint="eastAsia"/>
                <w:bCs/>
                <w:sz w:val="24"/>
                <w:lang w:eastAsia="zh-CN"/>
              </w:rPr>
              <w:t>生活污水</w:t>
            </w:r>
            <w:r>
              <w:rPr>
                <w:bCs/>
                <w:sz w:val="24"/>
              </w:rPr>
              <w:t>和生活垃圾。</w:t>
            </w:r>
          </w:p>
          <w:p w14:paraId="6D1DD5D2">
            <w:pPr>
              <w:spacing w:line="360" w:lineRule="auto"/>
              <w:ind w:firstLine="482" w:firstLineChars="200"/>
              <w:rPr>
                <w:sz w:val="24"/>
              </w:rPr>
            </w:pPr>
            <w:r>
              <w:rPr>
                <w:rFonts w:hint="eastAsia"/>
                <w:b/>
                <w:sz w:val="24"/>
              </w:rPr>
              <w:t>②</w:t>
            </w:r>
            <w:r>
              <w:rPr>
                <w:b/>
                <w:sz w:val="24"/>
              </w:rPr>
              <w:t>主体工程</w:t>
            </w:r>
          </w:p>
          <w:p w14:paraId="2CA0CE41">
            <w:pPr>
              <w:spacing w:line="360" w:lineRule="auto"/>
              <w:ind w:firstLine="480" w:firstLineChars="200"/>
              <w:rPr>
                <w:sz w:val="24"/>
              </w:rPr>
            </w:pPr>
            <w:r>
              <w:rPr>
                <w:sz w:val="24"/>
              </w:rPr>
              <w:t>主体施工时，包括钢筋、混凝土工程，钢木工程，砌体工程</w:t>
            </w:r>
            <w:r>
              <w:rPr>
                <w:rFonts w:hint="eastAsia"/>
                <w:sz w:val="24"/>
              </w:rPr>
              <w:t>等，</w:t>
            </w:r>
            <w:r>
              <w:rPr>
                <w:sz w:val="24"/>
              </w:rPr>
              <w:t>产生的污染物主要为施工人员的生活污水、生活垃圾、建筑垃圾、扬尘以及</w:t>
            </w:r>
            <w:r>
              <w:rPr>
                <w:rFonts w:hint="eastAsia"/>
                <w:sz w:val="24"/>
              </w:rPr>
              <w:t>各类机械在施工过程中产生</w:t>
            </w:r>
            <w:r>
              <w:rPr>
                <w:sz w:val="24"/>
              </w:rPr>
              <w:t>的噪声</w:t>
            </w:r>
            <w:r>
              <w:rPr>
                <w:rFonts w:hint="eastAsia"/>
                <w:sz w:val="24"/>
              </w:rPr>
              <w:t>；以及</w:t>
            </w:r>
            <w:r>
              <w:rPr>
                <w:sz w:val="24"/>
              </w:rPr>
              <w:t>在建渣运输过程中将产生扬尘等环境问题。</w:t>
            </w:r>
          </w:p>
          <w:p w14:paraId="30155BEC">
            <w:pPr>
              <w:spacing w:line="360" w:lineRule="auto"/>
              <w:ind w:firstLine="482" w:firstLineChars="200"/>
              <w:rPr>
                <w:b/>
                <w:sz w:val="24"/>
              </w:rPr>
            </w:pPr>
            <w:r>
              <w:rPr>
                <w:rFonts w:hint="eastAsia"/>
                <w:b/>
                <w:sz w:val="24"/>
              </w:rPr>
              <w:t>③</w:t>
            </w:r>
            <w:r>
              <w:rPr>
                <w:b/>
                <w:sz w:val="24"/>
              </w:rPr>
              <w:t>装饰工程</w:t>
            </w:r>
          </w:p>
          <w:p w14:paraId="3E742B13">
            <w:pPr>
              <w:snapToGrid w:val="0"/>
              <w:spacing w:line="360" w:lineRule="auto"/>
              <w:ind w:firstLine="480" w:firstLineChars="200"/>
              <w:rPr>
                <w:sz w:val="24"/>
              </w:rPr>
            </w:pPr>
            <w:r>
              <w:rPr>
                <w:sz w:val="24"/>
              </w:rPr>
              <w:t>包括站房内墙体装修、粉刷、回填土方，清理现场等。产生的污染物主要为装修时施工机械（如钻机、电锤等）产生的噪声，油漆和喷涂产生废气、废物料等</w:t>
            </w:r>
            <w:r>
              <w:rPr>
                <w:rFonts w:hint="eastAsia"/>
                <w:sz w:val="24"/>
              </w:rPr>
              <w:t>；以及</w:t>
            </w:r>
            <w:r>
              <w:rPr>
                <w:bCs/>
                <w:sz w:val="24"/>
              </w:rPr>
              <w:t>在</w:t>
            </w:r>
            <w:r>
              <w:rPr>
                <w:rFonts w:hint="eastAsia"/>
                <w:bCs/>
                <w:sz w:val="24"/>
              </w:rPr>
              <w:t>装修垃圾</w:t>
            </w:r>
            <w:r>
              <w:rPr>
                <w:bCs/>
                <w:sz w:val="24"/>
              </w:rPr>
              <w:t>运输过程中将产生扬尘等环境问题。</w:t>
            </w:r>
          </w:p>
          <w:p w14:paraId="09A5568A">
            <w:pPr>
              <w:spacing w:line="360" w:lineRule="auto"/>
              <w:ind w:firstLine="482" w:firstLineChars="200"/>
              <w:rPr>
                <w:b/>
                <w:sz w:val="24"/>
              </w:rPr>
            </w:pPr>
            <w:r>
              <w:rPr>
                <w:rFonts w:hint="eastAsia"/>
                <w:b/>
                <w:sz w:val="24"/>
              </w:rPr>
              <w:t>④</w:t>
            </w:r>
            <w:r>
              <w:rPr>
                <w:b/>
                <w:sz w:val="24"/>
              </w:rPr>
              <w:t>设备安装</w:t>
            </w:r>
          </w:p>
          <w:p w14:paraId="26F5AF6C">
            <w:pPr>
              <w:widowControl/>
              <w:spacing w:line="360" w:lineRule="auto"/>
              <w:ind w:firstLine="480" w:firstLineChars="200"/>
              <w:jc w:val="left"/>
              <w:rPr>
                <w:sz w:val="24"/>
              </w:rPr>
            </w:pPr>
            <w:r>
              <w:rPr>
                <w:sz w:val="24"/>
              </w:rPr>
              <w:t>包括环保设施施工、铺设上下水管、设备安装调试等。产生的污染物主要为设备安装、调试时候产生的噪声。</w:t>
            </w:r>
          </w:p>
          <w:p w14:paraId="3A577A0E">
            <w:pPr>
              <w:widowControl/>
              <w:spacing w:line="360" w:lineRule="auto"/>
              <w:ind w:firstLine="482" w:firstLineChars="200"/>
              <w:jc w:val="left"/>
              <w:rPr>
                <w:b/>
                <w:bCs/>
                <w:sz w:val="24"/>
              </w:rPr>
            </w:pPr>
            <w:r>
              <w:rPr>
                <w:rFonts w:hint="eastAsia"/>
                <w:b/>
                <w:bCs/>
                <w:sz w:val="24"/>
              </w:rPr>
              <w:t>⑤</w:t>
            </w:r>
            <w:r>
              <w:rPr>
                <w:b/>
                <w:bCs/>
                <w:sz w:val="24"/>
              </w:rPr>
              <w:t>工程验收</w:t>
            </w:r>
          </w:p>
          <w:p w14:paraId="48F2514A">
            <w:pPr>
              <w:widowControl/>
              <w:spacing w:line="360" w:lineRule="auto"/>
              <w:ind w:firstLine="480" w:firstLineChars="200"/>
              <w:jc w:val="left"/>
              <w:rPr>
                <w:bCs/>
                <w:sz w:val="24"/>
              </w:rPr>
            </w:pPr>
            <w:r>
              <w:rPr>
                <w:kern w:val="0"/>
                <w:sz w:val="24"/>
              </w:rPr>
              <w:t>主体工程、设备安装完成后，进入工程验收阶段，由专业的</w:t>
            </w:r>
            <w:r>
              <w:rPr>
                <w:rFonts w:hint="eastAsia"/>
                <w:kern w:val="0"/>
                <w:sz w:val="24"/>
              </w:rPr>
              <w:t>机构</w:t>
            </w:r>
            <w:r>
              <w:rPr>
                <w:kern w:val="0"/>
                <w:sz w:val="24"/>
              </w:rPr>
              <w:t>对</w:t>
            </w:r>
            <w:r>
              <w:rPr>
                <w:rFonts w:hint="eastAsia"/>
                <w:kern w:val="0"/>
                <w:sz w:val="24"/>
              </w:rPr>
              <w:t>垃圾中转站</w:t>
            </w:r>
            <w:r>
              <w:rPr>
                <w:kern w:val="0"/>
                <w:sz w:val="24"/>
              </w:rPr>
              <w:t>各方面建设内容进行验收。验收合格后交付建设单位。</w:t>
            </w:r>
          </w:p>
          <w:p w14:paraId="1325546F">
            <w:pPr>
              <w:adjustRightInd w:val="0"/>
              <w:snapToGrid w:val="0"/>
              <w:spacing w:line="360" w:lineRule="auto"/>
              <w:ind w:firstLine="482" w:firstLineChars="200"/>
              <w:rPr>
                <w:b/>
                <w:sz w:val="24"/>
              </w:rPr>
            </w:pPr>
            <w:r>
              <w:rPr>
                <w:rFonts w:hint="eastAsia"/>
                <w:b/>
                <w:sz w:val="24"/>
              </w:rPr>
              <w:t>2）产污环节</w:t>
            </w:r>
          </w:p>
          <w:p w14:paraId="1A24E3EB">
            <w:pPr>
              <w:adjustRightInd w:val="0"/>
              <w:snapToGrid w:val="0"/>
              <w:spacing w:line="360" w:lineRule="auto"/>
              <w:ind w:firstLine="482" w:firstLineChars="200"/>
              <w:rPr>
                <w:b/>
                <w:sz w:val="24"/>
              </w:rPr>
            </w:pPr>
            <w:r>
              <w:rPr>
                <w:rFonts w:hint="eastAsia"/>
                <w:b/>
                <w:sz w:val="24"/>
              </w:rPr>
              <w:t>①废气</w:t>
            </w:r>
          </w:p>
          <w:p w14:paraId="14486DB0">
            <w:pPr>
              <w:widowControl/>
              <w:spacing w:line="360" w:lineRule="auto"/>
              <w:ind w:firstLine="480" w:firstLineChars="200"/>
              <w:jc w:val="left"/>
              <w:rPr>
                <w:color w:val="00B050"/>
                <w:sz w:val="24"/>
              </w:rPr>
            </w:pPr>
            <w:r>
              <w:rPr>
                <w:rFonts w:hint="eastAsia" w:ascii="宋体" w:hAnsi="宋体" w:cs="宋体"/>
                <w:kern w:val="0"/>
                <w:sz w:val="24"/>
                <w:lang w:bidi="ar"/>
              </w:rPr>
              <w:t>本项目施工期大气污染物主要来自建设期间施工扬尘、机械尾气、装修废气。</w:t>
            </w:r>
          </w:p>
          <w:p w14:paraId="39A4BF12">
            <w:pPr>
              <w:widowControl/>
              <w:spacing w:line="360" w:lineRule="auto"/>
              <w:ind w:firstLine="482" w:firstLineChars="200"/>
              <w:jc w:val="left"/>
              <w:rPr>
                <w:rFonts w:hint="eastAsia" w:ascii="宋体" w:hAnsi="宋体" w:cs="宋体"/>
                <w:b/>
                <w:bCs/>
                <w:color w:val="000000"/>
                <w:kern w:val="0"/>
                <w:sz w:val="24"/>
                <w:lang w:bidi="ar"/>
              </w:rPr>
            </w:pPr>
            <w:r>
              <w:rPr>
                <w:rFonts w:hint="eastAsia" w:ascii="宋体" w:hAnsi="宋体" w:cs="宋体"/>
                <w:b/>
                <w:bCs/>
                <w:color w:val="000000"/>
                <w:kern w:val="0"/>
                <w:sz w:val="24"/>
                <w:lang w:bidi="ar"/>
              </w:rPr>
              <w:t>②废水</w:t>
            </w:r>
          </w:p>
          <w:p w14:paraId="0042EFFB">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本项目施工期废水主要</w:t>
            </w:r>
            <w:r>
              <w:rPr>
                <w:rFonts w:hint="eastAsia" w:ascii="宋体" w:hAnsi="宋体" w:cs="宋体"/>
                <w:color w:val="000000"/>
                <w:kern w:val="0"/>
                <w:sz w:val="24"/>
                <w:lang w:eastAsia="zh-CN" w:bidi="ar"/>
              </w:rPr>
              <w:t>来自</w:t>
            </w:r>
            <w:r>
              <w:rPr>
                <w:rFonts w:hint="eastAsia" w:ascii="宋体" w:hAnsi="宋体" w:cs="宋体"/>
                <w:color w:val="000000"/>
                <w:kern w:val="0"/>
                <w:sz w:val="24"/>
                <w:lang w:bidi="ar"/>
              </w:rPr>
              <w:t>施工人员产生的生活污水、施工作业产生的施工废水、车辆冲洗废水。</w:t>
            </w:r>
          </w:p>
          <w:p w14:paraId="22FD2CE1">
            <w:pPr>
              <w:widowControl/>
              <w:spacing w:line="360" w:lineRule="auto"/>
              <w:ind w:firstLine="482" w:firstLineChars="200"/>
              <w:jc w:val="left"/>
              <w:rPr>
                <w:rFonts w:hint="eastAsia" w:ascii="宋体" w:hAnsi="宋体" w:cs="宋体"/>
                <w:b/>
                <w:bCs/>
                <w:color w:val="000000"/>
                <w:kern w:val="0"/>
                <w:sz w:val="24"/>
                <w:lang w:bidi="ar"/>
              </w:rPr>
            </w:pPr>
            <w:r>
              <w:rPr>
                <w:rFonts w:hint="eastAsia" w:ascii="宋体" w:hAnsi="宋体" w:cs="宋体"/>
                <w:b/>
                <w:bCs/>
                <w:color w:val="000000"/>
                <w:kern w:val="0"/>
                <w:sz w:val="24"/>
                <w:lang w:bidi="ar"/>
              </w:rPr>
              <w:t>③噪声</w:t>
            </w:r>
          </w:p>
          <w:p w14:paraId="65AF6C29">
            <w:pPr>
              <w:widowControl/>
              <w:spacing w:line="360" w:lineRule="auto"/>
              <w:ind w:firstLine="480" w:firstLineChars="200"/>
              <w:jc w:val="left"/>
            </w:pPr>
            <w:r>
              <w:rPr>
                <w:rFonts w:hint="eastAsia" w:ascii="宋体" w:hAnsi="宋体" w:cs="宋体"/>
                <w:color w:val="000000"/>
                <w:kern w:val="0"/>
                <w:sz w:val="24"/>
                <w:lang w:bidi="ar"/>
              </w:rPr>
              <w:t>本项目施工期噪声来源于施工机械设备噪声、施工运输车辆噪声、施工人员活动噪声。</w:t>
            </w:r>
          </w:p>
          <w:p w14:paraId="15D54082">
            <w:pPr>
              <w:widowControl/>
              <w:spacing w:line="360" w:lineRule="auto"/>
              <w:ind w:firstLine="482" w:firstLineChars="200"/>
              <w:jc w:val="left"/>
              <w:rPr>
                <w:rFonts w:hint="eastAsia" w:ascii="宋体" w:hAnsi="宋体" w:cs="宋体"/>
                <w:b/>
                <w:bCs/>
                <w:color w:val="000000"/>
                <w:kern w:val="0"/>
                <w:sz w:val="24"/>
                <w:lang w:bidi="ar"/>
              </w:rPr>
            </w:pPr>
            <w:r>
              <w:rPr>
                <w:rFonts w:hint="eastAsia" w:ascii="宋体" w:hAnsi="宋体" w:cs="宋体"/>
                <w:b/>
                <w:bCs/>
                <w:color w:val="000000"/>
                <w:kern w:val="0"/>
                <w:sz w:val="24"/>
                <w:lang w:bidi="ar"/>
              </w:rPr>
              <w:t>④固废</w:t>
            </w:r>
          </w:p>
          <w:p w14:paraId="31186603">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本项目施工期间产生的固体废物主要有土方开挖产生的弃土、工程装修期间产生的建筑垃圾、施工人员产生的生活垃圾。</w:t>
            </w:r>
          </w:p>
          <w:p w14:paraId="100E5011">
            <w:pPr>
              <w:snapToGrid w:val="0"/>
              <w:spacing w:line="360" w:lineRule="auto"/>
              <w:ind w:firstLine="480" w:firstLineChars="200"/>
              <w:rPr>
                <w:rFonts w:hint="eastAsia" w:ascii="宋体" w:hAnsi="宋体" w:cs="宋体"/>
                <w:color w:val="000000"/>
                <w:kern w:val="0"/>
                <w:sz w:val="24"/>
                <w:lang w:bidi="ar"/>
              </w:rPr>
            </w:pPr>
            <w:r>
              <w:rPr>
                <w:bCs/>
                <w:sz w:val="24"/>
              </w:rPr>
              <w:t>根据对施工期主要产污节点来看，本项目施工期主要以施工扬尘、施工机械废气、施工废水、生活污水、施工噪声、建筑废物、生活垃圾等为主要环境影响因素，但上述污染物随施工期的结束而结束。</w:t>
            </w:r>
          </w:p>
          <w:p w14:paraId="102260E3">
            <w:pPr>
              <w:widowControl/>
              <w:spacing w:line="360" w:lineRule="auto"/>
              <w:ind w:firstLine="482" w:firstLineChars="200"/>
              <w:jc w:val="left"/>
              <w:rPr>
                <w:rFonts w:hint="eastAsia" w:ascii="宋体" w:hAnsi="宋体" w:cs="宋体"/>
                <w:color w:val="000000"/>
                <w:kern w:val="0"/>
                <w:sz w:val="24"/>
                <w:lang w:bidi="ar"/>
              </w:rPr>
            </w:pPr>
            <w:r>
              <w:rPr>
                <w:b/>
                <w:bCs/>
                <w:color w:val="000000"/>
                <w:kern w:val="0"/>
                <w:sz w:val="24"/>
                <w:lang w:bidi="ar"/>
              </w:rPr>
              <w:t>2、营运期</w:t>
            </w:r>
            <w:r>
              <w:rPr>
                <w:b/>
                <w:bCs/>
                <w:sz w:val="24"/>
              </w:rPr>
              <w:t>工</w:t>
            </w:r>
            <w:r>
              <w:rPr>
                <w:b/>
                <w:sz w:val="24"/>
              </w:rPr>
              <w:t>艺流程及产污环</w:t>
            </w:r>
            <w:r>
              <w:rPr>
                <w:rFonts w:hint="eastAsia"/>
                <w:b/>
                <w:sz w:val="24"/>
              </w:rPr>
              <w:t>节</w:t>
            </w:r>
          </w:p>
          <w:p w14:paraId="11EBAD99">
            <w:pPr>
              <w:widowControl/>
              <w:spacing w:line="360" w:lineRule="auto"/>
              <w:ind w:firstLine="482" w:firstLineChars="200"/>
              <w:jc w:val="left"/>
              <w:rPr>
                <w:rFonts w:hint="eastAsia" w:ascii="宋体" w:hAnsi="宋体" w:cs="宋体"/>
                <w:b/>
                <w:bCs/>
                <w:color w:val="000000"/>
                <w:kern w:val="0"/>
                <w:sz w:val="24"/>
                <w:lang w:bidi="ar"/>
              </w:rPr>
            </w:pPr>
            <w:r>
              <w:rPr>
                <w:rFonts w:hint="eastAsia" w:ascii="宋体" w:hAnsi="宋体" w:cs="宋体"/>
                <w:b/>
                <w:bCs/>
                <w:color w:val="000000"/>
                <w:kern w:val="0"/>
                <w:sz w:val="24"/>
                <w:lang w:bidi="ar"/>
              </w:rPr>
              <w:t>（1）垃圾压缩转运站工艺流程</w:t>
            </w:r>
          </w:p>
          <w:p w14:paraId="196F84DA">
            <w:pPr>
              <w:widowControl/>
              <w:spacing w:line="360" w:lineRule="auto"/>
              <w:ind w:firstLine="480" w:firstLineChars="200"/>
              <w:jc w:val="left"/>
              <w:rPr>
                <w:bCs/>
                <w:sz w:val="24"/>
              </w:rPr>
            </w:pPr>
            <w:r>
              <w:rPr>
                <w:color w:val="000000"/>
                <w:kern w:val="0"/>
                <w:sz w:val="24"/>
                <w:lang w:bidi="ar"/>
              </w:rPr>
              <w:t>项目营运期的工艺流程及产污位置</w:t>
            </w:r>
            <w:r>
              <w:rPr>
                <w:rFonts w:hint="eastAsia"/>
                <w:color w:val="000000"/>
                <w:kern w:val="0"/>
                <w:sz w:val="24"/>
                <w:lang w:bidi="ar"/>
              </w:rPr>
              <w:t>见下图</w:t>
            </w:r>
            <w:r>
              <w:rPr>
                <w:color w:val="000000"/>
                <w:kern w:val="0"/>
                <w:sz w:val="24"/>
                <w:lang w:bidi="ar"/>
              </w:rPr>
              <w:t>。</w:t>
            </w:r>
          </w:p>
          <w:p w14:paraId="6648507F">
            <w:pPr>
              <w:widowControl/>
              <w:spacing w:line="360" w:lineRule="auto"/>
              <w:jc w:val="center"/>
              <w:rPr>
                <w:highlight w:val="cyan"/>
              </w:rPr>
            </w:pPr>
          </w:p>
          <w:p w14:paraId="7F4505E7">
            <w:pPr>
              <w:spacing w:line="360" w:lineRule="auto"/>
              <w:jc w:val="center"/>
              <w:rPr>
                <w:rFonts w:eastAsia="黑体"/>
                <w:color w:val="000000"/>
                <w:kern w:val="0"/>
                <w:szCs w:val="21"/>
                <w:lang w:bidi="ar"/>
              </w:rPr>
            </w:pPr>
            <w:r>
              <w:rPr>
                <w:rFonts w:eastAsia="黑体"/>
                <w:color w:val="000000"/>
                <w:kern w:val="0"/>
                <w:szCs w:val="21"/>
                <w:lang w:bidi="ar"/>
              </w:rPr>
              <w:drawing>
                <wp:inline distT="0" distB="0" distL="114300" distR="114300">
                  <wp:extent cx="3890010" cy="2365375"/>
                  <wp:effectExtent l="0" t="0" r="0" b="0"/>
                  <wp:docPr id="53" name="ECB019B1-382A-4266-B25C-5B523AA43C14-2" descr="C:/Users/Administrator.BF-20230911XIAM/AppData/Local/Temp/wps.SdhSb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B019B1-382A-4266-B25C-5B523AA43C14-2" descr="C:/Users/Administrator.BF-20230911XIAM/AppData/Local/Temp/wps.SdhSbMwps"/>
                          <pic:cNvPicPr>
                            <a:picLocks noChangeAspect="1"/>
                          </pic:cNvPicPr>
                        </pic:nvPicPr>
                        <pic:blipFill>
                          <a:blip r:embed="rId14"/>
                          <a:stretch>
                            <a:fillRect/>
                          </a:stretch>
                        </pic:blipFill>
                        <pic:spPr>
                          <a:xfrm>
                            <a:off x="0" y="0"/>
                            <a:ext cx="3890010" cy="2365375"/>
                          </a:xfrm>
                          <a:prstGeom prst="rect">
                            <a:avLst/>
                          </a:prstGeom>
                        </pic:spPr>
                      </pic:pic>
                    </a:graphicData>
                  </a:graphic>
                </wp:inline>
              </w:drawing>
            </w:r>
          </w:p>
          <w:p w14:paraId="16007318">
            <w:pPr>
              <w:widowControl/>
              <w:spacing w:line="360" w:lineRule="auto"/>
              <w:jc w:val="center"/>
              <w:rPr>
                <w:rFonts w:eastAsia="黑体" w:cs="黑体"/>
                <w:szCs w:val="21"/>
              </w:rPr>
            </w:pPr>
            <w:r>
              <w:rPr>
                <w:rFonts w:eastAsia="黑体" w:cs="黑体"/>
                <w:szCs w:val="21"/>
              </w:rPr>
              <w:t>图</w:t>
            </w:r>
            <w:r>
              <w:rPr>
                <w:rFonts w:hint="eastAsia" w:eastAsia="黑体" w:cs="黑体"/>
                <w:szCs w:val="21"/>
              </w:rPr>
              <w:t>2-2</w:t>
            </w:r>
            <w:r>
              <w:rPr>
                <w:rFonts w:eastAsia="黑体" w:cs="黑体"/>
                <w:szCs w:val="21"/>
              </w:rPr>
              <w:t xml:space="preserve"> 项目</w:t>
            </w:r>
            <w:r>
              <w:rPr>
                <w:rFonts w:hint="eastAsia" w:eastAsia="黑体" w:cs="黑体"/>
                <w:szCs w:val="21"/>
              </w:rPr>
              <w:t>运营</w:t>
            </w:r>
            <w:r>
              <w:rPr>
                <w:rFonts w:eastAsia="黑体" w:cs="黑体"/>
                <w:szCs w:val="21"/>
              </w:rPr>
              <w:t>期工艺流程及产污位置示意图</w:t>
            </w:r>
          </w:p>
          <w:p w14:paraId="2A4C2315">
            <w:pPr>
              <w:spacing w:line="360" w:lineRule="auto"/>
              <w:ind w:firstLine="482" w:firstLineChars="200"/>
              <w:rPr>
                <w:b/>
                <w:sz w:val="24"/>
              </w:rPr>
            </w:pPr>
            <w:r>
              <w:rPr>
                <w:b/>
                <w:sz w:val="24"/>
              </w:rPr>
              <w:t>主要工序简述：</w:t>
            </w:r>
          </w:p>
          <w:p w14:paraId="45EA9B6B">
            <w:pPr>
              <w:adjustRightInd w:val="0"/>
              <w:snapToGrid w:val="0"/>
              <w:spacing w:line="360" w:lineRule="auto"/>
              <w:ind w:firstLine="482" w:firstLineChars="200"/>
              <w:rPr>
                <w:b/>
                <w:sz w:val="24"/>
              </w:rPr>
            </w:pPr>
            <w:r>
              <w:rPr>
                <w:rFonts w:hint="eastAsia"/>
                <w:b/>
                <w:sz w:val="24"/>
              </w:rPr>
              <w:t>①称重</w:t>
            </w:r>
          </w:p>
          <w:p w14:paraId="545939F4">
            <w:pPr>
              <w:adjustRightInd w:val="0"/>
              <w:snapToGrid w:val="0"/>
              <w:spacing w:line="360" w:lineRule="auto"/>
              <w:ind w:firstLine="480" w:firstLineChars="200"/>
              <w:rPr>
                <w:bCs/>
                <w:sz w:val="24"/>
              </w:rPr>
            </w:pPr>
            <w:r>
              <w:rPr>
                <w:rFonts w:hint="eastAsia"/>
                <w:bCs/>
                <w:sz w:val="24"/>
              </w:rPr>
              <w:t>本项目采用封闭性较好的垃圾收集车和转运车，当进出站时，具有智能化管理能力的称重计量系统能自动进行车辆识别、垃圾吨位测量、监视监控、数据存储、打印记录等功能。该称重计量系统与站内中央监控系统联网，中央监控室可以全程监视称重过程，并能调阅称重数据。称重软件可分别按每车、每天、每月、每季度、每年统计垃圾量，记录收集车运行状况。</w:t>
            </w:r>
          </w:p>
          <w:p w14:paraId="7E11168F">
            <w:pPr>
              <w:adjustRightInd w:val="0"/>
              <w:snapToGrid w:val="0"/>
              <w:spacing w:line="360" w:lineRule="auto"/>
              <w:ind w:firstLine="482" w:firstLineChars="200"/>
              <w:rPr>
                <w:bCs/>
                <w:sz w:val="24"/>
              </w:rPr>
            </w:pPr>
            <w:r>
              <w:rPr>
                <w:rFonts w:hint="eastAsia"/>
                <w:b/>
                <w:sz w:val="24"/>
              </w:rPr>
              <w:t>②卸料</w:t>
            </w:r>
          </w:p>
          <w:p w14:paraId="709B72BE">
            <w:pPr>
              <w:adjustRightInd w:val="0"/>
              <w:snapToGrid w:val="0"/>
              <w:spacing w:line="360" w:lineRule="auto"/>
              <w:ind w:firstLine="480" w:firstLineChars="200"/>
              <w:rPr>
                <w:bCs/>
                <w:sz w:val="24"/>
              </w:rPr>
            </w:pPr>
            <w:r>
              <w:rPr>
                <w:bCs/>
                <w:sz w:val="24"/>
              </w:rPr>
              <w:t>生活垃圾收集车进入转运站后，首先进入</w:t>
            </w:r>
            <w:r>
              <w:rPr>
                <w:rFonts w:hint="eastAsia"/>
                <w:bCs/>
                <w:sz w:val="24"/>
              </w:rPr>
              <w:t>二楼卸</w:t>
            </w:r>
            <w:r>
              <w:rPr>
                <w:bCs/>
                <w:sz w:val="24"/>
              </w:rPr>
              <w:t>料平台相应的卸料位。此时，卸料车间的高速卷帘门自动感应并快速打开。当垃圾收集车准备卸料时，位于卸料车间内部的负压抽风除臭系统和空间喷淋除臭系统自动感应并开始工作，将卸料后产生的卸料废气抑制并抽进处理系统，减少无组织排放。</w:t>
            </w:r>
          </w:p>
          <w:p w14:paraId="168DDA89">
            <w:pPr>
              <w:adjustRightInd w:val="0"/>
              <w:snapToGrid w:val="0"/>
              <w:spacing w:line="360" w:lineRule="auto"/>
              <w:ind w:firstLine="480" w:firstLineChars="200"/>
              <w:rPr>
                <w:bCs/>
                <w:sz w:val="24"/>
              </w:rPr>
            </w:pPr>
            <w:r>
              <w:rPr>
                <w:bCs/>
                <w:sz w:val="24"/>
              </w:rPr>
              <w:t>卸料大厅采用空间雾化系统进行降尘除臭，植物液可有效净化站内空气，根据转运站实际布局安装雾化喷嘴装置，交错相向喷洒，确保因垃圾收集车频繁出入转运站而产生的持续性臭味和粉尘及时分解、沉降，避免向四周扩散。卸料槽设有污水收集装置，将随推头带到后部的</w:t>
            </w:r>
            <w:r>
              <w:rPr>
                <w:rFonts w:hint="eastAsia"/>
                <w:bCs/>
                <w:sz w:val="24"/>
              </w:rPr>
              <w:t>渗漏液收集池（100m³）收集</w:t>
            </w:r>
            <w:r>
              <w:rPr>
                <w:bCs/>
                <w:sz w:val="24"/>
              </w:rPr>
              <w:t>，防止外泄。</w:t>
            </w:r>
          </w:p>
          <w:p w14:paraId="5B0588D1">
            <w:pPr>
              <w:adjustRightInd w:val="0"/>
              <w:snapToGrid w:val="0"/>
              <w:spacing w:line="360" w:lineRule="auto"/>
              <w:ind w:firstLine="482" w:firstLineChars="200"/>
              <w:rPr>
                <w:b/>
                <w:sz w:val="24"/>
              </w:rPr>
            </w:pPr>
            <w:r>
              <w:rPr>
                <w:rFonts w:hint="eastAsia"/>
                <w:b/>
                <w:sz w:val="24"/>
              </w:rPr>
              <w:t>③压缩</w:t>
            </w:r>
          </w:p>
          <w:p w14:paraId="7E5EABF7">
            <w:pPr>
              <w:adjustRightInd w:val="0"/>
              <w:snapToGrid w:val="0"/>
              <w:spacing w:line="360" w:lineRule="auto"/>
              <w:ind w:firstLine="480" w:firstLineChars="200"/>
              <w:rPr>
                <w:bCs/>
                <w:sz w:val="24"/>
              </w:rPr>
            </w:pPr>
            <w:r>
              <w:rPr>
                <w:bCs/>
                <w:sz w:val="24"/>
              </w:rPr>
              <w:t>根据上料和压缩情况，操作员合理操作上料机推头将垃圾推入到压缩机压缩腔内，然后启动压缩机，压缩推头将压缩腔内的垃圾压进垃圾集装箱内，压缩推头连续循环运行，直至垃圾压缩腔或卸料槽中垃圾数量不足时，垃圾压缩设备停止运行，等待下一次工作</w:t>
            </w:r>
            <w:r>
              <w:rPr>
                <w:rFonts w:hint="eastAsia"/>
                <w:bCs/>
                <w:sz w:val="24"/>
              </w:rPr>
              <w:t>。</w:t>
            </w:r>
          </w:p>
          <w:p w14:paraId="10F80E1B">
            <w:pPr>
              <w:adjustRightInd w:val="0"/>
              <w:snapToGrid w:val="0"/>
              <w:spacing w:line="360" w:lineRule="auto"/>
              <w:ind w:firstLine="480" w:firstLineChars="200"/>
              <w:rPr>
                <w:bCs/>
                <w:sz w:val="24"/>
              </w:rPr>
            </w:pPr>
            <w:r>
              <w:rPr>
                <w:bCs/>
                <w:sz w:val="24"/>
              </w:rPr>
              <w:t>垃圾进入压缩机内压缩产生的废气通过负压抽风除尘除臭系统处理。压缩</w:t>
            </w:r>
            <w:r>
              <w:rPr>
                <w:rFonts w:hint="eastAsia"/>
                <w:bCs/>
                <w:sz w:val="24"/>
              </w:rPr>
              <w:t>过程</w:t>
            </w:r>
            <w:r>
              <w:rPr>
                <w:bCs/>
                <w:sz w:val="24"/>
              </w:rPr>
              <w:t>产生的垃圾渗滤液通过对接排水管道定向收集到</w:t>
            </w:r>
            <w:r>
              <w:rPr>
                <w:rFonts w:hint="eastAsia"/>
                <w:bCs/>
                <w:sz w:val="24"/>
              </w:rPr>
              <w:t>渗滤液</w:t>
            </w:r>
            <w:r>
              <w:rPr>
                <w:bCs/>
                <w:sz w:val="24"/>
              </w:rPr>
              <w:t>收集池</w:t>
            </w:r>
            <w:r>
              <w:rPr>
                <w:rFonts w:hint="eastAsia"/>
                <w:bCs/>
                <w:sz w:val="24"/>
              </w:rPr>
              <w:t>（100m³）</w:t>
            </w:r>
            <w:r>
              <w:rPr>
                <w:bCs/>
                <w:sz w:val="24"/>
              </w:rPr>
              <w:t>，再进入</w:t>
            </w:r>
            <w:r>
              <w:rPr>
                <w:rFonts w:hint="eastAsia"/>
                <w:bCs/>
                <w:sz w:val="24"/>
              </w:rPr>
              <w:t>渗滤液</w:t>
            </w:r>
            <w:r>
              <w:rPr>
                <w:bCs/>
                <w:sz w:val="24"/>
              </w:rPr>
              <w:t>处理车间进行处理</w:t>
            </w:r>
            <w:r>
              <w:rPr>
                <w:rFonts w:hint="eastAsia"/>
                <w:bCs/>
                <w:sz w:val="24"/>
              </w:rPr>
              <w:t>达标</w:t>
            </w:r>
            <w:r>
              <w:rPr>
                <w:bCs/>
                <w:sz w:val="24"/>
              </w:rPr>
              <w:t>后</w:t>
            </w:r>
            <w:r>
              <w:rPr>
                <w:rFonts w:hint="eastAsia"/>
                <w:bCs/>
                <w:sz w:val="24"/>
              </w:rPr>
              <w:t>排入市政污水管网，进入达州市第二城市污水处理厂处理达标后排放</w:t>
            </w:r>
            <w:r>
              <w:rPr>
                <w:bCs/>
                <w:sz w:val="24"/>
              </w:rPr>
              <w:t>。</w:t>
            </w:r>
          </w:p>
          <w:p w14:paraId="1741E087">
            <w:pPr>
              <w:adjustRightInd w:val="0"/>
              <w:snapToGrid w:val="0"/>
              <w:spacing w:line="360" w:lineRule="auto"/>
              <w:ind w:firstLine="482" w:firstLineChars="200"/>
              <w:rPr>
                <w:b/>
                <w:sz w:val="24"/>
              </w:rPr>
            </w:pPr>
            <w:r>
              <w:rPr>
                <w:rFonts w:hint="eastAsia"/>
                <w:b/>
                <w:sz w:val="24"/>
              </w:rPr>
              <w:t>④牵引上车</w:t>
            </w:r>
          </w:p>
          <w:p w14:paraId="554F4FCB">
            <w:pPr>
              <w:adjustRightInd w:val="0"/>
              <w:snapToGrid w:val="0"/>
              <w:spacing w:line="360" w:lineRule="auto"/>
              <w:ind w:firstLine="480" w:firstLineChars="200"/>
              <w:rPr>
                <w:bCs/>
                <w:sz w:val="24"/>
              </w:rPr>
            </w:pPr>
            <w:r>
              <w:rPr>
                <w:bCs/>
                <w:sz w:val="24"/>
              </w:rPr>
              <w:t>垃圾压缩集装箱的装车、运输、卸料和复位过程均由垃圾转运车来完成。转运车的牵引机构由液压驱动，倾角可达72°。垃圾压缩集装箱装车时先由牵引机构提升使</w:t>
            </w:r>
            <w:r>
              <w:rPr>
                <w:rFonts w:hint="eastAsia"/>
                <w:bCs/>
                <w:sz w:val="24"/>
              </w:rPr>
              <w:t>其</w:t>
            </w:r>
            <w:r>
              <w:rPr>
                <w:bCs/>
                <w:sz w:val="24"/>
              </w:rPr>
              <w:t>倾斜，将</w:t>
            </w:r>
            <w:r>
              <w:rPr>
                <w:rFonts w:hint="eastAsia"/>
                <w:bCs/>
                <w:sz w:val="24"/>
              </w:rPr>
              <w:t>其</w:t>
            </w:r>
            <w:r>
              <w:rPr>
                <w:bCs/>
                <w:sz w:val="24"/>
              </w:rPr>
              <w:t>与翻转架相贴，然后再平稳地回到水平位置。</w:t>
            </w:r>
          </w:p>
          <w:p w14:paraId="5EB4F3CA">
            <w:pPr>
              <w:adjustRightInd w:val="0"/>
              <w:snapToGrid w:val="0"/>
              <w:spacing w:line="360" w:lineRule="auto"/>
              <w:ind w:firstLine="482" w:firstLineChars="200"/>
              <w:rPr>
                <w:b/>
                <w:sz w:val="24"/>
              </w:rPr>
            </w:pPr>
            <w:r>
              <w:rPr>
                <w:rFonts w:hint="eastAsia"/>
                <w:b/>
                <w:sz w:val="24"/>
              </w:rPr>
              <w:t>⑤转运</w:t>
            </w:r>
          </w:p>
          <w:p w14:paraId="5EF96C70">
            <w:pPr>
              <w:adjustRightInd w:val="0"/>
              <w:snapToGrid w:val="0"/>
              <w:spacing w:line="360" w:lineRule="auto"/>
              <w:ind w:firstLine="480" w:firstLineChars="200"/>
              <w:rPr>
                <w:bCs/>
                <w:sz w:val="24"/>
              </w:rPr>
            </w:pPr>
            <w:r>
              <w:rPr>
                <w:rFonts w:hint="eastAsia"/>
                <w:bCs/>
                <w:sz w:val="24"/>
              </w:rPr>
              <w:t>垃圾压缩集装箱满箱装载完毕后，操作压缩机与分体箱自动分离，通过勾臂车钩起分体箱运往终端进行处理。除以上装车、运输、卸料和复位的功能外，转运车还具有移动容器的功能。即在垃圾进站高峰期和交通不畅时，利用站内的转运车将装满垃圾的容器移动至站内的容器放置点，待非高峰时段或交通顺畅时装车外运。另外，转运车返回转运站时，如果没有空闲的泊位，可将空容器放到站内的容器放置点，等待复位。这样，可减少转运车的配置数量，降低设备投资，节约时间，提高工作效率。</w:t>
            </w:r>
          </w:p>
          <w:p w14:paraId="21C1FFA6">
            <w:pPr>
              <w:pStyle w:val="9"/>
              <w:rPr>
                <w:rFonts w:cs="Times New Roman"/>
                <w:bCs/>
                <w:sz w:val="24"/>
              </w:rPr>
            </w:pPr>
          </w:p>
          <w:p w14:paraId="2A79398E">
            <w:pPr>
              <w:rPr>
                <w:bCs/>
                <w:sz w:val="24"/>
              </w:rPr>
            </w:pPr>
          </w:p>
          <w:p w14:paraId="07A1C38C">
            <w:pPr>
              <w:pStyle w:val="9"/>
              <w:rPr>
                <w:rFonts w:cs="Times New Roman"/>
                <w:bCs/>
                <w:sz w:val="24"/>
              </w:rPr>
            </w:pPr>
          </w:p>
          <w:p w14:paraId="63D785DC">
            <w:pPr>
              <w:rPr>
                <w:bCs/>
                <w:sz w:val="24"/>
              </w:rPr>
            </w:pPr>
          </w:p>
          <w:p w14:paraId="5E372502">
            <w:pPr>
              <w:pStyle w:val="9"/>
              <w:rPr>
                <w:rFonts w:cs="Times New Roman"/>
                <w:bCs/>
                <w:sz w:val="24"/>
              </w:rPr>
            </w:pPr>
          </w:p>
          <w:p w14:paraId="0493A0A3">
            <w:pPr>
              <w:rPr>
                <w:bCs/>
                <w:sz w:val="24"/>
              </w:rPr>
            </w:pPr>
          </w:p>
          <w:p w14:paraId="2E8637B3">
            <w:pPr>
              <w:pStyle w:val="9"/>
              <w:rPr>
                <w:rFonts w:cs="Times New Roman"/>
                <w:bCs/>
                <w:sz w:val="24"/>
              </w:rPr>
            </w:pPr>
          </w:p>
          <w:p w14:paraId="6E13A77D">
            <w:pPr>
              <w:rPr>
                <w:bCs/>
                <w:sz w:val="24"/>
              </w:rPr>
            </w:pPr>
          </w:p>
          <w:p w14:paraId="030D61F9">
            <w:pPr>
              <w:pStyle w:val="9"/>
              <w:rPr>
                <w:rFonts w:cs="Times New Roman"/>
                <w:bCs/>
                <w:sz w:val="24"/>
              </w:rPr>
            </w:pPr>
          </w:p>
          <w:p w14:paraId="33742ECD">
            <w:pPr>
              <w:rPr>
                <w:bCs/>
                <w:sz w:val="24"/>
              </w:rPr>
            </w:pPr>
          </w:p>
          <w:p w14:paraId="0B3441CC">
            <w:pPr>
              <w:pStyle w:val="9"/>
              <w:rPr>
                <w:rFonts w:cs="Times New Roman"/>
                <w:bCs/>
                <w:sz w:val="24"/>
              </w:rPr>
            </w:pPr>
          </w:p>
          <w:p w14:paraId="6ECCF8FC">
            <w:pPr>
              <w:rPr>
                <w:bCs/>
                <w:sz w:val="24"/>
              </w:rPr>
            </w:pPr>
          </w:p>
          <w:p w14:paraId="4878DF7F">
            <w:pPr>
              <w:rPr>
                <w:bCs/>
                <w:sz w:val="24"/>
              </w:rPr>
            </w:pPr>
          </w:p>
          <w:p w14:paraId="6022E007"/>
          <w:p w14:paraId="34F96507">
            <w:pPr>
              <w:adjustRightInd w:val="0"/>
              <w:snapToGrid w:val="0"/>
              <w:spacing w:line="360" w:lineRule="auto"/>
              <w:jc w:val="center"/>
              <w:rPr>
                <w:b/>
                <w:bCs/>
                <w:sz w:val="28"/>
                <w:szCs w:val="28"/>
              </w:rPr>
            </w:pPr>
            <w:r>
              <w:rPr>
                <w:rFonts w:hint="eastAsia"/>
                <w:b/>
                <w:bCs/>
                <w:sz w:val="28"/>
                <w:szCs w:val="28"/>
              </w:rPr>
              <w:drawing>
                <wp:inline distT="0" distB="0" distL="114300" distR="114300">
                  <wp:extent cx="3719195" cy="5260975"/>
                  <wp:effectExtent l="0" t="0" r="15875" b="14605"/>
                  <wp:docPr id="6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2"/>
                          <pic:cNvPicPr>
                            <a:picLocks noChangeAspect="1"/>
                          </pic:cNvPicPr>
                        </pic:nvPicPr>
                        <pic:blipFill>
                          <a:blip r:embed="rId15"/>
                          <a:stretch>
                            <a:fillRect/>
                          </a:stretch>
                        </pic:blipFill>
                        <pic:spPr>
                          <a:xfrm rot="16200000">
                            <a:off x="0" y="0"/>
                            <a:ext cx="3719195" cy="5260975"/>
                          </a:xfrm>
                          <a:prstGeom prst="rect">
                            <a:avLst/>
                          </a:prstGeom>
                          <a:noFill/>
                          <a:ln>
                            <a:noFill/>
                          </a:ln>
                        </pic:spPr>
                      </pic:pic>
                    </a:graphicData>
                  </a:graphic>
                </wp:inline>
              </w:drawing>
            </w:r>
          </w:p>
          <w:p w14:paraId="5EA59A61">
            <w:pPr>
              <w:adjustRightInd w:val="0"/>
              <w:snapToGrid w:val="0"/>
              <w:spacing w:line="360" w:lineRule="auto"/>
              <w:jc w:val="center"/>
              <w:rPr>
                <w:rFonts w:eastAsia="黑体"/>
                <w:color w:val="000000"/>
                <w:kern w:val="0"/>
                <w:szCs w:val="21"/>
                <w:lang w:bidi="ar"/>
              </w:rPr>
            </w:pPr>
            <w:r>
              <w:rPr>
                <w:rFonts w:hint="eastAsia" w:eastAsia="黑体"/>
                <w:color w:val="000000"/>
                <w:kern w:val="0"/>
                <w:szCs w:val="21"/>
                <w:lang w:bidi="ar"/>
              </w:rPr>
              <w:t>图2-3 压缩站处理工艺示意图</w:t>
            </w:r>
          </w:p>
          <w:p w14:paraId="1220571A">
            <w:pPr>
              <w:adjustRightInd w:val="0"/>
              <w:snapToGrid w:val="0"/>
              <w:spacing w:line="360" w:lineRule="auto"/>
              <w:ind w:firstLine="482" w:firstLineChars="200"/>
              <w:rPr>
                <w:b/>
                <w:sz w:val="24"/>
              </w:rPr>
            </w:pPr>
            <w:r>
              <w:rPr>
                <w:rFonts w:hint="eastAsia"/>
                <w:b/>
                <w:sz w:val="24"/>
              </w:rPr>
              <w:t>⑥中央控制系统</w:t>
            </w:r>
          </w:p>
          <w:p w14:paraId="7DBA4E71">
            <w:pPr>
              <w:adjustRightInd w:val="0"/>
              <w:snapToGrid w:val="0"/>
              <w:spacing w:line="360" w:lineRule="auto"/>
              <w:ind w:firstLine="480" w:firstLineChars="200"/>
              <w:rPr>
                <w:bCs/>
                <w:sz w:val="24"/>
              </w:rPr>
            </w:pPr>
            <w:r>
              <w:rPr>
                <w:rFonts w:hint="eastAsia"/>
                <w:bCs/>
                <w:sz w:val="24"/>
              </w:rPr>
              <w:t>中央控制系统，通过系统集成软件，可将转运站内的各模块集成至中控室中进行集中控制，实现整个转运站的全自动化控制。</w:t>
            </w:r>
          </w:p>
          <w:p w14:paraId="6F60489F">
            <w:pPr>
              <w:adjustRightInd w:val="0"/>
              <w:snapToGrid w:val="0"/>
              <w:spacing w:line="360" w:lineRule="auto"/>
              <w:ind w:firstLine="480" w:firstLineChars="200"/>
              <w:rPr>
                <w:bCs/>
                <w:sz w:val="24"/>
              </w:rPr>
            </w:pPr>
            <w:r>
              <w:rPr>
                <w:rFonts w:hint="eastAsia"/>
                <w:bCs/>
                <w:sz w:val="24"/>
              </w:rPr>
              <w:t>控制内容包括以下模块：称重与交通指挥系统，收集车进站卸料与压缩箱实时装载动态控制、视频监控系统、除臭系统、污水真空抽吸系统、电力监控系统。</w:t>
            </w:r>
          </w:p>
          <w:p w14:paraId="5BCEFA77">
            <w:pPr>
              <w:adjustRightInd w:val="0"/>
              <w:snapToGrid w:val="0"/>
              <w:spacing w:line="360" w:lineRule="auto"/>
              <w:ind w:firstLine="482" w:firstLineChars="200"/>
              <w:rPr>
                <w:b/>
                <w:sz w:val="24"/>
              </w:rPr>
            </w:pPr>
            <w:r>
              <w:rPr>
                <w:rFonts w:hint="eastAsia"/>
                <w:b/>
                <w:sz w:val="24"/>
              </w:rPr>
              <w:t>⑦控污保洁设备</w:t>
            </w:r>
          </w:p>
          <w:p w14:paraId="2E6B8711">
            <w:pPr>
              <w:adjustRightInd w:val="0"/>
              <w:snapToGrid w:val="0"/>
              <w:spacing w:line="360" w:lineRule="auto"/>
              <w:ind w:firstLine="482" w:firstLineChars="200"/>
              <w:rPr>
                <w:bCs/>
                <w:sz w:val="24"/>
              </w:rPr>
            </w:pPr>
            <w:r>
              <w:rPr>
                <w:rFonts w:hint="eastAsia"/>
                <w:b/>
                <w:sz w:val="24"/>
              </w:rPr>
              <w:t>快速卷帘门：</w:t>
            </w:r>
            <w:r>
              <w:rPr>
                <w:rFonts w:hint="eastAsia"/>
                <w:bCs/>
                <w:sz w:val="24"/>
              </w:rPr>
              <w:t>卸料口快速卷帘门可实现卸料口区域的自动启闭，门帘主要材质采用PVC，门框门柱材质：优质碳钢。该高速卷帘门采用PLC集成控制系统，将所有的功能通过电脑编程输入PLC，使其性能更稳定。收集车倒退至卸料区域，卷帘门自动感应升起；卸料完成后，收集车离开，卷帘门随即关闭。该设备使卸料口形成密封区域，可有效防止臭气散逸。</w:t>
            </w:r>
          </w:p>
          <w:p w14:paraId="6E2956DD">
            <w:pPr>
              <w:adjustRightInd w:val="0"/>
              <w:snapToGrid w:val="0"/>
              <w:spacing w:line="360" w:lineRule="auto"/>
              <w:ind w:firstLine="482" w:firstLineChars="200"/>
              <w:rPr>
                <w:b/>
                <w:sz w:val="24"/>
              </w:rPr>
            </w:pPr>
            <w:r>
              <w:rPr>
                <w:rFonts w:hint="eastAsia"/>
                <w:b/>
                <w:sz w:val="24"/>
              </w:rPr>
              <w:t>高压清洗机：</w:t>
            </w:r>
            <w:r>
              <w:rPr>
                <w:rFonts w:hint="eastAsia"/>
                <w:bCs/>
                <w:sz w:val="24"/>
              </w:rPr>
              <w:t>高压清洗机可用于清洗垃圾中转站垃圾运输车辆、清洗中转站的相关机械设备、去除异味等作用，可以达到控制传染源、遏制异味和污染的传播的作用。与使用普通水管清洗相比，节约用水可达70%</w:t>
            </w:r>
            <w:r>
              <w:rPr>
                <w:rFonts w:hint="eastAsia"/>
                <w:bCs/>
                <w:sz w:val="24"/>
                <w:lang w:eastAsia="zh-CN"/>
              </w:rPr>
              <w:t>～</w:t>
            </w:r>
            <w:r>
              <w:rPr>
                <w:rFonts w:hint="eastAsia"/>
                <w:bCs/>
                <w:sz w:val="24"/>
              </w:rPr>
              <w:t>80%，高效、省力、降低成本。</w:t>
            </w:r>
          </w:p>
          <w:p w14:paraId="42F64543">
            <w:pPr>
              <w:adjustRightInd w:val="0"/>
              <w:snapToGrid w:val="0"/>
              <w:spacing w:line="360" w:lineRule="auto"/>
              <w:ind w:firstLine="482" w:firstLineChars="200"/>
              <w:rPr>
                <w:b/>
                <w:sz w:val="24"/>
              </w:rPr>
            </w:pPr>
            <w:r>
              <w:rPr>
                <w:rFonts w:hint="eastAsia"/>
                <w:b/>
                <w:sz w:val="24"/>
              </w:rPr>
              <w:t>（2）产污环节</w:t>
            </w:r>
          </w:p>
          <w:p w14:paraId="7CCBE13F">
            <w:pPr>
              <w:adjustRightInd w:val="0"/>
              <w:snapToGrid w:val="0"/>
              <w:spacing w:line="360" w:lineRule="auto"/>
              <w:ind w:firstLine="480" w:firstLineChars="200"/>
              <w:rPr>
                <w:bCs/>
                <w:sz w:val="24"/>
              </w:rPr>
            </w:pPr>
            <w:r>
              <w:rPr>
                <w:rFonts w:hint="eastAsia"/>
                <w:bCs/>
                <w:sz w:val="24"/>
              </w:rPr>
              <w:t>本项目主要污染工序及污染因子汇总如表2-5所示。</w:t>
            </w:r>
          </w:p>
          <w:p w14:paraId="348D19C9">
            <w:pPr>
              <w:jc w:val="center"/>
              <w:rPr>
                <w:b/>
                <w:bCs/>
                <w:szCs w:val="21"/>
              </w:rPr>
            </w:pPr>
            <w:r>
              <w:rPr>
                <w:rFonts w:hint="eastAsia"/>
                <w:b/>
                <w:bCs/>
                <w:szCs w:val="21"/>
              </w:rPr>
              <w:t>表2-5 项目主要污染工序及污染因子汇总</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1649"/>
              <w:gridCol w:w="1855"/>
              <w:gridCol w:w="4266"/>
            </w:tblGrid>
            <w:tr w14:paraId="384C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7" w:type="pct"/>
                  <w:vAlign w:val="center"/>
                </w:tcPr>
                <w:p w14:paraId="2422FD14">
                  <w:pPr>
                    <w:kinsoku w:val="0"/>
                    <w:overflowPunct w:val="0"/>
                    <w:autoSpaceDE w:val="0"/>
                    <w:autoSpaceDN w:val="0"/>
                    <w:adjustRightInd w:val="0"/>
                    <w:jc w:val="center"/>
                    <w:rPr>
                      <w:b/>
                      <w:szCs w:val="21"/>
                    </w:rPr>
                  </w:pPr>
                  <w:r>
                    <w:rPr>
                      <w:b/>
                      <w:szCs w:val="21"/>
                    </w:rPr>
                    <w:t>类别</w:t>
                  </w:r>
                </w:p>
              </w:tc>
              <w:tc>
                <w:tcPr>
                  <w:tcW w:w="985" w:type="pct"/>
                  <w:vAlign w:val="center"/>
                </w:tcPr>
                <w:p w14:paraId="6D539F8F">
                  <w:pPr>
                    <w:kinsoku w:val="0"/>
                    <w:overflowPunct w:val="0"/>
                    <w:autoSpaceDE w:val="0"/>
                    <w:autoSpaceDN w:val="0"/>
                    <w:adjustRightInd w:val="0"/>
                    <w:jc w:val="center"/>
                    <w:rPr>
                      <w:b/>
                      <w:szCs w:val="21"/>
                    </w:rPr>
                  </w:pPr>
                  <w:r>
                    <w:rPr>
                      <w:rFonts w:hint="eastAsia"/>
                      <w:b/>
                      <w:szCs w:val="21"/>
                    </w:rPr>
                    <w:t>产污环节</w:t>
                  </w:r>
                </w:p>
              </w:tc>
              <w:tc>
                <w:tcPr>
                  <w:tcW w:w="1108" w:type="pct"/>
                  <w:vAlign w:val="center"/>
                </w:tcPr>
                <w:p w14:paraId="3C1D331A">
                  <w:pPr>
                    <w:kinsoku w:val="0"/>
                    <w:overflowPunct w:val="0"/>
                    <w:autoSpaceDE w:val="0"/>
                    <w:autoSpaceDN w:val="0"/>
                    <w:adjustRightInd w:val="0"/>
                    <w:jc w:val="center"/>
                    <w:rPr>
                      <w:b/>
                      <w:szCs w:val="21"/>
                    </w:rPr>
                  </w:pPr>
                  <w:r>
                    <w:rPr>
                      <w:b/>
                      <w:szCs w:val="21"/>
                    </w:rPr>
                    <w:t>污染因子</w:t>
                  </w:r>
                </w:p>
              </w:tc>
              <w:tc>
                <w:tcPr>
                  <w:tcW w:w="2548" w:type="pct"/>
                  <w:vAlign w:val="center"/>
                </w:tcPr>
                <w:p w14:paraId="473E338D">
                  <w:pPr>
                    <w:kinsoku w:val="0"/>
                    <w:overflowPunct w:val="0"/>
                    <w:autoSpaceDE w:val="0"/>
                    <w:autoSpaceDN w:val="0"/>
                    <w:adjustRightInd w:val="0"/>
                    <w:jc w:val="center"/>
                    <w:rPr>
                      <w:b/>
                      <w:szCs w:val="21"/>
                    </w:rPr>
                  </w:pPr>
                  <w:r>
                    <w:rPr>
                      <w:b/>
                      <w:szCs w:val="21"/>
                    </w:rPr>
                    <w:t>处置措施</w:t>
                  </w:r>
                </w:p>
              </w:tc>
            </w:tr>
            <w:tr w14:paraId="1439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357" w:type="pct"/>
                  <w:vMerge w:val="restart"/>
                  <w:vAlign w:val="center"/>
                </w:tcPr>
                <w:p w14:paraId="6C513886">
                  <w:pPr>
                    <w:kinsoku w:val="0"/>
                    <w:overflowPunct w:val="0"/>
                    <w:autoSpaceDE w:val="0"/>
                    <w:autoSpaceDN w:val="0"/>
                    <w:adjustRightInd w:val="0"/>
                    <w:jc w:val="center"/>
                    <w:rPr>
                      <w:szCs w:val="21"/>
                    </w:rPr>
                  </w:pPr>
                  <w:r>
                    <w:rPr>
                      <w:szCs w:val="21"/>
                    </w:rPr>
                    <w:t>废气</w:t>
                  </w:r>
                </w:p>
              </w:tc>
              <w:tc>
                <w:tcPr>
                  <w:tcW w:w="985" w:type="pct"/>
                  <w:vAlign w:val="center"/>
                </w:tcPr>
                <w:p w14:paraId="02F25057">
                  <w:pPr>
                    <w:kinsoku w:val="0"/>
                    <w:overflowPunct w:val="0"/>
                    <w:autoSpaceDE w:val="0"/>
                    <w:autoSpaceDN w:val="0"/>
                    <w:adjustRightInd w:val="0"/>
                    <w:jc w:val="center"/>
                    <w:rPr>
                      <w:szCs w:val="21"/>
                    </w:rPr>
                  </w:pPr>
                  <w:r>
                    <w:rPr>
                      <w:szCs w:val="21"/>
                    </w:rPr>
                    <w:t>卸料、压缩</w:t>
                  </w:r>
                </w:p>
              </w:tc>
              <w:tc>
                <w:tcPr>
                  <w:tcW w:w="1108" w:type="pct"/>
                  <w:vAlign w:val="center"/>
                </w:tcPr>
                <w:p w14:paraId="2500BD33">
                  <w:pPr>
                    <w:kinsoku w:val="0"/>
                    <w:overflowPunct w:val="0"/>
                    <w:autoSpaceDE w:val="0"/>
                    <w:autoSpaceDN w:val="0"/>
                    <w:adjustRightInd w:val="0"/>
                    <w:jc w:val="center"/>
                    <w:rPr>
                      <w:szCs w:val="21"/>
                    </w:rPr>
                  </w:pPr>
                  <w:r>
                    <w:rPr>
                      <w:szCs w:val="21"/>
                    </w:rPr>
                    <w:t>NH</w:t>
                  </w:r>
                  <w:r>
                    <w:rPr>
                      <w:szCs w:val="21"/>
                      <w:vertAlign w:val="subscript"/>
                    </w:rPr>
                    <w:t>3</w:t>
                  </w:r>
                  <w:r>
                    <w:rPr>
                      <w:szCs w:val="21"/>
                    </w:rPr>
                    <w:t>、H</w:t>
                  </w:r>
                  <w:r>
                    <w:rPr>
                      <w:szCs w:val="21"/>
                      <w:vertAlign w:val="subscript"/>
                    </w:rPr>
                    <w:t>2</w:t>
                  </w:r>
                  <w:r>
                    <w:rPr>
                      <w:szCs w:val="21"/>
                    </w:rPr>
                    <w:t>S</w:t>
                  </w:r>
                  <w:r>
                    <w:rPr>
                      <w:rFonts w:hint="eastAsia"/>
                      <w:szCs w:val="21"/>
                    </w:rPr>
                    <w:t>等恶臭气体</w:t>
                  </w:r>
                </w:p>
              </w:tc>
              <w:tc>
                <w:tcPr>
                  <w:tcW w:w="2548" w:type="pct"/>
                  <w:vAlign w:val="center"/>
                </w:tcPr>
                <w:p w14:paraId="28670BB9">
                  <w:pPr>
                    <w:kinsoku w:val="0"/>
                    <w:overflowPunct w:val="0"/>
                    <w:autoSpaceDE w:val="0"/>
                    <w:autoSpaceDN w:val="0"/>
                    <w:adjustRightInd w:val="0"/>
                    <w:jc w:val="center"/>
                    <w:rPr>
                      <w:szCs w:val="21"/>
                    </w:rPr>
                  </w:pPr>
                  <w:r>
                    <w:rPr>
                      <w:rFonts w:hint="eastAsia"/>
                      <w:szCs w:val="21"/>
                    </w:rPr>
                    <w:t>负压抽风+除尘除臭系统+15m高排气筒（DA001）、空间喷淋除臭系统</w:t>
                  </w:r>
                </w:p>
              </w:tc>
            </w:tr>
            <w:tr w14:paraId="0FF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2" w:hRule="atLeast"/>
                <w:jc w:val="center"/>
              </w:trPr>
              <w:tc>
                <w:tcPr>
                  <w:tcW w:w="357" w:type="pct"/>
                  <w:vMerge w:val="continue"/>
                  <w:vAlign w:val="center"/>
                </w:tcPr>
                <w:p w14:paraId="7BF8B251">
                  <w:pPr>
                    <w:kinsoku w:val="0"/>
                    <w:overflowPunct w:val="0"/>
                    <w:autoSpaceDE w:val="0"/>
                    <w:autoSpaceDN w:val="0"/>
                    <w:adjustRightInd w:val="0"/>
                    <w:jc w:val="center"/>
                    <w:rPr>
                      <w:szCs w:val="21"/>
                    </w:rPr>
                  </w:pPr>
                </w:p>
              </w:tc>
              <w:tc>
                <w:tcPr>
                  <w:tcW w:w="985" w:type="pct"/>
                  <w:vAlign w:val="center"/>
                </w:tcPr>
                <w:p w14:paraId="0EDDD20D">
                  <w:pPr>
                    <w:kinsoku w:val="0"/>
                    <w:overflowPunct w:val="0"/>
                    <w:autoSpaceDE w:val="0"/>
                    <w:autoSpaceDN w:val="0"/>
                    <w:adjustRightInd w:val="0"/>
                    <w:jc w:val="center"/>
                    <w:rPr>
                      <w:szCs w:val="21"/>
                    </w:rPr>
                  </w:pPr>
                  <w:r>
                    <w:rPr>
                      <w:rFonts w:hint="eastAsia"/>
                      <w:szCs w:val="21"/>
                    </w:rPr>
                    <w:t>卸料</w:t>
                  </w:r>
                </w:p>
              </w:tc>
              <w:tc>
                <w:tcPr>
                  <w:tcW w:w="1108" w:type="pct"/>
                  <w:vAlign w:val="center"/>
                </w:tcPr>
                <w:p w14:paraId="6ED003AD">
                  <w:pPr>
                    <w:kinsoku w:val="0"/>
                    <w:overflowPunct w:val="0"/>
                    <w:autoSpaceDE w:val="0"/>
                    <w:autoSpaceDN w:val="0"/>
                    <w:adjustRightInd w:val="0"/>
                    <w:jc w:val="center"/>
                    <w:rPr>
                      <w:szCs w:val="21"/>
                    </w:rPr>
                  </w:pPr>
                  <w:r>
                    <w:rPr>
                      <w:rFonts w:hint="eastAsia"/>
                      <w:szCs w:val="21"/>
                    </w:rPr>
                    <w:t>颗粒物</w:t>
                  </w:r>
                </w:p>
              </w:tc>
              <w:tc>
                <w:tcPr>
                  <w:tcW w:w="2548" w:type="pct"/>
                  <w:vAlign w:val="center"/>
                </w:tcPr>
                <w:p w14:paraId="3D2A0493">
                  <w:pPr>
                    <w:kinsoku w:val="0"/>
                    <w:overflowPunct w:val="0"/>
                    <w:autoSpaceDE w:val="0"/>
                    <w:autoSpaceDN w:val="0"/>
                    <w:adjustRightInd w:val="0"/>
                    <w:jc w:val="center"/>
                    <w:rPr>
                      <w:szCs w:val="21"/>
                    </w:rPr>
                  </w:pPr>
                  <w:r>
                    <w:rPr>
                      <w:rFonts w:hint="eastAsia"/>
                      <w:szCs w:val="21"/>
                    </w:rPr>
                    <w:t>负压抽风+除尘除臭系统+15m高排气筒（DA001）、空间喷淋除臭系统</w:t>
                  </w:r>
                </w:p>
              </w:tc>
            </w:tr>
            <w:tr w14:paraId="2D56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357" w:type="pct"/>
                  <w:vMerge w:val="continue"/>
                  <w:vAlign w:val="center"/>
                </w:tcPr>
                <w:p w14:paraId="2B74F90F">
                  <w:pPr>
                    <w:kinsoku w:val="0"/>
                    <w:overflowPunct w:val="0"/>
                    <w:autoSpaceDE w:val="0"/>
                    <w:autoSpaceDN w:val="0"/>
                    <w:adjustRightInd w:val="0"/>
                    <w:jc w:val="center"/>
                    <w:rPr>
                      <w:szCs w:val="21"/>
                    </w:rPr>
                  </w:pPr>
                </w:p>
              </w:tc>
              <w:tc>
                <w:tcPr>
                  <w:tcW w:w="985" w:type="pct"/>
                  <w:vAlign w:val="center"/>
                </w:tcPr>
                <w:p w14:paraId="41837D0E">
                  <w:pPr>
                    <w:kinsoku w:val="0"/>
                    <w:overflowPunct w:val="0"/>
                    <w:autoSpaceDE w:val="0"/>
                    <w:autoSpaceDN w:val="0"/>
                    <w:adjustRightInd w:val="0"/>
                    <w:jc w:val="center"/>
                    <w:rPr>
                      <w:szCs w:val="21"/>
                    </w:rPr>
                  </w:pPr>
                  <w:r>
                    <w:rPr>
                      <w:rFonts w:hint="eastAsia"/>
                      <w:szCs w:val="21"/>
                    </w:rPr>
                    <w:t>污水处理车间</w:t>
                  </w:r>
                  <w:r>
                    <w:rPr>
                      <w:szCs w:val="21"/>
                    </w:rPr>
                    <w:t>废气</w:t>
                  </w:r>
                </w:p>
              </w:tc>
              <w:tc>
                <w:tcPr>
                  <w:tcW w:w="1108" w:type="pct"/>
                  <w:vAlign w:val="center"/>
                </w:tcPr>
                <w:p w14:paraId="6C615C4C">
                  <w:pPr>
                    <w:kinsoku w:val="0"/>
                    <w:overflowPunct w:val="0"/>
                    <w:autoSpaceDE w:val="0"/>
                    <w:autoSpaceDN w:val="0"/>
                    <w:adjustRightInd w:val="0"/>
                    <w:jc w:val="center"/>
                    <w:rPr>
                      <w:szCs w:val="21"/>
                    </w:rPr>
                  </w:pPr>
                  <w:r>
                    <w:rPr>
                      <w:szCs w:val="21"/>
                    </w:rPr>
                    <w:t>NH</w:t>
                  </w:r>
                  <w:r>
                    <w:rPr>
                      <w:szCs w:val="21"/>
                      <w:vertAlign w:val="subscript"/>
                    </w:rPr>
                    <w:t>3</w:t>
                  </w:r>
                  <w:r>
                    <w:rPr>
                      <w:szCs w:val="21"/>
                    </w:rPr>
                    <w:t>、H</w:t>
                  </w:r>
                  <w:r>
                    <w:rPr>
                      <w:szCs w:val="21"/>
                      <w:vertAlign w:val="subscript"/>
                    </w:rPr>
                    <w:t>2</w:t>
                  </w:r>
                  <w:r>
                    <w:rPr>
                      <w:szCs w:val="21"/>
                    </w:rPr>
                    <w:t>S</w:t>
                  </w:r>
                  <w:r>
                    <w:rPr>
                      <w:rFonts w:hint="eastAsia"/>
                      <w:szCs w:val="21"/>
                    </w:rPr>
                    <w:t>等恶臭气体</w:t>
                  </w:r>
                </w:p>
              </w:tc>
              <w:tc>
                <w:tcPr>
                  <w:tcW w:w="2548" w:type="pct"/>
                  <w:vAlign w:val="center"/>
                </w:tcPr>
                <w:p w14:paraId="6E1EC41F">
                  <w:pPr>
                    <w:kinsoku w:val="0"/>
                    <w:overflowPunct w:val="0"/>
                    <w:autoSpaceDE w:val="0"/>
                    <w:autoSpaceDN w:val="0"/>
                    <w:adjustRightInd w:val="0"/>
                    <w:jc w:val="center"/>
                    <w:rPr>
                      <w:szCs w:val="21"/>
                    </w:rPr>
                  </w:pPr>
                  <w:r>
                    <w:rPr>
                      <w:rFonts w:hint="eastAsia"/>
                      <w:szCs w:val="21"/>
                    </w:rPr>
                    <w:t>负压抽风+除尘除臭系统+15m高排气筒（DA001）</w:t>
                  </w:r>
                </w:p>
              </w:tc>
            </w:tr>
            <w:tr w14:paraId="57AD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57" w:type="pct"/>
                  <w:vMerge w:val="restart"/>
                  <w:vAlign w:val="center"/>
                </w:tcPr>
                <w:p w14:paraId="74BCA030">
                  <w:pPr>
                    <w:kinsoku w:val="0"/>
                    <w:overflowPunct w:val="0"/>
                    <w:autoSpaceDE w:val="0"/>
                    <w:autoSpaceDN w:val="0"/>
                    <w:adjustRightInd w:val="0"/>
                    <w:jc w:val="center"/>
                    <w:rPr>
                      <w:szCs w:val="21"/>
                    </w:rPr>
                  </w:pPr>
                  <w:r>
                    <w:rPr>
                      <w:szCs w:val="21"/>
                    </w:rPr>
                    <w:t>废水</w:t>
                  </w:r>
                </w:p>
              </w:tc>
              <w:tc>
                <w:tcPr>
                  <w:tcW w:w="985" w:type="pct"/>
                  <w:vAlign w:val="center"/>
                </w:tcPr>
                <w:p w14:paraId="035A34CC">
                  <w:pPr>
                    <w:kinsoku w:val="0"/>
                    <w:overflowPunct w:val="0"/>
                    <w:autoSpaceDE w:val="0"/>
                    <w:autoSpaceDN w:val="0"/>
                    <w:adjustRightInd w:val="0"/>
                    <w:jc w:val="center"/>
                    <w:rPr>
                      <w:szCs w:val="21"/>
                    </w:rPr>
                  </w:pPr>
                  <w:r>
                    <w:rPr>
                      <w:szCs w:val="21"/>
                    </w:rPr>
                    <w:t>垃圾渗滤液</w:t>
                  </w:r>
                </w:p>
              </w:tc>
              <w:tc>
                <w:tcPr>
                  <w:tcW w:w="1108" w:type="pct"/>
                  <w:vMerge w:val="restart"/>
                  <w:vAlign w:val="center"/>
                </w:tcPr>
                <w:p w14:paraId="36A82431">
                  <w:pPr>
                    <w:kinsoku w:val="0"/>
                    <w:overflowPunct w:val="0"/>
                    <w:autoSpaceDE w:val="0"/>
                    <w:autoSpaceDN w:val="0"/>
                    <w:adjustRightInd w:val="0"/>
                    <w:jc w:val="center"/>
                    <w:rPr>
                      <w:szCs w:val="21"/>
                    </w:rPr>
                  </w:pPr>
                  <w:r>
                    <w:rPr>
                      <w:szCs w:val="21"/>
                    </w:rPr>
                    <w:t>CODcr、</w:t>
                  </w:r>
                  <w:r>
                    <w:rPr>
                      <w:rFonts w:hint="eastAsia"/>
                      <w:szCs w:val="21"/>
                    </w:rPr>
                    <w:t>BOD</w:t>
                  </w:r>
                  <w:r>
                    <w:rPr>
                      <w:rFonts w:hint="eastAsia"/>
                      <w:szCs w:val="21"/>
                      <w:vertAlign w:val="subscript"/>
                    </w:rPr>
                    <w:t>5</w:t>
                  </w:r>
                  <w:r>
                    <w:rPr>
                      <w:rFonts w:hint="eastAsia"/>
                      <w:szCs w:val="21"/>
                    </w:rPr>
                    <w:t>、</w:t>
                  </w:r>
                  <w:r>
                    <w:rPr>
                      <w:szCs w:val="21"/>
                    </w:rPr>
                    <w:t>NH</w:t>
                  </w:r>
                  <w:r>
                    <w:rPr>
                      <w:szCs w:val="21"/>
                      <w:vertAlign w:val="subscript"/>
                    </w:rPr>
                    <w:t>3</w:t>
                  </w:r>
                  <w:r>
                    <w:rPr>
                      <w:szCs w:val="21"/>
                    </w:rPr>
                    <w:t>-N</w:t>
                  </w:r>
                  <w:r>
                    <w:rPr>
                      <w:rFonts w:hint="eastAsia"/>
                      <w:szCs w:val="21"/>
                    </w:rPr>
                    <w:t>、</w:t>
                  </w:r>
                  <w:r>
                    <w:rPr>
                      <w:szCs w:val="21"/>
                    </w:rPr>
                    <w:t>SS</w:t>
                  </w:r>
                  <w:r>
                    <w:rPr>
                      <w:rFonts w:hint="eastAsia"/>
                      <w:szCs w:val="21"/>
                    </w:rPr>
                    <w:t>、</w:t>
                  </w:r>
                  <w:r>
                    <w:rPr>
                      <w:szCs w:val="21"/>
                    </w:rPr>
                    <w:t>TP、TN</w:t>
                  </w:r>
                </w:p>
              </w:tc>
              <w:tc>
                <w:tcPr>
                  <w:tcW w:w="2548" w:type="pct"/>
                  <w:vMerge w:val="restart"/>
                  <w:vAlign w:val="center"/>
                </w:tcPr>
                <w:p w14:paraId="6B813A79">
                  <w:pPr>
                    <w:kinsoku w:val="0"/>
                    <w:overflowPunct w:val="0"/>
                    <w:autoSpaceDE w:val="0"/>
                    <w:autoSpaceDN w:val="0"/>
                    <w:adjustRightInd w:val="0"/>
                    <w:jc w:val="center"/>
                    <w:rPr>
                      <w:szCs w:val="21"/>
                    </w:rPr>
                  </w:pPr>
                  <w:r>
                    <w:rPr>
                      <w:szCs w:val="21"/>
                    </w:rPr>
                    <w:t>污水收集池进行收集，经</w:t>
                  </w:r>
                  <w:r>
                    <w:rPr>
                      <w:rFonts w:hint="eastAsia"/>
                      <w:szCs w:val="21"/>
                    </w:rPr>
                    <w:t>污水处理车间（高效预处理+MBR系统（二级硝化反硝化+超滤））</w:t>
                  </w:r>
                  <w:r>
                    <w:rPr>
                      <w:szCs w:val="21"/>
                    </w:rPr>
                    <w:t>处理</w:t>
                  </w:r>
                  <w:r>
                    <w:rPr>
                      <w:rFonts w:hint="eastAsia"/>
                      <w:szCs w:val="21"/>
                    </w:rPr>
                    <w:t>达标</w:t>
                  </w:r>
                  <w:r>
                    <w:rPr>
                      <w:szCs w:val="21"/>
                    </w:rPr>
                    <w:t>后通过市政污水管网排入</w:t>
                  </w:r>
                  <w:r>
                    <w:rPr>
                      <w:rFonts w:hint="eastAsia"/>
                      <w:szCs w:val="21"/>
                    </w:rPr>
                    <w:t>达州市城市第二污水处理厂</w:t>
                  </w:r>
                </w:p>
              </w:tc>
            </w:tr>
            <w:tr w14:paraId="75C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57" w:type="pct"/>
                  <w:vMerge w:val="continue"/>
                  <w:vAlign w:val="center"/>
                </w:tcPr>
                <w:p w14:paraId="291EAD02">
                  <w:pPr>
                    <w:kinsoku w:val="0"/>
                    <w:overflowPunct w:val="0"/>
                    <w:autoSpaceDE w:val="0"/>
                    <w:autoSpaceDN w:val="0"/>
                    <w:adjustRightInd w:val="0"/>
                    <w:jc w:val="center"/>
                    <w:rPr>
                      <w:szCs w:val="21"/>
                    </w:rPr>
                  </w:pPr>
                </w:p>
              </w:tc>
              <w:tc>
                <w:tcPr>
                  <w:tcW w:w="985" w:type="pct"/>
                  <w:vAlign w:val="center"/>
                </w:tcPr>
                <w:p w14:paraId="18DFE977">
                  <w:pPr>
                    <w:kinsoku w:val="0"/>
                    <w:overflowPunct w:val="0"/>
                    <w:autoSpaceDE w:val="0"/>
                    <w:autoSpaceDN w:val="0"/>
                    <w:adjustRightInd w:val="0"/>
                    <w:jc w:val="center"/>
                    <w:rPr>
                      <w:szCs w:val="21"/>
                    </w:rPr>
                  </w:pPr>
                  <w:r>
                    <w:rPr>
                      <w:szCs w:val="21"/>
                    </w:rPr>
                    <w:t>车辆冲洗废水</w:t>
                  </w:r>
                </w:p>
              </w:tc>
              <w:tc>
                <w:tcPr>
                  <w:tcW w:w="1108" w:type="pct"/>
                  <w:vMerge w:val="continue"/>
                  <w:vAlign w:val="center"/>
                </w:tcPr>
                <w:p w14:paraId="610C357F">
                  <w:pPr>
                    <w:kinsoku w:val="0"/>
                    <w:overflowPunct w:val="0"/>
                    <w:autoSpaceDE w:val="0"/>
                    <w:autoSpaceDN w:val="0"/>
                    <w:adjustRightInd w:val="0"/>
                    <w:jc w:val="center"/>
                    <w:rPr>
                      <w:szCs w:val="21"/>
                    </w:rPr>
                  </w:pPr>
                </w:p>
              </w:tc>
              <w:tc>
                <w:tcPr>
                  <w:tcW w:w="2548" w:type="pct"/>
                  <w:vMerge w:val="continue"/>
                  <w:vAlign w:val="center"/>
                </w:tcPr>
                <w:p w14:paraId="2C6D3CFA">
                  <w:pPr>
                    <w:kinsoku w:val="0"/>
                    <w:overflowPunct w:val="0"/>
                    <w:autoSpaceDE w:val="0"/>
                    <w:autoSpaceDN w:val="0"/>
                    <w:adjustRightInd w:val="0"/>
                    <w:jc w:val="center"/>
                    <w:rPr>
                      <w:szCs w:val="21"/>
                    </w:rPr>
                  </w:pPr>
                </w:p>
              </w:tc>
            </w:tr>
            <w:tr w14:paraId="67E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3E4F1D39">
                  <w:pPr>
                    <w:kinsoku w:val="0"/>
                    <w:overflowPunct w:val="0"/>
                    <w:autoSpaceDE w:val="0"/>
                    <w:autoSpaceDN w:val="0"/>
                    <w:adjustRightInd w:val="0"/>
                    <w:jc w:val="center"/>
                    <w:rPr>
                      <w:szCs w:val="21"/>
                    </w:rPr>
                  </w:pPr>
                </w:p>
              </w:tc>
              <w:tc>
                <w:tcPr>
                  <w:tcW w:w="985" w:type="pct"/>
                  <w:vAlign w:val="center"/>
                </w:tcPr>
                <w:p w14:paraId="7C20F0D7">
                  <w:pPr>
                    <w:kinsoku w:val="0"/>
                    <w:overflowPunct w:val="0"/>
                    <w:autoSpaceDE w:val="0"/>
                    <w:autoSpaceDN w:val="0"/>
                    <w:adjustRightInd w:val="0"/>
                    <w:jc w:val="center"/>
                    <w:rPr>
                      <w:szCs w:val="21"/>
                    </w:rPr>
                  </w:pPr>
                  <w:r>
                    <w:rPr>
                      <w:rFonts w:hint="eastAsia"/>
                      <w:szCs w:val="21"/>
                    </w:rPr>
                    <w:t>车间</w:t>
                  </w:r>
                  <w:r>
                    <w:rPr>
                      <w:szCs w:val="21"/>
                    </w:rPr>
                    <w:t>地面冲洗废水</w:t>
                  </w:r>
                </w:p>
              </w:tc>
              <w:tc>
                <w:tcPr>
                  <w:tcW w:w="1108" w:type="pct"/>
                  <w:vMerge w:val="continue"/>
                  <w:vAlign w:val="center"/>
                </w:tcPr>
                <w:p w14:paraId="16C45FD8">
                  <w:pPr>
                    <w:kinsoku w:val="0"/>
                    <w:overflowPunct w:val="0"/>
                    <w:autoSpaceDE w:val="0"/>
                    <w:autoSpaceDN w:val="0"/>
                    <w:adjustRightInd w:val="0"/>
                    <w:jc w:val="center"/>
                    <w:rPr>
                      <w:szCs w:val="21"/>
                    </w:rPr>
                  </w:pPr>
                </w:p>
              </w:tc>
              <w:tc>
                <w:tcPr>
                  <w:tcW w:w="2548" w:type="pct"/>
                  <w:vMerge w:val="continue"/>
                  <w:vAlign w:val="center"/>
                </w:tcPr>
                <w:p w14:paraId="069D9F23">
                  <w:pPr>
                    <w:kinsoku w:val="0"/>
                    <w:overflowPunct w:val="0"/>
                    <w:autoSpaceDE w:val="0"/>
                    <w:autoSpaceDN w:val="0"/>
                    <w:adjustRightInd w:val="0"/>
                    <w:jc w:val="center"/>
                    <w:rPr>
                      <w:szCs w:val="21"/>
                    </w:rPr>
                  </w:pPr>
                </w:p>
              </w:tc>
            </w:tr>
            <w:tr w14:paraId="76FE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4E7B6A03">
                  <w:pPr>
                    <w:kinsoku w:val="0"/>
                    <w:overflowPunct w:val="0"/>
                    <w:autoSpaceDE w:val="0"/>
                    <w:autoSpaceDN w:val="0"/>
                    <w:adjustRightInd w:val="0"/>
                    <w:jc w:val="center"/>
                    <w:rPr>
                      <w:szCs w:val="21"/>
                    </w:rPr>
                  </w:pPr>
                </w:p>
              </w:tc>
              <w:tc>
                <w:tcPr>
                  <w:tcW w:w="985" w:type="pct"/>
                  <w:vAlign w:val="center"/>
                </w:tcPr>
                <w:p w14:paraId="6F9ECFE6">
                  <w:pPr>
                    <w:kinsoku w:val="0"/>
                    <w:overflowPunct w:val="0"/>
                    <w:autoSpaceDE w:val="0"/>
                    <w:autoSpaceDN w:val="0"/>
                    <w:adjustRightInd w:val="0"/>
                    <w:jc w:val="center"/>
                    <w:rPr>
                      <w:szCs w:val="21"/>
                    </w:rPr>
                  </w:pPr>
                  <w:r>
                    <w:rPr>
                      <w:szCs w:val="21"/>
                    </w:rPr>
                    <w:t>设备清洗废水</w:t>
                  </w:r>
                </w:p>
              </w:tc>
              <w:tc>
                <w:tcPr>
                  <w:tcW w:w="1108" w:type="pct"/>
                  <w:vMerge w:val="continue"/>
                  <w:vAlign w:val="center"/>
                </w:tcPr>
                <w:p w14:paraId="3A9AB074">
                  <w:pPr>
                    <w:kinsoku w:val="0"/>
                    <w:overflowPunct w:val="0"/>
                    <w:autoSpaceDE w:val="0"/>
                    <w:autoSpaceDN w:val="0"/>
                    <w:adjustRightInd w:val="0"/>
                    <w:jc w:val="center"/>
                    <w:rPr>
                      <w:szCs w:val="21"/>
                    </w:rPr>
                  </w:pPr>
                </w:p>
              </w:tc>
              <w:tc>
                <w:tcPr>
                  <w:tcW w:w="2548" w:type="pct"/>
                  <w:vMerge w:val="continue"/>
                  <w:vAlign w:val="center"/>
                </w:tcPr>
                <w:p w14:paraId="5B701C65">
                  <w:pPr>
                    <w:kinsoku w:val="0"/>
                    <w:overflowPunct w:val="0"/>
                    <w:autoSpaceDE w:val="0"/>
                    <w:autoSpaceDN w:val="0"/>
                    <w:adjustRightInd w:val="0"/>
                    <w:jc w:val="center"/>
                    <w:rPr>
                      <w:szCs w:val="21"/>
                    </w:rPr>
                  </w:pPr>
                </w:p>
              </w:tc>
            </w:tr>
            <w:tr w14:paraId="1D5A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0F6E5AB2">
                  <w:pPr>
                    <w:kinsoku w:val="0"/>
                    <w:overflowPunct w:val="0"/>
                    <w:autoSpaceDE w:val="0"/>
                    <w:autoSpaceDN w:val="0"/>
                    <w:adjustRightInd w:val="0"/>
                    <w:jc w:val="center"/>
                    <w:rPr>
                      <w:szCs w:val="21"/>
                    </w:rPr>
                  </w:pPr>
                </w:p>
              </w:tc>
              <w:tc>
                <w:tcPr>
                  <w:tcW w:w="985" w:type="pct"/>
                  <w:vAlign w:val="center"/>
                </w:tcPr>
                <w:p w14:paraId="179A0568">
                  <w:pPr>
                    <w:kinsoku w:val="0"/>
                    <w:overflowPunct w:val="0"/>
                    <w:autoSpaceDE w:val="0"/>
                    <w:autoSpaceDN w:val="0"/>
                    <w:adjustRightInd w:val="0"/>
                    <w:jc w:val="center"/>
                    <w:rPr>
                      <w:szCs w:val="21"/>
                    </w:rPr>
                  </w:pPr>
                  <w:r>
                    <w:rPr>
                      <w:szCs w:val="21"/>
                    </w:rPr>
                    <w:t>除臭系统废水</w:t>
                  </w:r>
                </w:p>
              </w:tc>
              <w:tc>
                <w:tcPr>
                  <w:tcW w:w="1108" w:type="pct"/>
                  <w:vMerge w:val="continue"/>
                  <w:vAlign w:val="center"/>
                </w:tcPr>
                <w:p w14:paraId="0ACE16BD">
                  <w:pPr>
                    <w:kinsoku w:val="0"/>
                    <w:overflowPunct w:val="0"/>
                    <w:autoSpaceDE w:val="0"/>
                    <w:autoSpaceDN w:val="0"/>
                    <w:adjustRightInd w:val="0"/>
                    <w:jc w:val="center"/>
                    <w:rPr>
                      <w:szCs w:val="21"/>
                    </w:rPr>
                  </w:pPr>
                </w:p>
              </w:tc>
              <w:tc>
                <w:tcPr>
                  <w:tcW w:w="2548" w:type="pct"/>
                  <w:vMerge w:val="continue"/>
                  <w:vAlign w:val="center"/>
                </w:tcPr>
                <w:p w14:paraId="1F4B0DBB">
                  <w:pPr>
                    <w:kinsoku w:val="0"/>
                    <w:overflowPunct w:val="0"/>
                    <w:autoSpaceDE w:val="0"/>
                    <w:autoSpaceDN w:val="0"/>
                    <w:adjustRightInd w:val="0"/>
                    <w:jc w:val="center"/>
                    <w:rPr>
                      <w:szCs w:val="21"/>
                    </w:rPr>
                  </w:pPr>
                </w:p>
              </w:tc>
            </w:tr>
            <w:tr w14:paraId="4211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321A955C">
                  <w:pPr>
                    <w:kinsoku w:val="0"/>
                    <w:overflowPunct w:val="0"/>
                    <w:autoSpaceDE w:val="0"/>
                    <w:autoSpaceDN w:val="0"/>
                    <w:adjustRightInd w:val="0"/>
                    <w:jc w:val="center"/>
                    <w:rPr>
                      <w:szCs w:val="21"/>
                    </w:rPr>
                  </w:pPr>
                </w:p>
              </w:tc>
              <w:tc>
                <w:tcPr>
                  <w:tcW w:w="985" w:type="pct"/>
                  <w:vAlign w:val="center"/>
                </w:tcPr>
                <w:p w14:paraId="40E0C23D">
                  <w:pPr>
                    <w:kinsoku w:val="0"/>
                    <w:overflowPunct w:val="0"/>
                    <w:autoSpaceDE w:val="0"/>
                    <w:autoSpaceDN w:val="0"/>
                    <w:adjustRightInd w:val="0"/>
                    <w:jc w:val="center"/>
                    <w:rPr>
                      <w:szCs w:val="21"/>
                    </w:rPr>
                  </w:pPr>
                  <w:r>
                    <w:rPr>
                      <w:szCs w:val="21"/>
                    </w:rPr>
                    <w:t>初期雨水</w:t>
                  </w:r>
                </w:p>
              </w:tc>
              <w:tc>
                <w:tcPr>
                  <w:tcW w:w="1108" w:type="pct"/>
                  <w:vMerge w:val="continue"/>
                  <w:vAlign w:val="center"/>
                </w:tcPr>
                <w:p w14:paraId="09887382">
                  <w:pPr>
                    <w:kinsoku w:val="0"/>
                    <w:overflowPunct w:val="0"/>
                    <w:autoSpaceDE w:val="0"/>
                    <w:autoSpaceDN w:val="0"/>
                    <w:adjustRightInd w:val="0"/>
                    <w:jc w:val="center"/>
                    <w:rPr>
                      <w:szCs w:val="21"/>
                    </w:rPr>
                  </w:pPr>
                </w:p>
              </w:tc>
              <w:tc>
                <w:tcPr>
                  <w:tcW w:w="2548" w:type="pct"/>
                  <w:vMerge w:val="continue"/>
                  <w:vAlign w:val="center"/>
                </w:tcPr>
                <w:p w14:paraId="52C3F16E">
                  <w:pPr>
                    <w:kinsoku w:val="0"/>
                    <w:overflowPunct w:val="0"/>
                    <w:autoSpaceDE w:val="0"/>
                    <w:autoSpaceDN w:val="0"/>
                    <w:adjustRightInd w:val="0"/>
                    <w:jc w:val="center"/>
                    <w:rPr>
                      <w:szCs w:val="21"/>
                    </w:rPr>
                  </w:pPr>
                </w:p>
              </w:tc>
            </w:tr>
            <w:tr w14:paraId="277D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jc w:val="center"/>
              </w:trPr>
              <w:tc>
                <w:tcPr>
                  <w:tcW w:w="357" w:type="pct"/>
                  <w:vMerge w:val="continue"/>
                  <w:vAlign w:val="center"/>
                </w:tcPr>
                <w:p w14:paraId="45B4C76F">
                  <w:pPr>
                    <w:kinsoku w:val="0"/>
                    <w:overflowPunct w:val="0"/>
                    <w:autoSpaceDE w:val="0"/>
                    <w:autoSpaceDN w:val="0"/>
                    <w:adjustRightInd w:val="0"/>
                    <w:jc w:val="center"/>
                    <w:rPr>
                      <w:szCs w:val="21"/>
                    </w:rPr>
                  </w:pPr>
                </w:p>
              </w:tc>
              <w:tc>
                <w:tcPr>
                  <w:tcW w:w="985" w:type="pct"/>
                  <w:vAlign w:val="center"/>
                </w:tcPr>
                <w:p w14:paraId="4353CC8F">
                  <w:pPr>
                    <w:kinsoku w:val="0"/>
                    <w:overflowPunct w:val="0"/>
                    <w:autoSpaceDE w:val="0"/>
                    <w:autoSpaceDN w:val="0"/>
                    <w:adjustRightInd w:val="0"/>
                    <w:jc w:val="center"/>
                    <w:rPr>
                      <w:szCs w:val="21"/>
                    </w:rPr>
                  </w:pPr>
                  <w:r>
                    <w:rPr>
                      <w:rFonts w:hint="eastAsia"/>
                      <w:szCs w:val="21"/>
                    </w:rPr>
                    <w:t>生产管理用房地面清洁废水</w:t>
                  </w:r>
                </w:p>
              </w:tc>
              <w:tc>
                <w:tcPr>
                  <w:tcW w:w="1108" w:type="pct"/>
                  <w:vMerge w:val="restart"/>
                  <w:vAlign w:val="center"/>
                </w:tcPr>
                <w:p w14:paraId="00DB5E9F">
                  <w:pPr>
                    <w:kinsoku w:val="0"/>
                    <w:overflowPunct w:val="0"/>
                    <w:autoSpaceDE w:val="0"/>
                    <w:autoSpaceDN w:val="0"/>
                    <w:adjustRightInd w:val="0"/>
                    <w:jc w:val="center"/>
                    <w:rPr>
                      <w:szCs w:val="21"/>
                    </w:rPr>
                  </w:pPr>
                  <w:r>
                    <w:rPr>
                      <w:szCs w:val="21"/>
                    </w:rPr>
                    <w:t>CODcr、BOD</w:t>
                  </w:r>
                  <w:r>
                    <w:rPr>
                      <w:szCs w:val="21"/>
                      <w:vertAlign w:val="subscript"/>
                    </w:rPr>
                    <w:t>5</w:t>
                  </w:r>
                  <w:r>
                    <w:rPr>
                      <w:szCs w:val="21"/>
                    </w:rPr>
                    <w:t>、SS、NH</w:t>
                  </w:r>
                  <w:r>
                    <w:rPr>
                      <w:szCs w:val="21"/>
                      <w:vertAlign w:val="subscript"/>
                    </w:rPr>
                    <w:t>3</w:t>
                  </w:r>
                  <w:r>
                    <w:rPr>
                      <w:szCs w:val="21"/>
                    </w:rPr>
                    <w:t>-N</w:t>
                  </w:r>
                  <w:r>
                    <w:rPr>
                      <w:rFonts w:hint="eastAsia"/>
                      <w:szCs w:val="21"/>
                    </w:rPr>
                    <w:t>、TP</w:t>
                  </w:r>
                </w:p>
              </w:tc>
              <w:tc>
                <w:tcPr>
                  <w:tcW w:w="2548" w:type="pct"/>
                  <w:vMerge w:val="restart"/>
                  <w:vAlign w:val="center"/>
                </w:tcPr>
                <w:p w14:paraId="7AC9B6FA">
                  <w:pPr>
                    <w:kinsoku w:val="0"/>
                    <w:overflowPunct w:val="0"/>
                    <w:autoSpaceDE w:val="0"/>
                    <w:autoSpaceDN w:val="0"/>
                    <w:adjustRightInd w:val="0"/>
                    <w:jc w:val="center"/>
                    <w:rPr>
                      <w:szCs w:val="21"/>
                    </w:rPr>
                  </w:pPr>
                  <w:r>
                    <w:rPr>
                      <w:szCs w:val="21"/>
                    </w:rPr>
                    <w:t>生活污水经化粪池预处理后通过市政污水管网排入</w:t>
                  </w:r>
                  <w:r>
                    <w:rPr>
                      <w:rFonts w:hint="eastAsia"/>
                      <w:szCs w:val="21"/>
                    </w:rPr>
                    <w:t>达州市城市第二污水</w:t>
                  </w:r>
                  <w:r>
                    <w:rPr>
                      <w:rFonts w:hint="eastAsia"/>
                      <w:szCs w:val="21"/>
                      <w:lang w:eastAsia="zh-CN"/>
                    </w:rPr>
                    <w:t>处理厂</w:t>
                  </w:r>
                </w:p>
              </w:tc>
            </w:tr>
            <w:tr w14:paraId="2042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3" w:hRule="atLeast"/>
                <w:jc w:val="center"/>
              </w:trPr>
              <w:tc>
                <w:tcPr>
                  <w:tcW w:w="357" w:type="pct"/>
                  <w:vMerge w:val="continue"/>
                  <w:vAlign w:val="center"/>
                </w:tcPr>
                <w:p w14:paraId="14586C19">
                  <w:pPr>
                    <w:kinsoku w:val="0"/>
                    <w:overflowPunct w:val="0"/>
                    <w:autoSpaceDE w:val="0"/>
                    <w:autoSpaceDN w:val="0"/>
                    <w:adjustRightInd w:val="0"/>
                    <w:jc w:val="center"/>
                    <w:rPr>
                      <w:szCs w:val="21"/>
                    </w:rPr>
                  </w:pPr>
                </w:p>
              </w:tc>
              <w:tc>
                <w:tcPr>
                  <w:tcW w:w="985" w:type="pct"/>
                  <w:vAlign w:val="center"/>
                </w:tcPr>
                <w:p w14:paraId="1F37AC3D">
                  <w:pPr>
                    <w:kinsoku w:val="0"/>
                    <w:overflowPunct w:val="0"/>
                    <w:autoSpaceDE w:val="0"/>
                    <w:autoSpaceDN w:val="0"/>
                    <w:adjustRightInd w:val="0"/>
                    <w:jc w:val="center"/>
                    <w:rPr>
                      <w:szCs w:val="21"/>
                    </w:rPr>
                  </w:pPr>
                  <w:r>
                    <w:rPr>
                      <w:szCs w:val="21"/>
                    </w:rPr>
                    <w:t>生活污水</w:t>
                  </w:r>
                </w:p>
              </w:tc>
              <w:tc>
                <w:tcPr>
                  <w:tcW w:w="1108" w:type="pct"/>
                  <w:vMerge w:val="continue"/>
                  <w:vAlign w:val="center"/>
                </w:tcPr>
                <w:p w14:paraId="35D759A2">
                  <w:pPr>
                    <w:kinsoku w:val="0"/>
                    <w:overflowPunct w:val="0"/>
                    <w:autoSpaceDE w:val="0"/>
                    <w:autoSpaceDN w:val="0"/>
                    <w:adjustRightInd w:val="0"/>
                    <w:jc w:val="center"/>
                    <w:rPr>
                      <w:szCs w:val="21"/>
                    </w:rPr>
                  </w:pPr>
                </w:p>
              </w:tc>
              <w:tc>
                <w:tcPr>
                  <w:tcW w:w="2548" w:type="pct"/>
                  <w:vMerge w:val="continue"/>
                  <w:vAlign w:val="center"/>
                </w:tcPr>
                <w:p w14:paraId="21965B8B">
                  <w:pPr>
                    <w:kinsoku w:val="0"/>
                    <w:overflowPunct w:val="0"/>
                    <w:autoSpaceDE w:val="0"/>
                    <w:autoSpaceDN w:val="0"/>
                    <w:adjustRightInd w:val="0"/>
                    <w:jc w:val="center"/>
                    <w:rPr>
                      <w:szCs w:val="21"/>
                    </w:rPr>
                  </w:pPr>
                </w:p>
              </w:tc>
            </w:tr>
            <w:tr w14:paraId="18C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357" w:type="pct"/>
                  <w:vMerge w:val="restart"/>
                  <w:vAlign w:val="center"/>
                </w:tcPr>
                <w:p w14:paraId="37EB4602">
                  <w:pPr>
                    <w:kinsoku w:val="0"/>
                    <w:overflowPunct w:val="0"/>
                    <w:autoSpaceDE w:val="0"/>
                    <w:autoSpaceDN w:val="0"/>
                    <w:adjustRightInd w:val="0"/>
                    <w:jc w:val="center"/>
                    <w:rPr>
                      <w:szCs w:val="21"/>
                    </w:rPr>
                  </w:pPr>
                  <w:r>
                    <w:rPr>
                      <w:szCs w:val="21"/>
                    </w:rPr>
                    <w:t>固废</w:t>
                  </w:r>
                </w:p>
              </w:tc>
              <w:tc>
                <w:tcPr>
                  <w:tcW w:w="985" w:type="pct"/>
                  <w:vMerge w:val="restart"/>
                  <w:vAlign w:val="center"/>
                </w:tcPr>
                <w:p w14:paraId="57E9794A">
                  <w:pPr>
                    <w:jc w:val="center"/>
                    <w:rPr>
                      <w:szCs w:val="21"/>
                    </w:rPr>
                  </w:pPr>
                  <w:r>
                    <w:rPr>
                      <w:szCs w:val="21"/>
                    </w:rPr>
                    <w:t>污水处理</w:t>
                  </w:r>
                </w:p>
              </w:tc>
              <w:tc>
                <w:tcPr>
                  <w:tcW w:w="1108" w:type="pct"/>
                  <w:vAlign w:val="center"/>
                </w:tcPr>
                <w:p w14:paraId="32DEFF6C">
                  <w:pPr>
                    <w:jc w:val="center"/>
                    <w:rPr>
                      <w:szCs w:val="21"/>
                    </w:rPr>
                  </w:pPr>
                  <w:r>
                    <w:rPr>
                      <w:szCs w:val="21"/>
                    </w:rPr>
                    <w:t>浮油</w:t>
                  </w:r>
                </w:p>
              </w:tc>
              <w:tc>
                <w:tcPr>
                  <w:tcW w:w="2548" w:type="pct"/>
                  <w:vAlign w:val="center"/>
                </w:tcPr>
                <w:p w14:paraId="2FF9AF85">
                  <w:pPr>
                    <w:kinsoku w:val="0"/>
                    <w:overflowPunct w:val="0"/>
                    <w:autoSpaceDE w:val="0"/>
                    <w:autoSpaceDN w:val="0"/>
                    <w:adjustRightInd w:val="0"/>
                    <w:jc w:val="center"/>
                    <w:rPr>
                      <w:szCs w:val="21"/>
                    </w:rPr>
                  </w:pPr>
                  <w:r>
                    <w:rPr>
                      <w:rFonts w:hint="eastAsia"/>
                      <w:szCs w:val="21"/>
                    </w:rPr>
                    <w:t>定期人工清理至储油桶，随生活垃圾一起运至达州市城市生活垃圾处理厂进行最终处置</w:t>
                  </w:r>
                </w:p>
              </w:tc>
            </w:tr>
            <w:tr w14:paraId="5E9D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357" w:type="pct"/>
                  <w:vMerge w:val="continue"/>
                  <w:vAlign w:val="center"/>
                </w:tcPr>
                <w:p w14:paraId="66BAB5C3">
                  <w:pPr>
                    <w:kinsoku w:val="0"/>
                    <w:overflowPunct w:val="0"/>
                    <w:autoSpaceDE w:val="0"/>
                    <w:autoSpaceDN w:val="0"/>
                    <w:adjustRightInd w:val="0"/>
                    <w:jc w:val="center"/>
                    <w:rPr>
                      <w:szCs w:val="21"/>
                    </w:rPr>
                  </w:pPr>
                </w:p>
              </w:tc>
              <w:tc>
                <w:tcPr>
                  <w:tcW w:w="985" w:type="pct"/>
                  <w:vMerge w:val="continue"/>
                  <w:vAlign w:val="center"/>
                </w:tcPr>
                <w:p w14:paraId="23DBD94D">
                  <w:pPr>
                    <w:jc w:val="center"/>
                    <w:rPr>
                      <w:szCs w:val="21"/>
                    </w:rPr>
                  </w:pPr>
                </w:p>
              </w:tc>
              <w:tc>
                <w:tcPr>
                  <w:tcW w:w="1108" w:type="pct"/>
                  <w:shd w:val="clear" w:color="auto" w:fill="auto"/>
                  <w:vAlign w:val="center"/>
                </w:tcPr>
                <w:p w14:paraId="442C222F">
                  <w:pPr>
                    <w:jc w:val="center"/>
                    <w:rPr>
                      <w:szCs w:val="21"/>
                    </w:rPr>
                  </w:pPr>
                  <w:r>
                    <w:rPr>
                      <w:szCs w:val="21"/>
                    </w:rPr>
                    <w:t>脱水污泥</w:t>
                  </w:r>
                </w:p>
              </w:tc>
              <w:tc>
                <w:tcPr>
                  <w:tcW w:w="2548" w:type="pct"/>
                  <w:shd w:val="clear" w:color="auto" w:fill="auto"/>
                  <w:vAlign w:val="center"/>
                </w:tcPr>
                <w:p w14:paraId="6C283C4A">
                  <w:pPr>
                    <w:kinsoku w:val="0"/>
                    <w:overflowPunct w:val="0"/>
                    <w:autoSpaceDE w:val="0"/>
                    <w:autoSpaceDN w:val="0"/>
                    <w:adjustRightInd w:val="0"/>
                    <w:jc w:val="center"/>
                    <w:rPr>
                      <w:szCs w:val="21"/>
                    </w:rPr>
                  </w:pPr>
                  <w:r>
                    <w:rPr>
                      <w:rFonts w:hint="eastAsia"/>
                      <w:szCs w:val="21"/>
                    </w:rPr>
                    <w:t>污泥脱水系统</w:t>
                  </w:r>
                  <w:r>
                    <w:rPr>
                      <w:szCs w:val="21"/>
                    </w:rPr>
                    <w:t>脱水后与压缩的生活垃圾一起运至</w:t>
                  </w:r>
                  <w:r>
                    <w:rPr>
                      <w:rFonts w:hint="eastAsia"/>
                      <w:szCs w:val="21"/>
                    </w:rPr>
                    <w:t>达州市城市生活垃圾处理厂焚烧处理。</w:t>
                  </w:r>
                </w:p>
              </w:tc>
            </w:tr>
            <w:tr w14:paraId="493B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66D63A80">
                  <w:pPr>
                    <w:kinsoku w:val="0"/>
                    <w:overflowPunct w:val="0"/>
                    <w:autoSpaceDE w:val="0"/>
                    <w:autoSpaceDN w:val="0"/>
                    <w:adjustRightInd w:val="0"/>
                    <w:jc w:val="center"/>
                    <w:rPr>
                      <w:szCs w:val="21"/>
                    </w:rPr>
                  </w:pPr>
                </w:p>
              </w:tc>
              <w:tc>
                <w:tcPr>
                  <w:tcW w:w="985" w:type="pct"/>
                  <w:vMerge w:val="restart"/>
                  <w:vAlign w:val="center"/>
                </w:tcPr>
                <w:p w14:paraId="438F2EF2">
                  <w:pPr>
                    <w:jc w:val="center"/>
                    <w:rPr>
                      <w:szCs w:val="21"/>
                      <w:highlight w:val="yellow"/>
                    </w:rPr>
                  </w:pPr>
                  <w:r>
                    <w:rPr>
                      <w:szCs w:val="21"/>
                    </w:rPr>
                    <w:t>原辅料包装</w:t>
                  </w:r>
                </w:p>
              </w:tc>
              <w:tc>
                <w:tcPr>
                  <w:tcW w:w="1108" w:type="pct"/>
                  <w:vAlign w:val="center"/>
                </w:tcPr>
                <w:p w14:paraId="6708C9B6">
                  <w:pPr>
                    <w:jc w:val="center"/>
                    <w:rPr>
                      <w:szCs w:val="21"/>
                      <w:highlight w:val="yellow"/>
                    </w:rPr>
                  </w:pPr>
                  <w:r>
                    <w:rPr>
                      <w:szCs w:val="21"/>
                    </w:rPr>
                    <w:t>废</w:t>
                  </w:r>
                  <w:r>
                    <w:rPr>
                      <w:rFonts w:hint="eastAsia"/>
                      <w:szCs w:val="21"/>
                    </w:rPr>
                    <w:t>包装材料</w:t>
                  </w:r>
                </w:p>
              </w:tc>
              <w:tc>
                <w:tcPr>
                  <w:tcW w:w="2548" w:type="pct"/>
                  <w:vAlign w:val="center"/>
                </w:tcPr>
                <w:p w14:paraId="572F361D">
                  <w:pPr>
                    <w:kinsoku w:val="0"/>
                    <w:overflowPunct w:val="0"/>
                    <w:autoSpaceDE w:val="0"/>
                    <w:autoSpaceDN w:val="0"/>
                    <w:adjustRightInd w:val="0"/>
                    <w:jc w:val="center"/>
                    <w:rPr>
                      <w:szCs w:val="21"/>
                      <w:highlight w:val="yellow"/>
                    </w:rPr>
                  </w:pPr>
                  <w:r>
                    <w:rPr>
                      <w:rFonts w:hint="eastAsia"/>
                      <w:szCs w:val="21"/>
                    </w:rPr>
                    <w:t>废包装材料收集后由物资部门回收利用</w:t>
                  </w:r>
                </w:p>
              </w:tc>
            </w:tr>
            <w:tr w14:paraId="064D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18E92B34">
                  <w:pPr>
                    <w:kinsoku w:val="0"/>
                    <w:overflowPunct w:val="0"/>
                    <w:autoSpaceDE w:val="0"/>
                    <w:autoSpaceDN w:val="0"/>
                    <w:adjustRightInd w:val="0"/>
                    <w:jc w:val="center"/>
                    <w:rPr>
                      <w:szCs w:val="21"/>
                    </w:rPr>
                  </w:pPr>
                </w:p>
              </w:tc>
              <w:tc>
                <w:tcPr>
                  <w:tcW w:w="985" w:type="pct"/>
                  <w:vMerge w:val="continue"/>
                  <w:vAlign w:val="center"/>
                </w:tcPr>
                <w:p w14:paraId="442B1AD2">
                  <w:pPr>
                    <w:jc w:val="center"/>
                    <w:rPr>
                      <w:szCs w:val="21"/>
                    </w:rPr>
                  </w:pPr>
                </w:p>
              </w:tc>
              <w:tc>
                <w:tcPr>
                  <w:tcW w:w="1108" w:type="pct"/>
                  <w:vAlign w:val="center"/>
                </w:tcPr>
                <w:p w14:paraId="44B0B538">
                  <w:pPr>
                    <w:jc w:val="center"/>
                    <w:rPr>
                      <w:szCs w:val="21"/>
                    </w:rPr>
                  </w:pPr>
                  <w:r>
                    <w:rPr>
                      <w:rFonts w:hint="eastAsia"/>
                      <w:szCs w:val="21"/>
                    </w:rPr>
                    <w:t>废危化品包装材料</w:t>
                  </w:r>
                </w:p>
              </w:tc>
              <w:tc>
                <w:tcPr>
                  <w:tcW w:w="2548" w:type="pct"/>
                  <w:vMerge w:val="restart"/>
                  <w:vAlign w:val="center"/>
                </w:tcPr>
                <w:p w14:paraId="4A24F165">
                  <w:pPr>
                    <w:kinsoku w:val="0"/>
                    <w:overflowPunct w:val="0"/>
                    <w:autoSpaceDE w:val="0"/>
                    <w:autoSpaceDN w:val="0"/>
                    <w:adjustRightInd w:val="0"/>
                    <w:jc w:val="center"/>
                    <w:rPr>
                      <w:szCs w:val="21"/>
                    </w:rPr>
                  </w:pPr>
                  <w:r>
                    <w:rPr>
                      <w:rFonts w:eastAsiaTheme="minorEastAsia"/>
                      <w:szCs w:val="21"/>
                    </w:rPr>
                    <w:t>于</w:t>
                  </w:r>
                  <w:r>
                    <w:rPr>
                      <w:rFonts w:hint="eastAsia" w:eastAsiaTheme="minorEastAsia"/>
                      <w:szCs w:val="21"/>
                    </w:rPr>
                    <w:t>站内危废暂存间分</w:t>
                  </w:r>
                  <w:r>
                    <w:rPr>
                      <w:rFonts w:eastAsiaTheme="minorEastAsia"/>
                      <w:szCs w:val="21"/>
                    </w:rPr>
                    <w:t>暂存，定期交有资质单位处置</w:t>
                  </w:r>
                </w:p>
              </w:tc>
            </w:tr>
            <w:tr w14:paraId="0947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69BB7FE4">
                  <w:pPr>
                    <w:kinsoku w:val="0"/>
                    <w:overflowPunct w:val="0"/>
                    <w:autoSpaceDE w:val="0"/>
                    <w:autoSpaceDN w:val="0"/>
                    <w:adjustRightInd w:val="0"/>
                    <w:jc w:val="center"/>
                    <w:rPr>
                      <w:szCs w:val="21"/>
                    </w:rPr>
                  </w:pPr>
                </w:p>
              </w:tc>
              <w:tc>
                <w:tcPr>
                  <w:tcW w:w="985" w:type="pct"/>
                  <w:vMerge w:val="continue"/>
                  <w:vAlign w:val="center"/>
                </w:tcPr>
                <w:p w14:paraId="59264A35">
                  <w:pPr>
                    <w:jc w:val="center"/>
                    <w:rPr>
                      <w:szCs w:val="21"/>
                    </w:rPr>
                  </w:pPr>
                </w:p>
              </w:tc>
              <w:tc>
                <w:tcPr>
                  <w:tcW w:w="1108" w:type="pct"/>
                  <w:vAlign w:val="center"/>
                </w:tcPr>
                <w:p w14:paraId="2CF9C12D">
                  <w:pPr>
                    <w:jc w:val="center"/>
                    <w:rPr>
                      <w:szCs w:val="21"/>
                    </w:rPr>
                  </w:pPr>
                  <w:r>
                    <w:rPr>
                      <w:rFonts w:hint="eastAsia"/>
                      <w:szCs w:val="21"/>
                    </w:rPr>
                    <w:t>废油桶</w:t>
                  </w:r>
                </w:p>
              </w:tc>
              <w:tc>
                <w:tcPr>
                  <w:tcW w:w="2548" w:type="pct"/>
                  <w:vMerge w:val="continue"/>
                  <w:vAlign w:val="center"/>
                </w:tcPr>
                <w:p w14:paraId="0474A0BC">
                  <w:pPr>
                    <w:kinsoku w:val="0"/>
                    <w:overflowPunct w:val="0"/>
                    <w:autoSpaceDE w:val="0"/>
                    <w:autoSpaceDN w:val="0"/>
                    <w:adjustRightInd w:val="0"/>
                    <w:jc w:val="center"/>
                    <w:rPr>
                      <w:szCs w:val="21"/>
                    </w:rPr>
                  </w:pPr>
                </w:p>
              </w:tc>
            </w:tr>
            <w:tr w14:paraId="0F3E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7" w:type="pct"/>
                  <w:vMerge w:val="continue"/>
                  <w:vAlign w:val="center"/>
                </w:tcPr>
                <w:p w14:paraId="04F4536A">
                  <w:pPr>
                    <w:kinsoku w:val="0"/>
                    <w:overflowPunct w:val="0"/>
                    <w:autoSpaceDE w:val="0"/>
                    <w:autoSpaceDN w:val="0"/>
                    <w:adjustRightInd w:val="0"/>
                    <w:jc w:val="center"/>
                    <w:rPr>
                      <w:szCs w:val="21"/>
                    </w:rPr>
                  </w:pPr>
                </w:p>
              </w:tc>
              <w:tc>
                <w:tcPr>
                  <w:tcW w:w="985" w:type="pct"/>
                  <w:vAlign w:val="center"/>
                </w:tcPr>
                <w:p w14:paraId="2C30BE2F">
                  <w:pPr>
                    <w:jc w:val="center"/>
                    <w:rPr>
                      <w:szCs w:val="21"/>
                    </w:rPr>
                  </w:pPr>
                  <w:r>
                    <w:rPr>
                      <w:rFonts w:hint="eastAsia"/>
                      <w:szCs w:val="21"/>
                    </w:rPr>
                    <w:t>设备运行、保养</w:t>
                  </w:r>
                </w:p>
              </w:tc>
              <w:tc>
                <w:tcPr>
                  <w:tcW w:w="1108" w:type="pct"/>
                  <w:vAlign w:val="center"/>
                </w:tcPr>
                <w:p w14:paraId="64FCDF26">
                  <w:pPr>
                    <w:jc w:val="center"/>
                    <w:rPr>
                      <w:szCs w:val="21"/>
                    </w:rPr>
                  </w:pPr>
                  <w:r>
                    <w:rPr>
                      <w:rFonts w:hint="eastAsia"/>
                      <w:szCs w:val="21"/>
                    </w:rPr>
                    <w:t>废液压油</w:t>
                  </w:r>
                </w:p>
              </w:tc>
              <w:tc>
                <w:tcPr>
                  <w:tcW w:w="2548" w:type="pct"/>
                  <w:vMerge w:val="continue"/>
                  <w:vAlign w:val="center"/>
                </w:tcPr>
                <w:p w14:paraId="540998FC">
                  <w:pPr>
                    <w:kinsoku w:val="0"/>
                    <w:overflowPunct w:val="0"/>
                    <w:autoSpaceDE w:val="0"/>
                    <w:autoSpaceDN w:val="0"/>
                    <w:adjustRightInd w:val="0"/>
                    <w:jc w:val="center"/>
                    <w:rPr>
                      <w:rFonts w:eastAsiaTheme="minorEastAsia"/>
                      <w:szCs w:val="21"/>
                    </w:rPr>
                  </w:pPr>
                </w:p>
              </w:tc>
            </w:tr>
            <w:tr w14:paraId="721D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7" w:type="pct"/>
                  <w:vMerge w:val="continue"/>
                  <w:vAlign w:val="center"/>
                </w:tcPr>
                <w:p w14:paraId="77B57255">
                  <w:pPr>
                    <w:kinsoku w:val="0"/>
                    <w:overflowPunct w:val="0"/>
                    <w:autoSpaceDE w:val="0"/>
                    <w:autoSpaceDN w:val="0"/>
                    <w:adjustRightInd w:val="0"/>
                    <w:jc w:val="center"/>
                    <w:rPr>
                      <w:szCs w:val="21"/>
                    </w:rPr>
                  </w:pPr>
                </w:p>
              </w:tc>
              <w:tc>
                <w:tcPr>
                  <w:tcW w:w="985" w:type="pct"/>
                  <w:vAlign w:val="center"/>
                </w:tcPr>
                <w:p w14:paraId="06F028CF">
                  <w:pPr>
                    <w:jc w:val="center"/>
                    <w:rPr>
                      <w:szCs w:val="21"/>
                    </w:rPr>
                  </w:pPr>
                  <w:r>
                    <w:rPr>
                      <w:szCs w:val="21"/>
                    </w:rPr>
                    <w:t>员工生活</w:t>
                  </w:r>
                </w:p>
              </w:tc>
              <w:tc>
                <w:tcPr>
                  <w:tcW w:w="1108" w:type="pct"/>
                  <w:vAlign w:val="center"/>
                </w:tcPr>
                <w:p w14:paraId="465A3F7A">
                  <w:pPr>
                    <w:jc w:val="center"/>
                    <w:rPr>
                      <w:szCs w:val="21"/>
                    </w:rPr>
                  </w:pPr>
                  <w:r>
                    <w:rPr>
                      <w:szCs w:val="21"/>
                    </w:rPr>
                    <w:t>生活垃圾</w:t>
                  </w:r>
                </w:p>
              </w:tc>
              <w:tc>
                <w:tcPr>
                  <w:tcW w:w="2548" w:type="pct"/>
                  <w:vAlign w:val="center"/>
                </w:tcPr>
                <w:p w14:paraId="0F420098">
                  <w:pPr>
                    <w:kinsoku w:val="0"/>
                    <w:overflowPunct w:val="0"/>
                    <w:autoSpaceDE w:val="0"/>
                    <w:autoSpaceDN w:val="0"/>
                    <w:adjustRightInd w:val="0"/>
                    <w:jc w:val="center"/>
                    <w:rPr>
                      <w:szCs w:val="21"/>
                    </w:rPr>
                  </w:pPr>
                  <w:r>
                    <w:rPr>
                      <w:szCs w:val="21"/>
                    </w:rPr>
                    <w:t>进压缩车间内进行压缩处理，与其他生活垃圾一起运送至终端进行最终处置</w:t>
                  </w:r>
                </w:p>
              </w:tc>
            </w:tr>
            <w:tr w14:paraId="4218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57" w:type="pct"/>
                  <w:vMerge w:val="restart"/>
                  <w:vAlign w:val="center"/>
                </w:tcPr>
                <w:p w14:paraId="6E49A3BB">
                  <w:pPr>
                    <w:kinsoku w:val="0"/>
                    <w:overflowPunct w:val="0"/>
                    <w:autoSpaceDE w:val="0"/>
                    <w:autoSpaceDN w:val="0"/>
                    <w:adjustRightInd w:val="0"/>
                    <w:jc w:val="center"/>
                    <w:rPr>
                      <w:szCs w:val="21"/>
                    </w:rPr>
                  </w:pPr>
                  <w:r>
                    <w:rPr>
                      <w:szCs w:val="21"/>
                    </w:rPr>
                    <w:t>噪声</w:t>
                  </w:r>
                </w:p>
              </w:tc>
              <w:tc>
                <w:tcPr>
                  <w:tcW w:w="985" w:type="pct"/>
                  <w:vAlign w:val="center"/>
                </w:tcPr>
                <w:p w14:paraId="1A1B4109">
                  <w:pPr>
                    <w:kinsoku w:val="0"/>
                    <w:overflowPunct w:val="0"/>
                    <w:autoSpaceDE w:val="0"/>
                    <w:autoSpaceDN w:val="0"/>
                    <w:adjustRightInd w:val="0"/>
                    <w:jc w:val="center"/>
                    <w:rPr>
                      <w:szCs w:val="21"/>
                    </w:rPr>
                  </w:pPr>
                  <w:r>
                    <w:rPr>
                      <w:szCs w:val="21"/>
                    </w:rPr>
                    <w:t>生产设备</w:t>
                  </w:r>
                </w:p>
              </w:tc>
              <w:tc>
                <w:tcPr>
                  <w:tcW w:w="1108" w:type="pct"/>
                  <w:vAlign w:val="center"/>
                </w:tcPr>
                <w:p w14:paraId="229AB2BD">
                  <w:pPr>
                    <w:kinsoku w:val="0"/>
                    <w:overflowPunct w:val="0"/>
                    <w:autoSpaceDE w:val="0"/>
                    <w:autoSpaceDN w:val="0"/>
                    <w:adjustRightInd w:val="0"/>
                    <w:jc w:val="center"/>
                    <w:rPr>
                      <w:szCs w:val="21"/>
                    </w:rPr>
                  </w:pPr>
                  <w:r>
                    <w:rPr>
                      <w:rFonts w:hint="eastAsia"/>
                      <w:szCs w:val="21"/>
                    </w:rPr>
                    <w:t>噪声</w:t>
                  </w:r>
                </w:p>
              </w:tc>
              <w:tc>
                <w:tcPr>
                  <w:tcW w:w="2548" w:type="pct"/>
                  <w:vAlign w:val="center"/>
                </w:tcPr>
                <w:p w14:paraId="23C7C68B">
                  <w:pPr>
                    <w:kinsoku w:val="0"/>
                    <w:overflowPunct w:val="0"/>
                    <w:autoSpaceDE w:val="0"/>
                    <w:autoSpaceDN w:val="0"/>
                    <w:adjustRightInd w:val="0"/>
                    <w:jc w:val="center"/>
                    <w:rPr>
                      <w:szCs w:val="21"/>
                    </w:rPr>
                  </w:pPr>
                  <w:r>
                    <w:rPr>
                      <w:szCs w:val="21"/>
                    </w:rPr>
                    <w:t>基础减振，厂房隔声</w:t>
                  </w:r>
                </w:p>
              </w:tc>
            </w:tr>
            <w:tr w14:paraId="10DB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57" w:type="pct"/>
                  <w:vMerge w:val="continue"/>
                  <w:vAlign w:val="center"/>
                </w:tcPr>
                <w:p w14:paraId="40025CAA">
                  <w:pPr>
                    <w:kinsoku w:val="0"/>
                    <w:overflowPunct w:val="0"/>
                    <w:autoSpaceDE w:val="0"/>
                    <w:autoSpaceDN w:val="0"/>
                    <w:adjustRightInd w:val="0"/>
                    <w:jc w:val="center"/>
                    <w:rPr>
                      <w:szCs w:val="21"/>
                    </w:rPr>
                  </w:pPr>
                </w:p>
              </w:tc>
              <w:tc>
                <w:tcPr>
                  <w:tcW w:w="985" w:type="pct"/>
                  <w:vAlign w:val="center"/>
                </w:tcPr>
                <w:p w14:paraId="35A9B0E9">
                  <w:pPr>
                    <w:kinsoku w:val="0"/>
                    <w:overflowPunct w:val="0"/>
                    <w:autoSpaceDE w:val="0"/>
                    <w:autoSpaceDN w:val="0"/>
                    <w:adjustRightInd w:val="0"/>
                    <w:jc w:val="center"/>
                    <w:rPr>
                      <w:szCs w:val="21"/>
                    </w:rPr>
                  </w:pPr>
                  <w:r>
                    <w:rPr>
                      <w:rFonts w:hint="eastAsia"/>
                      <w:szCs w:val="21"/>
                    </w:rPr>
                    <w:t>运输车辆</w:t>
                  </w:r>
                </w:p>
              </w:tc>
              <w:tc>
                <w:tcPr>
                  <w:tcW w:w="1108" w:type="pct"/>
                  <w:vAlign w:val="center"/>
                </w:tcPr>
                <w:p w14:paraId="49F4BB9A">
                  <w:pPr>
                    <w:kinsoku w:val="0"/>
                    <w:overflowPunct w:val="0"/>
                    <w:autoSpaceDE w:val="0"/>
                    <w:autoSpaceDN w:val="0"/>
                    <w:adjustRightInd w:val="0"/>
                    <w:jc w:val="center"/>
                    <w:rPr>
                      <w:szCs w:val="21"/>
                    </w:rPr>
                  </w:pPr>
                  <w:r>
                    <w:rPr>
                      <w:rFonts w:hint="eastAsia"/>
                      <w:szCs w:val="21"/>
                    </w:rPr>
                    <w:t>噪声</w:t>
                  </w:r>
                </w:p>
              </w:tc>
              <w:tc>
                <w:tcPr>
                  <w:tcW w:w="2548" w:type="pct"/>
                  <w:vAlign w:val="center"/>
                </w:tcPr>
                <w:p w14:paraId="4CCDDE6F">
                  <w:pPr>
                    <w:kinsoku w:val="0"/>
                    <w:overflowPunct w:val="0"/>
                    <w:autoSpaceDE w:val="0"/>
                    <w:autoSpaceDN w:val="0"/>
                    <w:adjustRightInd w:val="0"/>
                    <w:jc w:val="center"/>
                    <w:rPr>
                      <w:szCs w:val="21"/>
                    </w:rPr>
                  </w:pPr>
                  <w:r>
                    <w:rPr>
                      <w:rFonts w:hint="eastAsia"/>
                      <w:szCs w:val="21"/>
                    </w:rPr>
                    <w:t>内部管理，限速</w:t>
                  </w:r>
                </w:p>
              </w:tc>
            </w:tr>
          </w:tbl>
          <w:p w14:paraId="407B6549">
            <w:pPr>
              <w:widowControl/>
              <w:spacing w:line="360" w:lineRule="auto"/>
              <w:ind w:firstLine="480" w:firstLineChars="200"/>
              <w:jc w:val="left"/>
              <w:rPr>
                <w:rFonts w:hint="eastAsia" w:ascii="宋体" w:hAnsi="宋体" w:cs="宋体"/>
                <w:color w:val="000000"/>
                <w:kern w:val="0"/>
                <w:sz w:val="24"/>
                <w:lang w:bidi="ar"/>
              </w:rPr>
            </w:pPr>
          </w:p>
        </w:tc>
      </w:tr>
      <w:tr w14:paraId="1BABB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dxa"/>
            <w:vAlign w:val="center"/>
          </w:tcPr>
          <w:p w14:paraId="0FACEFEB">
            <w:pPr>
              <w:pStyle w:val="24"/>
              <w:adjustRightInd w:val="0"/>
              <w:snapToGrid w:val="0"/>
              <w:spacing w:before="0" w:beforeAutospacing="0" w:after="0" w:afterAutospacing="0"/>
              <w:jc w:val="center"/>
              <w:rPr>
                <w:rFonts w:hint="eastAsia" w:cs="宋体"/>
                <w:szCs w:val="24"/>
              </w:rPr>
            </w:pPr>
            <w:r>
              <w:rPr>
                <w:rFonts w:hint="eastAsia" w:cs="宋体"/>
                <w:bCs/>
                <w:kern w:val="2"/>
                <w:szCs w:val="24"/>
              </w:rPr>
              <w:t>与项目有关的原有环境污染问题</w:t>
            </w:r>
          </w:p>
        </w:tc>
        <w:tc>
          <w:tcPr>
            <w:tcW w:w="8594" w:type="dxa"/>
          </w:tcPr>
          <w:p w14:paraId="787CB706">
            <w:pPr>
              <w:widowControl/>
              <w:spacing w:before="120" w:beforeLines="50" w:line="360" w:lineRule="auto"/>
              <w:ind w:firstLine="480" w:firstLineChars="200"/>
              <w:jc w:val="left"/>
              <w:rPr>
                <w:sz w:val="24"/>
              </w:rPr>
            </w:pPr>
            <w:r>
              <w:rPr>
                <w:rFonts w:hint="eastAsia"/>
                <w:sz w:val="24"/>
              </w:rPr>
              <w:t>本项目为新建项目，位于</w:t>
            </w:r>
            <w:r>
              <w:rPr>
                <w:rFonts w:hint="eastAsia" w:ascii="宋体" w:hAnsi="宋体" w:cs="宋体"/>
                <w:color w:val="000000"/>
                <w:kern w:val="0"/>
                <w:sz w:val="24"/>
                <w:lang w:bidi="ar"/>
              </w:rPr>
              <w:t>达州市通川区西南职教园区</w:t>
            </w:r>
            <w:r>
              <w:rPr>
                <w:rFonts w:hint="eastAsia"/>
                <w:sz w:val="26"/>
                <w:szCs w:val="28"/>
              </w:rPr>
              <w:t>，</w:t>
            </w:r>
            <w:r>
              <w:rPr>
                <w:rFonts w:hint="eastAsia"/>
                <w:sz w:val="24"/>
              </w:rPr>
              <w:t>拟建地块为规划的公共设施用地（环卫用地）。根据现场踏勘，项目所处地块目前均为空地，无与本项目有关</w:t>
            </w:r>
            <w:r>
              <w:rPr>
                <w:rFonts w:hint="eastAsia"/>
                <w:sz w:val="24"/>
                <w:lang w:eastAsia="zh-CN"/>
              </w:rPr>
              <w:t>的</w:t>
            </w:r>
            <w:r>
              <w:rPr>
                <w:rFonts w:hint="eastAsia"/>
                <w:sz w:val="24"/>
              </w:rPr>
              <w:t>原有污染问题。</w:t>
            </w:r>
          </w:p>
          <w:tbl>
            <w:tblPr>
              <w:tblStyle w:val="2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92"/>
              <w:gridCol w:w="4192"/>
            </w:tblGrid>
            <w:tr w14:paraId="1EAB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92" w:type="dxa"/>
                </w:tcPr>
                <w:p w14:paraId="63866B45">
                  <w:pPr>
                    <w:widowControl/>
                    <w:spacing w:before="120" w:beforeLines="50" w:line="360" w:lineRule="auto"/>
                    <w:jc w:val="left"/>
                    <w:rPr>
                      <w:sz w:val="24"/>
                    </w:rPr>
                  </w:pPr>
                  <w:r>
                    <w:rPr>
                      <w:rFonts w:hint="eastAsia"/>
                      <w:sz w:val="24"/>
                    </w:rPr>
                    <w:drawing>
                      <wp:inline distT="0" distB="0" distL="114300" distR="114300">
                        <wp:extent cx="2508885" cy="1882140"/>
                        <wp:effectExtent l="0" t="0" r="5715" b="3810"/>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16"/>
                                <a:stretch>
                                  <a:fillRect/>
                                </a:stretch>
                              </pic:blipFill>
                              <pic:spPr>
                                <a:xfrm>
                                  <a:off x="0" y="0"/>
                                  <a:ext cx="2508885" cy="1882140"/>
                                </a:xfrm>
                                <a:prstGeom prst="rect">
                                  <a:avLst/>
                                </a:prstGeom>
                              </pic:spPr>
                            </pic:pic>
                          </a:graphicData>
                        </a:graphic>
                      </wp:inline>
                    </w:drawing>
                  </w:r>
                </w:p>
              </w:tc>
              <w:tc>
                <w:tcPr>
                  <w:tcW w:w="4192" w:type="dxa"/>
                </w:tcPr>
                <w:p w14:paraId="36CE2D47">
                  <w:pPr>
                    <w:widowControl/>
                    <w:spacing w:before="120" w:beforeLines="50" w:line="360" w:lineRule="auto"/>
                    <w:jc w:val="left"/>
                    <w:rPr>
                      <w:sz w:val="24"/>
                    </w:rPr>
                  </w:pPr>
                  <w:r>
                    <w:rPr>
                      <w:rFonts w:hint="eastAsia"/>
                      <w:sz w:val="24"/>
                    </w:rPr>
                    <w:drawing>
                      <wp:inline distT="0" distB="0" distL="114300" distR="114300">
                        <wp:extent cx="2508885" cy="1882140"/>
                        <wp:effectExtent l="0" t="0" r="5715" b="3810"/>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7"/>
                                <a:stretch>
                                  <a:fillRect/>
                                </a:stretch>
                              </pic:blipFill>
                              <pic:spPr>
                                <a:xfrm>
                                  <a:off x="0" y="0"/>
                                  <a:ext cx="2508885" cy="1882140"/>
                                </a:xfrm>
                                <a:prstGeom prst="rect">
                                  <a:avLst/>
                                </a:prstGeom>
                              </pic:spPr>
                            </pic:pic>
                          </a:graphicData>
                        </a:graphic>
                      </wp:inline>
                    </w:drawing>
                  </w:r>
                </w:p>
              </w:tc>
            </w:tr>
            <w:tr w14:paraId="6DB3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84" w:type="dxa"/>
                  <w:gridSpan w:val="2"/>
                </w:tcPr>
                <w:p w14:paraId="4147772C">
                  <w:pPr>
                    <w:adjustRightInd w:val="0"/>
                    <w:snapToGrid w:val="0"/>
                    <w:spacing w:line="360" w:lineRule="auto"/>
                    <w:jc w:val="center"/>
                    <w:rPr>
                      <w:sz w:val="24"/>
                    </w:rPr>
                  </w:pPr>
                  <w:r>
                    <w:rPr>
                      <w:rFonts w:hint="eastAsia" w:eastAsia="黑体"/>
                      <w:color w:val="000000"/>
                      <w:kern w:val="0"/>
                      <w:szCs w:val="21"/>
                      <w:lang w:bidi="ar"/>
                    </w:rPr>
                    <w:t>图2-4 本项目拟建地块现状</w:t>
                  </w:r>
                </w:p>
              </w:tc>
            </w:tr>
          </w:tbl>
          <w:p w14:paraId="1E3F6BC1">
            <w:pPr>
              <w:widowControl/>
              <w:spacing w:before="120" w:beforeLines="50" w:line="360" w:lineRule="auto"/>
              <w:ind w:firstLine="480" w:firstLineChars="200"/>
              <w:jc w:val="left"/>
              <w:rPr>
                <w:sz w:val="24"/>
              </w:rPr>
            </w:pPr>
          </w:p>
          <w:p w14:paraId="02158231">
            <w:pPr>
              <w:widowControl/>
              <w:spacing w:before="120" w:beforeLines="50" w:line="360" w:lineRule="auto"/>
              <w:jc w:val="left"/>
              <w:rPr>
                <w:sz w:val="24"/>
              </w:rPr>
            </w:pPr>
          </w:p>
          <w:p w14:paraId="0E303253">
            <w:pPr>
              <w:widowControl/>
              <w:spacing w:before="120" w:beforeLines="50" w:line="360" w:lineRule="auto"/>
              <w:ind w:firstLine="480" w:firstLineChars="200"/>
              <w:jc w:val="left"/>
              <w:rPr>
                <w:sz w:val="24"/>
              </w:rPr>
            </w:pPr>
          </w:p>
          <w:p w14:paraId="6A07472F">
            <w:pPr>
              <w:widowControl/>
              <w:spacing w:line="360" w:lineRule="auto"/>
              <w:ind w:firstLine="480" w:firstLineChars="200"/>
              <w:jc w:val="left"/>
              <w:rPr>
                <w:bCs/>
                <w:sz w:val="24"/>
              </w:rPr>
            </w:pPr>
          </w:p>
          <w:p w14:paraId="3442CD49">
            <w:pPr>
              <w:widowControl/>
              <w:spacing w:line="360" w:lineRule="auto"/>
              <w:ind w:firstLine="480" w:firstLineChars="200"/>
              <w:jc w:val="left"/>
              <w:rPr>
                <w:bCs/>
                <w:sz w:val="24"/>
              </w:rPr>
            </w:pPr>
          </w:p>
          <w:p w14:paraId="01CA42FD">
            <w:pPr>
              <w:widowControl/>
              <w:spacing w:line="360" w:lineRule="auto"/>
              <w:ind w:firstLine="480" w:firstLineChars="200"/>
              <w:jc w:val="left"/>
              <w:rPr>
                <w:rFonts w:hint="eastAsia" w:ascii="宋体" w:hAnsi="宋体"/>
                <w:bCs/>
                <w:sz w:val="24"/>
              </w:rPr>
            </w:pPr>
          </w:p>
          <w:p w14:paraId="477892BD">
            <w:pPr>
              <w:widowControl/>
              <w:spacing w:line="360" w:lineRule="auto"/>
              <w:ind w:firstLine="480" w:firstLineChars="200"/>
              <w:jc w:val="left"/>
              <w:rPr>
                <w:rFonts w:hint="eastAsia" w:ascii="宋体" w:hAnsi="宋体"/>
                <w:bCs/>
                <w:sz w:val="24"/>
              </w:rPr>
            </w:pPr>
          </w:p>
          <w:p w14:paraId="77A24AA7">
            <w:pPr>
              <w:widowControl/>
              <w:spacing w:line="360" w:lineRule="auto"/>
              <w:ind w:firstLine="480" w:firstLineChars="200"/>
              <w:jc w:val="left"/>
              <w:rPr>
                <w:rFonts w:hint="eastAsia" w:ascii="宋体" w:hAnsi="宋体"/>
                <w:bCs/>
                <w:sz w:val="24"/>
              </w:rPr>
            </w:pPr>
          </w:p>
          <w:p w14:paraId="2816F263">
            <w:pPr>
              <w:widowControl/>
              <w:spacing w:line="360" w:lineRule="auto"/>
              <w:ind w:firstLine="480" w:firstLineChars="200"/>
              <w:jc w:val="left"/>
              <w:rPr>
                <w:rFonts w:hint="eastAsia" w:ascii="宋体" w:hAnsi="宋体"/>
                <w:bCs/>
                <w:sz w:val="24"/>
              </w:rPr>
            </w:pPr>
          </w:p>
          <w:p w14:paraId="135D9469">
            <w:pPr>
              <w:widowControl/>
              <w:spacing w:line="360" w:lineRule="auto"/>
              <w:ind w:firstLine="480" w:firstLineChars="200"/>
              <w:jc w:val="left"/>
              <w:rPr>
                <w:rFonts w:hint="eastAsia" w:ascii="宋体" w:hAnsi="宋体"/>
                <w:bCs/>
                <w:sz w:val="24"/>
              </w:rPr>
            </w:pPr>
          </w:p>
          <w:p w14:paraId="08134ED3">
            <w:pPr>
              <w:widowControl/>
              <w:spacing w:line="360" w:lineRule="auto"/>
              <w:ind w:firstLine="480" w:firstLineChars="200"/>
              <w:jc w:val="left"/>
              <w:rPr>
                <w:rFonts w:hint="eastAsia" w:ascii="宋体" w:hAnsi="宋体"/>
                <w:bCs/>
                <w:sz w:val="24"/>
              </w:rPr>
            </w:pPr>
          </w:p>
          <w:p w14:paraId="67C39D7C">
            <w:pPr>
              <w:widowControl/>
              <w:spacing w:line="360" w:lineRule="auto"/>
              <w:ind w:firstLine="480" w:firstLineChars="200"/>
              <w:jc w:val="left"/>
              <w:rPr>
                <w:rFonts w:hint="eastAsia" w:ascii="宋体" w:hAnsi="宋体"/>
                <w:bCs/>
                <w:sz w:val="24"/>
              </w:rPr>
            </w:pPr>
          </w:p>
          <w:p w14:paraId="567D9E06">
            <w:pPr>
              <w:widowControl/>
              <w:spacing w:line="360" w:lineRule="auto"/>
              <w:ind w:firstLine="480" w:firstLineChars="200"/>
              <w:jc w:val="left"/>
              <w:rPr>
                <w:rFonts w:hint="eastAsia" w:ascii="宋体" w:hAnsi="宋体"/>
                <w:bCs/>
                <w:sz w:val="24"/>
              </w:rPr>
            </w:pPr>
          </w:p>
          <w:p w14:paraId="2C242F50">
            <w:pPr>
              <w:widowControl/>
              <w:spacing w:line="360" w:lineRule="auto"/>
              <w:ind w:firstLine="480" w:firstLineChars="200"/>
              <w:jc w:val="left"/>
              <w:rPr>
                <w:rFonts w:hint="eastAsia" w:ascii="宋体" w:hAnsi="宋体"/>
                <w:bCs/>
                <w:sz w:val="24"/>
              </w:rPr>
            </w:pPr>
          </w:p>
          <w:p w14:paraId="0337CF75">
            <w:pPr>
              <w:widowControl/>
              <w:spacing w:line="360" w:lineRule="auto"/>
              <w:ind w:firstLine="480" w:firstLineChars="200"/>
              <w:jc w:val="left"/>
              <w:rPr>
                <w:rFonts w:hint="eastAsia" w:ascii="宋体" w:hAnsi="宋体"/>
                <w:bCs/>
                <w:sz w:val="24"/>
              </w:rPr>
            </w:pPr>
          </w:p>
          <w:p w14:paraId="0F1E623F">
            <w:pPr>
              <w:widowControl/>
              <w:spacing w:line="360" w:lineRule="auto"/>
              <w:jc w:val="left"/>
              <w:rPr>
                <w:rFonts w:hint="eastAsia" w:ascii="宋体" w:hAnsi="宋体"/>
                <w:bCs/>
                <w:sz w:val="24"/>
              </w:rPr>
            </w:pPr>
          </w:p>
        </w:tc>
      </w:tr>
    </w:tbl>
    <w:p w14:paraId="262BC48A">
      <w:pPr>
        <w:pStyle w:val="24"/>
        <w:tabs>
          <w:tab w:val="left" w:pos="1550"/>
        </w:tabs>
        <w:jc w:val="both"/>
        <w:rPr>
          <w:rFonts w:hint="eastAsia"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781FB453">
      <w:pPr>
        <w:pStyle w:val="24"/>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5"/>
      </w:tblGrid>
      <w:tr w14:paraId="29330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426" w:type="dxa"/>
            <w:vAlign w:val="center"/>
          </w:tcPr>
          <w:p w14:paraId="7355DE51">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403EC788">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43797ADB">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266B0438">
            <w:pPr>
              <w:adjustRightInd w:val="0"/>
              <w:snapToGrid w:val="0"/>
              <w:jc w:val="center"/>
              <w:rPr>
                <w:rFonts w:hint="eastAsia" w:ascii="宋体" w:hAnsi="宋体" w:cs="宋体"/>
                <w:kern w:val="0"/>
                <w:szCs w:val="21"/>
              </w:rPr>
            </w:pPr>
            <w:r>
              <w:rPr>
                <w:rFonts w:hint="eastAsia" w:ascii="宋体" w:hAnsi="宋体" w:cs="宋体"/>
                <w:kern w:val="0"/>
                <w:szCs w:val="21"/>
              </w:rPr>
              <w:t>现状</w:t>
            </w:r>
          </w:p>
        </w:tc>
        <w:tc>
          <w:tcPr>
            <w:tcW w:w="8635" w:type="dxa"/>
          </w:tcPr>
          <w:p w14:paraId="728D97F5">
            <w:pPr>
              <w:widowControl/>
              <w:spacing w:before="120" w:beforeLines="50" w:line="360" w:lineRule="auto"/>
              <w:ind w:firstLine="482" w:firstLineChars="200"/>
              <w:rPr>
                <w:rFonts w:hint="eastAsia" w:ascii="宋体" w:hAnsi="宋体" w:cs="宋体"/>
                <w:b/>
                <w:bCs/>
                <w:color w:val="000000"/>
                <w:kern w:val="0"/>
                <w:sz w:val="24"/>
                <w:lang w:bidi="ar"/>
              </w:rPr>
            </w:pPr>
            <w:r>
              <w:rPr>
                <w:rFonts w:hint="eastAsia" w:ascii="宋体" w:hAnsi="宋体" w:cs="宋体"/>
                <w:b/>
                <w:bCs/>
                <w:color w:val="000000"/>
                <w:kern w:val="0"/>
                <w:sz w:val="24"/>
                <w:lang w:bidi="ar"/>
              </w:rPr>
              <w:t>一、大气环境质量现状</w:t>
            </w:r>
          </w:p>
          <w:p w14:paraId="3D0B7403">
            <w:pPr>
              <w:adjustRightInd w:val="0"/>
              <w:snapToGrid w:val="0"/>
              <w:spacing w:line="360" w:lineRule="auto"/>
              <w:ind w:firstLine="482" w:firstLineChars="200"/>
              <w:rPr>
                <w:b/>
                <w:sz w:val="24"/>
              </w:rPr>
            </w:pPr>
            <w:r>
              <w:rPr>
                <w:b/>
                <w:sz w:val="24"/>
              </w:rPr>
              <w:t>1、</w:t>
            </w:r>
            <w:r>
              <w:rPr>
                <w:rFonts w:hint="eastAsia"/>
                <w:b/>
                <w:sz w:val="24"/>
              </w:rPr>
              <w:t>基本污染物环境质量现状</w:t>
            </w:r>
          </w:p>
          <w:p w14:paraId="7B6E610A">
            <w:pPr>
              <w:adjustRightInd w:val="0"/>
              <w:snapToGrid w:val="0"/>
              <w:spacing w:line="360" w:lineRule="auto"/>
              <w:ind w:firstLine="480" w:firstLineChars="200"/>
              <w:rPr>
                <w:sz w:val="24"/>
              </w:rPr>
            </w:pPr>
            <w:r>
              <w:rPr>
                <w:sz w:val="24"/>
              </w:rPr>
              <w:t>根据《环境影响评价技术导则</w:t>
            </w:r>
            <w:r>
              <w:rPr>
                <w:rFonts w:hint="eastAsia"/>
                <w:sz w:val="24"/>
              </w:rPr>
              <w:t xml:space="preserve"> </w:t>
            </w:r>
            <w:r>
              <w:rPr>
                <w:sz w:val="24"/>
              </w:rPr>
              <w:t>大气环境》（HJ2.2-2018</w:t>
            </w:r>
            <w:r>
              <w:rPr>
                <w:rFonts w:hint="eastAsia"/>
                <w:sz w:val="24"/>
              </w:rPr>
              <w:t>）</w:t>
            </w:r>
            <w:r>
              <w:rPr>
                <w:sz w:val="24"/>
              </w:rPr>
              <w:t>中</w:t>
            </w:r>
            <w:r>
              <w:rPr>
                <w:rFonts w:ascii="宋体" w:hAnsi="宋体"/>
                <w:sz w:val="24"/>
              </w:rPr>
              <w:t>“</w:t>
            </w:r>
            <w:r>
              <w:rPr>
                <w:sz w:val="24"/>
              </w:rPr>
              <w:t>6.2.1.1，项目所在区域达标判定，优先采用国家或地方生态环境主管部门公开发布的评价基准年环境质量公告或环境质量报告中的数据或结论</w:t>
            </w:r>
            <w:r>
              <w:rPr>
                <w:rFonts w:ascii="宋体" w:hAnsi="宋体"/>
                <w:sz w:val="24"/>
              </w:rPr>
              <w:t>”</w:t>
            </w:r>
            <w:r>
              <w:rPr>
                <w:sz w:val="24"/>
              </w:rPr>
              <w:t>，本项目</w:t>
            </w:r>
            <w:r>
              <w:rPr>
                <w:rFonts w:hint="eastAsia"/>
                <w:sz w:val="24"/>
              </w:rPr>
              <w:t>SO</w:t>
            </w:r>
            <w:r>
              <w:rPr>
                <w:rFonts w:hint="eastAsia"/>
                <w:sz w:val="24"/>
                <w:vertAlign w:val="subscript"/>
              </w:rPr>
              <w:t>2</w:t>
            </w:r>
            <w:r>
              <w:rPr>
                <w:rFonts w:hint="eastAsia"/>
                <w:sz w:val="24"/>
              </w:rPr>
              <w:t>、CO、NO</w:t>
            </w:r>
            <w:r>
              <w:rPr>
                <w:rFonts w:hint="eastAsia"/>
                <w:sz w:val="24"/>
                <w:vertAlign w:val="subscript"/>
              </w:rPr>
              <w:t>2</w:t>
            </w:r>
            <w:r>
              <w:rPr>
                <w:rFonts w:hint="eastAsia"/>
                <w:sz w:val="24"/>
              </w:rPr>
              <w:t>、PM</w:t>
            </w:r>
            <w:r>
              <w:rPr>
                <w:rFonts w:hint="eastAsia"/>
                <w:sz w:val="24"/>
                <w:vertAlign w:val="subscript"/>
              </w:rPr>
              <w:t>2.5</w:t>
            </w:r>
            <w:r>
              <w:rPr>
                <w:rFonts w:hint="eastAsia"/>
                <w:sz w:val="24"/>
              </w:rPr>
              <w:t>、PM</w:t>
            </w:r>
            <w:r>
              <w:rPr>
                <w:rFonts w:hint="eastAsia"/>
                <w:sz w:val="24"/>
                <w:vertAlign w:val="subscript"/>
              </w:rPr>
              <w:t>10</w:t>
            </w:r>
            <w:r>
              <w:rPr>
                <w:rFonts w:hint="eastAsia"/>
                <w:sz w:val="24"/>
              </w:rPr>
              <w:t>、O</w:t>
            </w:r>
            <w:r>
              <w:rPr>
                <w:rFonts w:hint="eastAsia"/>
                <w:sz w:val="24"/>
                <w:vertAlign w:val="subscript"/>
              </w:rPr>
              <w:t>3</w:t>
            </w:r>
            <w:r>
              <w:rPr>
                <w:rFonts w:hint="eastAsia"/>
                <w:sz w:val="24"/>
              </w:rPr>
              <w:t>引用达州市生态环境局《达州市2024年环境空气质量状况》中相关数据和结论。</w:t>
            </w:r>
          </w:p>
          <w:p w14:paraId="548DC78D">
            <w:pPr>
              <w:adjustRightInd w:val="0"/>
              <w:snapToGrid w:val="0"/>
              <w:spacing w:line="360" w:lineRule="auto"/>
              <w:ind w:firstLine="480" w:firstLineChars="200"/>
              <w:rPr>
                <w:sz w:val="24"/>
              </w:rPr>
            </w:pPr>
            <w:r>
              <w:rPr>
                <w:rFonts w:hint="eastAsia"/>
                <w:sz w:val="24"/>
              </w:rPr>
              <w:t>2024年达州市主城区环境空气质量达标率为91.3%，同比上升1.2%，达标天数全年334天，同比增加5天。其中空气质量优170天、良164天、轻度污染26天、中度污染6天。</w:t>
            </w:r>
          </w:p>
          <w:p w14:paraId="5E2D3D12">
            <w:pPr>
              <w:adjustRightInd w:val="0"/>
              <w:snapToGrid w:val="0"/>
              <w:spacing w:line="360" w:lineRule="auto"/>
              <w:ind w:firstLine="480" w:firstLineChars="200"/>
              <w:rPr>
                <w:sz w:val="24"/>
              </w:rPr>
            </w:pPr>
            <w:r>
              <w:rPr>
                <w:sz w:val="24"/>
              </w:rPr>
              <w:t>2024年通川区达标率分91.3%，且均同比上升。SO</w:t>
            </w:r>
            <w:r>
              <w:rPr>
                <w:sz w:val="24"/>
                <w:vertAlign w:val="subscript"/>
              </w:rPr>
              <w:t>2</w:t>
            </w:r>
            <w:r>
              <w:rPr>
                <w:sz w:val="24"/>
              </w:rPr>
              <w:t>平均浓度9μg/m³，NO</w:t>
            </w:r>
            <w:r>
              <w:rPr>
                <w:sz w:val="24"/>
                <w:vertAlign w:val="subscript"/>
              </w:rPr>
              <w:t>2</w:t>
            </w:r>
            <w:r>
              <w:rPr>
                <w:sz w:val="24"/>
              </w:rPr>
              <w:t>平均浓度31μg/m³，CO24小时平均第9百分位数浓度值1.3mg/m³，O</w:t>
            </w:r>
            <w:r>
              <w:rPr>
                <w:sz w:val="24"/>
                <w:vertAlign w:val="subscript"/>
              </w:rPr>
              <w:t>3</w:t>
            </w:r>
            <w:r>
              <w:rPr>
                <w:sz w:val="24"/>
              </w:rPr>
              <w:t>日最大8小时滑动平均值的第90百分位数浓度133μg/m³，PM</w:t>
            </w:r>
            <w:r>
              <w:rPr>
                <w:sz w:val="24"/>
                <w:vertAlign w:val="subscript"/>
              </w:rPr>
              <w:t>2.5</w:t>
            </w:r>
            <w:r>
              <w:rPr>
                <w:sz w:val="24"/>
              </w:rPr>
              <w:t>平均浓度28μg/m³，PM</w:t>
            </w:r>
            <w:r>
              <w:rPr>
                <w:sz w:val="24"/>
                <w:vertAlign w:val="subscript"/>
              </w:rPr>
              <w:t>10</w:t>
            </w:r>
            <w:r>
              <w:rPr>
                <w:sz w:val="24"/>
              </w:rPr>
              <w:t>平均浓度50μg/m³。</w:t>
            </w:r>
          </w:p>
          <w:p w14:paraId="088CB502">
            <w:pPr>
              <w:spacing w:line="360" w:lineRule="auto"/>
              <w:ind w:firstLine="470" w:firstLineChars="196"/>
              <w:rPr>
                <w:sz w:val="24"/>
              </w:rPr>
            </w:pPr>
            <w:r>
              <w:rPr>
                <w:sz w:val="24"/>
              </w:rPr>
              <w:t>根据《环境影响评价技术导则大气环境》（HJ2.2-2018</w:t>
            </w:r>
            <w:r>
              <w:rPr>
                <w:rFonts w:hint="eastAsia"/>
                <w:sz w:val="24"/>
              </w:rPr>
              <w:t>）</w:t>
            </w:r>
            <w:r>
              <w:rPr>
                <w:sz w:val="24"/>
              </w:rPr>
              <w:t>，城市环境空气质量达标情况评价指标为SO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、CO和O</w:t>
            </w:r>
            <w:r>
              <w:rPr>
                <w:sz w:val="24"/>
                <w:vertAlign w:val="subscript"/>
              </w:rPr>
              <w:t>3</w:t>
            </w:r>
            <w:r>
              <w:rPr>
                <w:sz w:val="24"/>
              </w:rPr>
              <w:t>，六项污染物全部达标即为城市环境空气质量达标。</w:t>
            </w:r>
          </w:p>
          <w:p w14:paraId="1908BC8F">
            <w:pPr>
              <w:spacing w:line="360" w:lineRule="auto"/>
              <w:ind w:firstLine="470" w:firstLineChars="196"/>
              <w:rPr>
                <w:b/>
                <w:bCs/>
                <w:sz w:val="24"/>
              </w:rPr>
            </w:pPr>
            <w:r>
              <w:rPr>
                <w:sz w:val="24"/>
              </w:rPr>
              <w:t>本项目位于</w:t>
            </w:r>
            <w:r>
              <w:rPr>
                <w:rFonts w:hint="eastAsia"/>
                <w:sz w:val="24"/>
              </w:rPr>
              <w:t>通川区</w:t>
            </w:r>
            <w:r>
              <w:rPr>
                <w:sz w:val="24"/>
              </w:rPr>
              <w:t>，由</w:t>
            </w:r>
            <w:r>
              <w:rPr>
                <w:rFonts w:hint="eastAsia"/>
                <w:sz w:val="24"/>
              </w:rPr>
              <w:t>《达州市2024年环境空气质量状况》</w:t>
            </w:r>
            <w:r>
              <w:rPr>
                <w:sz w:val="24"/>
              </w:rPr>
              <w:t>可知，</w:t>
            </w:r>
            <w:r>
              <w:rPr>
                <w:rFonts w:hint="eastAsia"/>
                <w:sz w:val="24"/>
              </w:rPr>
              <w:t>通川区</w:t>
            </w:r>
            <w:r>
              <w:rPr>
                <w:sz w:val="24"/>
              </w:rPr>
              <w:t>环境空气SO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、CO和O</w:t>
            </w:r>
            <w:r>
              <w:rPr>
                <w:sz w:val="24"/>
                <w:vertAlign w:val="subscript"/>
              </w:rPr>
              <w:t>3</w:t>
            </w:r>
            <w:r>
              <w:rPr>
                <w:sz w:val="24"/>
              </w:rPr>
              <w:t>六项基本指标均达标。</w:t>
            </w:r>
            <w:r>
              <w:rPr>
                <w:b/>
                <w:bCs/>
                <w:sz w:val="24"/>
              </w:rPr>
              <w:t>因此，本项目所在区域属于达标区。</w:t>
            </w:r>
          </w:p>
          <w:p w14:paraId="7F368194">
            <w:pPr>
              <w:widowControl/>
              <w:spacing w:line="360" w:lineRule="auto"/>
              <w:ind w:left="481" w:leftChars="229"/>
              <w:rPr>
                <w:b/>
                <w:bCs/>
                <w:kern w:val="0"/>
                <w:sz w:val="24"/>
                <w:lang w:bidi="ar"/>
              </w:rPr>
            </w:pPr>
            <w:r>
              <w:rPr>
                <w:b/>
                <w:bCs/>
                <w:kern w:val="0"/>
                <w:sz w:val="24"/>
                <w:lang w:bidi="ar"/>
              </w:rPr>
              <w:t>2、</w:t>
            </w:r>
            <w:r>
              <w:rPr>
                <w:rFonts w:hint="eastAsia"/>
                <w:b/>
                <w:bCs/>
                <w:sz w:val="24"/>
              </w:rPr>
              <w:t>其他污染物环境质量现状</w:t>
            </w:r>
          </w:p>
          <w:p w14:paraId="6915FD7B">
            <w:pPr>
              <w:spacing w:line="360" w:lineRule="auto"/>
              <w:ind w:firstLine="480" w:firstLineChars="200"/>
              <w:rPr>
                <w:sz w:val="24"/>
              </w:rPr>
            </w:pPr>
            <w:r>
              <w:rPr>
                <w:sz w:val="24"/>
              </w:rPr>
              <w:t>本项目属于生活垃圾转运站建设项目，运营期涉及的其他污染物为氨、硫化氢及TSP</w:t>
            </w:r>
            <w:r>
              <w:rPr>
                <w:rFonts w:hint="eastAsia"/>
                <w:sz w:val="24"/>
              </w:rPr>
              <w:t>。因此，对其他污染物进行了补充监测。</w:t>
            </w:r>
          </w:p>
          <w:p w14:paraId="0BAA351F">
            <w:pPr>
              <w:spacing w:line="360" w:lineRule="auto"/>
              <w:ind w:firstLine="482" w:firstLineChars="200"/>
              <w:rPr>
                <w:b/>
                <w:sz w:val="24"/>
              </w:rPr>
            </w:pPr>
            <w:r>
              <w:rPr>
                <w:rFonts w:hint="eastAsia"/>
                <w:b/>
                <w:bCs/>
                <w:sz w:val="24"/>
              </w:rPr>
              <w:t>（1）</w:t>
            </w:r>
            <w:r>
              <w:rPr>
                <w:b/>
                <w:bCs/>
                <w:sz w:val="24"/>
              </w:rPr>
              <w:t>监测点位基本信息</w:t>
            </w:r>
          </w:p>
          <w:p w14:paraId="1BC4AD25">
            <w:pPr>
              <w:spacing w:line="360" w:lineRule="auto"/>
              <w:ind w:firstLine="480" w:firstLineChars="200"/>
              <w:rPr>
                <w:sz w:val="24"/>
              </w:rPr>
            </w:pPr>
            <w:r>
              <w:rPr>
                <w:sz w:val="24"/>
              </w:rPr>
              <w:t>本次环评</w:t>
            </w:r>
            <w:r>
              <w:rPr>
                <w:rFonts w:hint="eastAsia"/>
                <w:sz w:val="24"/>
              </w:rPr>
              <w:t>设置</w:t>
            </w:r>
            <w:r>
              <w:rPr>
                <w:sz w:val="24"/>
              </w:rPr>
              <w:t>环境空气监测点1个，</w:t>
            </w:r>
            <w:r>
              <w:rPr>
                <w:rFonts w:hint="eastAsia"/>
                <w:sz w:val="24"/>
              </w:rPr>
              <w:t>位于所在区域常年主导下风向。</w:t>
            </w:r>
            <w:r>
              <w:rPr>
                <w:sz w:val="24"/>
              </w:rPr>
              <w:t>监测点位基本信息见表3-1。</w:t>
            </w:r>
          </w:p>
          <w:p w14:paraId="633337D6">
            <w:pPr>
              <w:jc w:val="center"/>
              <w:rPr>
                <w:b/>
                <w:bCs/>
                <w:szCs w:val="21"/>
              </w:rPr>
            </w:pPr>
            <w:r>
              <w:rPr>
                <w:b/>
                <w:bCs/>
                <w:szCs w:val="21"/>
              </w:rPr>
              <w:t>表3-1 其他污染物监测点位基本信息</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128"/>
              <w:gridCol w:w="2127"/>
              <w:gridCol w:w="2131"/>
            </w:tblGrid>
            <w:tr w14:paraId="201F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2" w:type="pct"/>
                  <w:vAlign w:val="center"/>
                </w:tcPr>
                <w:p w14:paraId="3EF1ECF3">
                  <w:pPr>
                    <w:jc w:val="center"/>
                    <w:rPr>
                      <w:b/>
                      <w:bCs/>
                    </w:rPr>
                  </w:pPr>
                  <w:r>
                    <w:rPr>
                      <w:b/>
                      <w:bCs/>
                      <w:kern w:val="0"/>
                    </w:rPr>
                    <w:t>编号</w:t>
                  </w:r>
                </w:p>
              </w:tc>
              <w:tc>
                <w:tcPr>
                  <w:tcW w:w="1265" w:type="pct"/>
                  <w:vAlign w:val="center"/>
                </w:tcPr>
                <w:p w14:paraId="621C08CE">
                  <w:pPr>
                    <w:jc w:val="center"/>
                    <w:rPr>
                      <w:b/>
                      <w:bCs/>
                    </w:rPr>
                  </w:pPr>
                  <w:r>
                    <w:rPr>
                      <w:b/>
                      <w:bCs/>
                      <w:kern w:val="0"/>
                    </w:rPr>
                    <w:t>监测点位置</w:t>
                  </w:r>
                </w:p>
              </w:tc>
              <w:tc>
                <w:tcPr>
                  <w:tcW w:w="1265" w:type="pct"/>
                  <w:vAlign w:val="center"/>
                </w:tcPr>
                <w:p w14:paraId="688AC191">
                  <w:pPr>
                    <w:jc w:val="center"/>
                    <w:rPr>
                      <w:b/>
                      <w:bCs/>
                      <w:kern w:val="0"/>
                    </w:rPr>
                  </w:pPr>
                  <w:r>
                    <w:rPr>
                      <w:rFonts w:hint="eastAsia"/>
                      <w:b/>
                      <w:bCs/>
                      <w:kern w:val="0"/>
                    </w:rPr>
                    <w:t>监测项目</w:t>
                  </w:r>
                </w:p>
              </w:tc>
              <w:tc>
                <w:tcPr>
                  <w:tcW w:w="1267" w:type="pct"/>
                  <w:vAlign w:val="center"/>
                </w:tcPr>
                <w:p w14:paraId="2E30C5BF">
                  <w:pPr>
                    <w:jc w:val="center"/>
                    <w:rPr>
                      <w:b/>
                      <w:bCs/>
                      <w:kern w:val="0"/>
                    </w:rPr>
                  </w:pPr>
                  <w:r>
                    <w:rPr>
                      <w:rFonts w:hint="eastAsia"/>
                      <w:b/>
                      <w:bCs/>
                      <w:kern w:val="0"/>
                    </w:rPr>
                    <w:t>监测频率</w:t>
                  </w:r>
                </w:p>
              </w:tc>
            </w:tr>
            <w:tr w14:paraId="7846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vMerge w:val="restart"/>
                  <w:vAlign w:val="center"/>
                </w:tcPr>
                <w:p w14:paraId="60DE0FFE">
                  <w:pPr>
                    <w:jc w:val="center"/>
                  </w:pPr>
                  <w:r>
                    <w:rPr>
                      <w:rFonts w:hint="eastAsia"/>
                    </w:rPr>
                    <w:t>1#</w:t>
                  </w:r>
                </w:p>
              </w:tc>
              <w:tc>
                <w:tcPr>
                  <w:tcW w:w="1265" w:type="pct"/>
                  <w:vMerge w:val="restart"/>
                  <w:vAlign w:val="center"/>
                </w:tcPr>
                <w:p w14:paraId="421869ED">
                  <w:pPr>
                    <w:jc w:val="center"/>
                  </w:pPr>
                  <w:r>
                    <w:t>项目所在地下风向</w:t>
                  </w:r>
                </w:p>
              </w:tc>
              <w:tc>
                <w:tcPr>
                  <w:tcW w:w="1265" w:type="pct"/>
                  <w:vAlign w:val="center"/>
                </w:tcPr>
                <w:p w14:paraId="3DA47D18">
                  <w:pPr>
                    <w:jc w:val="center"/>
                  </w:pPr>
                  <w:r>
                    <w:rPr>
                      <w:rFonts w:hint="eastAsia"/>
                    </w:rPr>
                    <w:t>颗粒物</w:t>
                  </w:r>
                </w:p>
              </w:tc>
              <w:tc>
                <w:tcPr>
                  <w:tcW w:w="1267" w:type="pct"/>
                  <w:vAlign w:val="center"/>
                </w:tcPr>
                <w:p w14:paraId="6A5FCCF2">
                  <w:pPr>
                    <w:jc w:val="center"/>
                  </w:pPr>
                  <w:r>
                    <w:rPr>
                      <w:rFonts w:hint="eastAsia"/>
                      <w:szCs w:val="21"/>
                    </w:rPr>
                    <w:t>监测3天，日均值</w:t>
                  </w:r>
                </w:p>
              </w:tc>
            </w:tr>
            <w:tr w14:paraId="3CAE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vMerge w:val="continue"/>
                  <w:vAlign w:val="center"/>
                </w:tcPr>
                <w:p w14:paraId="3B3EDA79">
                  <w:pPr>
                    <w:jc w:val="center"/>
                  </w:pPr>
                </w:p>
              </w:tc>
              <w:tc>
                <w:tcPr>
                  <w:tcW w:w="1265" w:type="pct"/>
                  <w:vMerge w:val="continue"/>
                  <w:vAlign w:val="center"/>
                </w:tcPr>
                <w:p w14:paraId="75502600">
                  <w:pPr>
                    <w:jc w:val="center"/>
                  </w:pPr>
                </w:p>
              </w:tc>
              <w:tc>
                <w:tcPr>
                  <w:tcW w:w="1265" w:type="pct"/>
                  <w:vAlign w:val="center"/>
                </w:tcPr>
                <w:p w14:paraId="1ECECA3C">
                  <w:pPr>
                    <w:jc w:val="center"/>
                  </w:pPr>
                  <w:r>
                    <w:rPr>
                      <w:rFonts w:hint="eastAsia"/>
                    </w:rPr>
                    <w:t>NH</w:t>
                  </w:r>
                  <w:r>
                    <w:rPr>
                      <w:rFonts w:hint="eastAsia"/>
                      <w:vertAlign w:val="subscript"/>
                    </w:rPr>
                    <w:t>3</w:t>
                  </w:r>
                  <w:r>
                    <w:rPr>
                      <w:rFonts w:hint="eastAsia"/>
                    </w:rPr>
                    <w:t>、H</w:t>
                  </w:r>
                  <w:r>
                    <w:rPr>
                      <w:rFonts w:hint="eastAsia"/>
                      <w:vertAlign w:val="subscript"/>
                    </w:rPr>
                    <w:t>2</w:t>
                  </w:r>
                  <w:r>
                    <w:rPr>
                      <w:rFonts w:hint="eastAsia"/>
                    </w:rPr>
                    <w:t>S</w:t>
                  </w:r>
                </w:p>
              </w:tc>
              <w:tc>
                <w:tcPr>
                  <w:tcW w:w="1267" w:type="pct"/>
                  <w:vAlign w:val="center"/>
                </w:tcPr>
                <w:p w14:paraId="7E311990">
                  <w:pPr>
                    <w:jc w:val="center"/>
                    <w:rPr>
                      <w:szCs w:val="21"/>
                    </w:rPr>
                  </w:pPr>
                  <w:r>
                    <w:rPr>
                      <w:rFonts w:hint="eastAsia"/>
                      <w:szCs w:val="21"/>
                    </w:rPr>
                    <w:t>监测3天</w:t>
                  </w:r>
                </w:p>
              </w:tc>
            </w:tr>
          </w:tbl>
          <w:p w14:paraId="13EC1BCE">
            <w:pPr>
              <w:spacing w:before="120" w:beforeLines="50" w:line="360" w:lineRule="auto"/>
              <w:ind w:firstLine="482" w:firstLineChars="200"/>
              <w:rPr>
                <w:b/>
                <w:sz w:val="24"/>
              </w:rPr>
            </w:pPr>
            <w:r>
              <w:rPr>
                <w:rFonts w:hint="eastAsia"/>
                <w:b/>
                <w:sz w:val="24"/>
              </w:rPr>
              <w:t>（2）</w:t>
            </w:r>
            <w:r>
              <w:rPr>
                <w:b/>
                <w:sz w:val="24"/>
              </w:rPr>
              <w:t>监测结果</w:t>
            </w:r>
          </w:p>
          <w:p w14:paraId="63F35CBD">
            <w:pPr>
              <w:jc w:val="center"/>
              <w:rPr>
                <w:b/>
                <w:bCs/>
                <w:szCs w:val="21"/>
              </w:rPr>
            </w:pPr>
            <w:r>
              <w:rPr>
                <w:b/>
                <w:bCs/>
                <w:szCs w:val="21"/>
              </w:rPr>
              <w:t>表3-</w:t>
            </w:r>
            <w:r>
              <w:rPr>
                <w:rFonts w:hint="eastAsia"/>
                <w:b/>
                <w:bCs/>
                <w:szCs w:val="21"/>
              </w:rPr>
              <w:t>2</w:t>
            </w:r>
            <w:r>
              <w:rPr>
                <w:b/>
                <w:bCs/>
                <w:szCs w:val="21"/>
              </w:rPr>
              <w:t xml:space="preserve"> </w:t>
            </w:r>
            <w:r>
              <w:rPr>
                <w:rFonts w:hint="eastAsia"/>
                <w:b/>
                <w:bCs/>
                <w:szCs w:val="21"/>
              </w:rPr>
              <w:t xml:space="preserve"> </w:t>
            </w:r>
            <w:r>
              <w:rPr>
                <w:b/>
                <w:bCs/>
                <w:szCs w:val="21"/>
              </w:rPr>
              <w:t>其他污染物监测</w:t>
            </w:r>
            <w:r>
              <w:rPr>
                <w:rFonts w:hint="eastAsia"/>
                <w:b/>
                <w:bCs/>
                <w:szCs w:val="21"/>
              </w:rPr>
              <w:t>结果表</w:t>
            </w:r>
          </w:p>
          <w:tbl>
            <w:tblPr>
              <w:tblStyle w:val="28"/>
              <w:tblW w:w="840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56"/>
              <w:gridCol w:w="727"/>
              <w:gridCol w:w="824"/>
              <w:gridCol w:w="941"/>
              <w:gridCol w:w="1009"/>
              <w:gridCol w:w="928"/>
              <w:gridCol w:w="818"/>
              <w:gridCol w:w="1029"/>
              <w:gridCol w:w="1076"/>
            </w:tblGrid>
            <w:tr w14:paraId="3D32A4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1056" w:type="dxa"/>
                  <w:vMerge w:val="restart"/>
                  <w:tcBorders>
                    <w:tl2br w:val="nil"/>
                    <w:tr2bl w:val="nil"/>
                  </w:tcBorders>
                  <w:vAlign w:val="center"/>
                </w:tcPr>
                <w:p w14:paraId="0A39B3A0">
                  <w:pPr>
                    <w:jc w:val="center"/>
                    <w:rPr>
                      <w:b/>
                      <w:bCs/>
                      <w:szCs w:val="21"/>
                    </w:rPr>
                  </w:pPr>
                  <w:r>
                    <w:rPr>
                      <w:rFonts w:hint="eastAsia"/>
                      <w:b/>
                      <w:bCs/>
                      <w:szCs w:val="21"/>
                    </w:rPr>
                    <w:t>采样日期</w:t>
                  </w:r>
                </w:p>
              </w:tc>
              <w:tc>
                <w:tcPr>
                  <w:tcW w:w="727" w:type="dxa"/>
                  <w:vMerge w:val="restart"/>
                  <w:tcBorders>
                    <w:tl2br w:val="nil"/>
                    <w:tr2bl w:val="nil"/>
                  </w:tcBorders>
                  <w:vAlign w:val="center"/>
                </w:tcPr>
                <w:p w14:paraId="62ACC95B">
                  <w:pPr>
                    <w:jc w:val="center"/>
                    <w:rPr>
                      <w:b/>
                      <w:bCs/>
                      <w:szCs w:val="21"/>
                    </w:rPr>
                  </w:pPr>
                  <w:r>
                    <w:rPr>
                      <w:rFonts w:hint="eastAsia"/>
                      <w:b/>
                      <w:bCs/>
                      <w:szCs w:val="21"/>
                    </w:rPr>
                    <w:t>检测点位</w:t>
                  </w:r>
                </w:p>
              </w:tc>
              <w:tc>
                <w:tcPr>
                  <w:tcW w:w="824" w:type="dxa"/>
                  <w:vMerge w:val="restart"/>
                  <w:tcBorders>
                    <w:tl2br w:val="nil"/>
                    <w:tr2bl w:val="nil"/>
                  </w:tcBorders>
                  <w:vAlign w:val="center"/>
                </w:tcPr>
                <w:p w14:paraId="19B585CC">
                  <w:pPr>
                    <w:jc w:val="center"/>
                    <w:rPr>
                      <w:b/>
                      <w:bCs/>
                      <w:szCs w:val="21"/>
                    </w:rPr>
                  </w:pPr>
                  <w:r>
                    <w:rPr>
                      <w:rFonts w:hint="eastAsia"/>
                      <w:b/>
                      <w:bCs/>
                      <w:szCs w:val="21"/>
                    </w:rPr>
                    <w:t>检测项目</w:t>
                  </w:r>
                </w:p>
              </w:tc>
              <w:tc>
                <w:tcPr>
                  <w:tcW w:w="941" w:type="dxa"/>
                  <w:vMerge w:val="restart"/>
                  <w:tcBorders>
                    <w:tl2br w:val="nil"/>
                    <w:tr2bl w:val="nil"/>
                  </w:tcBorders>
                  <w:vAlign w:val="center"/>
                </w:tcPr>
                <w:p w14:paraId="63DA9F80">
                  <w:pPr>
                    <w:jc w:val="center"/>
                    <w:rPr>
                      <w:b/>
                      <w:bCs/>
                      <w:szCs w:val="21"/>
                    </w:rPr>
                  </w:pPr>
                  <w:r>
                    <w:rPr>
                      <w:rFonts w:hint="eastAsia"/>
                      <w:b/>
                      <w:bCs/>
                      <w:szCs w:val="21"/>
                    </w:rPr>
                    <w:t>单位</w:t>
                  </w:r>
                </w:p>
              </w:tc>
              <w:tc>
                <w:tcPr>
                  <w:tcW w:w="3784" w:type="dxa"/>
                  <w:gridSpan w:val="4"/>
                  <w:tcBorders>
                    <w:tl2br w:val="nil"/>
                    <w:tr2bl w:val="nil"/>
                  </w:tcBorders>
                  <w:vAlign w:val="center"/>
                </w:tcPr>
                <w:p w14:paraId="5525DAC6">
                  <w:pPr>
                    <w:jc w:val="center"/>
                    <w:rPr>
                      <w:b/>
                      <w:bCs/>
                      <w:snapToGrid w:val="0"/>
                      <w:szCs w:val="21"/>
                    </w:rPr>
                  </w:pPr>
                  <w:r>
                    <w:rPr>
                      <w:rFonts w:hint="eastAsia"/>
                      <w:b/>
                      <w:bCs/>
                      <w:szCs w:val="21"/>
                    </w:rPr>
                    <w:t>检测结果</w:t>
                  </w:r>
                </w:p>
              </w:tc>
              <w:tc>
                <w:tcPr>
                  <w:tcW w:w="1076" w:type="dxa"/>
                  <w:vMerge w:val="restart"/>
                  <w:tcBorders>
                    <w:tl2br w:val="nil"/>
                    <w:tr2bl w:val="nil"/>
                  </w:tcBorders>
                  <w:vAlign w:val="center"/>
                </w:tcPr>
                <w:p w14:paraId="2846BFA3">
                  <w:pPr>
                    <w:jc w:val="center"/>
                    <w:rPr>
                      <w:b/>
                      <w:bCs/>
                      <w:szCs w:val="21"/>
                    </w:rPr>
                  </w:pPr>
                  <w:r>
                    <w:rPr>
                      <w:rFonts w:hint="eastAsia"/>
                      <w:b/>
                      <w:bCs/>
                      <w:szCs w:val="21"/>
                    </w:rPr>
                    <w:t>标准限值</w:t>
                  </w:r>
                </w:p>
              </w:tc>
            </w:tr>
            <w:tr w14:paraId="1A5EED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6" w:hRule="atLeast"/>
                <w:jc w:val="center"/>
              </w:trPr>
              <w:tc>
                <w:tcPr>
                  <w:tcW w:w="1056" w:type="dxa"/>
                  <w:vMerge w:val="continue"/>
                  <w:tcBorders>
                    <w:tl2br w:val="nil"/>
                    <w:tr2bl w:val="nil"/>
                  </w:tcBorders>
                  <w:vAlign w:val="center"/>
                </w:tcPr>
                <w:p w14:paraId="5AE3B611">
                  <w:pPr>
                    <w:jc w:val="center"/>
                  </w:pPr>
                </w:p>
              </w:tc>
              <w:tc>
                <w:tcPr>
                  <w:tcW w:w="727" w:type="dxa"/>
                  <w:vMerge w:val="continue"/>
                  <w:tcBorders>
                    <w:tl2br w:val="nil"/>
                    <w:tr2bl w:val="nil"/>
                  </w:tcBorders>
                  <w:vAlign w:val="center"/>
                </w:tcPr>
                <w:p w14:paraId="6CCC9FBC">
                  <w:pPr>
                    <w:jc w:val="center"/>
                  </w:pPr>
                </w:p>
              </w:tc>
              <w:tc>
                <w:tcPr>
                  <w:tcW w:w="824" w:type="dxa"/>
                  <w:vMerge w:val="continue"/>
                  <w:tcBorders>
                    <w:tl2br w:val="nil"/>
                    <w:tr2bl w:val="nil"/>
                  </w:tcBorders>
                  <w:vAlign w:val="center"/>
                </w:tcPr>
                <w:p w14:paraId="0118EF47">
                  <w:pPr>
                    <w:jc w:val="center"/>
                  </w:pPr>
                </w:p>
              </w:tc>
              <w:tc>
                <w:tcPr>
                  <w:tcW w:w="941" w:type="dxa"/>
                  <w:vMerge w:val="continue"/>
                  <w:tcBorders>
                    <w:tl2br w:val="nil"/>
                    <w:tr2bl w:val="nil"/>
                  </w:tcBorders>
                  <w:vAlign w:val="center"/>
                </w:tcPr>
                <w:p w14:paraId="34A03390">
                  <w:pPr>
                    <w:jc w:val="center"/>
                  </w:pPr>
                </w:p>
              </w:tc>
              <w:tc>
                <w:tcPr>
                  <w:tcW w:w="1009" w:type="dxa"/>
                  <w:tcBorders>
                    <w:tl2br w:val="nil"/>
                    <w:tr2bl w:val="nil"/>
                  </w:tcBorders>
                  <w:vAlign w:val="center"/>
                </w:tcPr>
                <w:p w14:paraId="00E6DAB5">
                  <w:pPr>
                    <w:jc w:val="center"/>
                  </w:pPr>
                  <w:r>
                    <w:rPr>
                      <w:rFonts w:hint="eastAsia"/>
                    </w:rPr>
                    <w:t>第一次</w:t>
                  </w:r>
                </w:p>
              </w:tc>
              <w:tc>
                <w:tcPr>
                  <w:tcW w:w="928" w:type="dxa"/>
                  <w:tcBorders>
                    <w:tl2br w:val="nil"/>
                    <w:tr2bl w:val="nil"/>
                  </w:tcBorders>
                  <w:vAlign w:val="center"/>
                </w:tcPr>
                <w:p w14:paraId="336103FF">
                  <w:pPr>
                    <w:jc w:val="center"/>
                  </w:pPr>
                  <w:r>
                    <w:rPr>
                      <w:rFonts w:hint="eastAsia"/>
                    </w:rPr>
                    <w:t>第二次</w:t>
                  </w:r>
                </w:p>
              </w:tc>
              <w:tc>
                <w:tcPr>
                  <w:tcW w:w="818" w:type="dxa"/>
                  <w:tcBorders>
                    <w:tl2br w:val="nil"/>
                    <w:tr2bl w:val="nil"/>
                  </w:tcBorders>
                  <w:vAlign w:val="center"/>
                </w:tcPr>
                <w:p w14:paraId="2BE30C3E">
                  <w:pPr>
                    <w:jc w:val="center"/>
                  </w:pPr>
                  <w:r>
                    <w:rPr>
                      <w:rFonts w:hint="eastAsia"/>
                    </w:rPr>
                    <w:t>第三次</w:t>
                  </w:r>
                </w:p>
              </w:tc>
              <w:tc>
                <w:tcPr>
                  <w:tcW w:w="1029" w:type="dxa"/>
                  <w:tcBorders>
                    <w:tl2br w:val="nil"/>
                    <w:tr2bl w:val="nil"/>
                  </w:tcBorders>
                  <w:vAlign w:val="center"/>
                </w:tcPr>
                <w:p w14:paraId="40596F81">
                  <w:pPr>
                    <w:jc w:val="center"/>
                  </w:pPr>
                  <w:r>
                    <w:rPr>
                      <w:rFonts w:hint="eastAsia"/>
                    </w:rPr>
                    <w:t>第四次</w:t>
                  </w:r>
                </w:p>
              </w:tc>
              <w:tc>
                <w:tcPr>
                  <w:tcW w:w="1076" w:type="dxa"/>
                  <w:vMerge w:val="continue"/>
                  <w:tcBorders>
                    <w:tl2br w:val="nil"/>
                    <w:tr2bl w:val="nil"/>
                  </w:tcBorders>
                  <w:vAlign w:val="center"/>
                </w:tcPr>
                <w:p w14:paraId="42177E8E">
                  <w:pPr>
                    <w:jc w:val="center"/>
                  </w:pPr>
                </w:p>
              </w:tc>
            </w:tr>
            <w:tr w14:paraId="25D067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vAlign w:val="center"/>
                </w:tcPr>
                <w:p w14:paraId="46C9E7CB">
                  <w:pPr>
                    <w:pStyle w:val="72"/>
                    <w:spacing w:before="0" w:after="0"/>
                    <w:rPr>
                      <w:rFonts w:cs="Times New Roman"/>
                      <w:bCs/>
                      <w:sz w:val="21"/>
                      <w:szCs w:val="21"/>
                    </w:rPr>
                  </w:pPr>
                  <w:r>
                    <w:rPr>
                      <w:rFonts w:hint="eastAsia" w:cs="Times New Roman"/>
                      <w:bCs/>
                      <w:sz w:val="21"/>
                      <w:szCs w:val="21"/>
                    </w:rPr>
                    <w:t>2025.4.29</w:t>
                  </w:r>
                </w:p>
              </w:tc>
              <w:tc>
                <w:tcPr>
                  <w:tcW w:w="727" w:type="dxa"/>
                  <w:vMerge w:val="restart"/>
                  <w:tcBorders>
                    <w:tl2br w:val="nil"/>
                    <w:tr2bl w:val="nil"/>
                  </w:tcBorders>
                  <w:vAlign w:val="center"/>
                </w:tcPr>
                <w:p w14:paraId="4ACE3B99">
                  <w:pPr>
                    <w:pStyle w:val="72"/>
                    <w:spacing w:before="0" w:after="0"/>
                    <w:rPr>
                      <w:rFonts w:cs="Times New Roman"/>
                      <w:sz w:val="21"/>
                      <w:szCs w:val="21"/>
                    </w:rPr>
                  </w:pPr>
                  <w:r>
                    <w:rPr>
                      <w:rFonts w:cs="Times New Roman"/>
                      <w:sz w:val="21"/>
                      <w:szCs w:val="21"/>
                    </w:rPr>
                    <w:t>1#，</w:t>
                  </w:r>
                  <w:r>
                    <w:rPr>
                      <w:rFonts w:hint="eastAsia" w:cs="Times New Roman"/>
                      <w:sz w:val="21"/>
                      <w:szCs w:val="21"/>
                    </w:rPr>
                    <w:t>厂界西南侧约70m</w:t>
                  </w:r>
                </w:p>
              </w:tc>
              <w:tc>
                <w:tcPr>
                  <w:tcW w:w="824" w:type="dxa"/>
                  <w:vMerge w:val="restart"/>
                  <w:tcBorders>
                    <w:tl2br w:val="nil"/>
                    <w:tr2bl w:val="nil"/>
                  </w:tcBorders>
                  <w:vAlign w:val="center"/>
                </w:tcPr>
                <w:p w14:paraId="64D14927">
                  <w:pPr>
                    <w:pStyle w:val="72"/>
                    <w:spacing w:before="0" w:after="0"/>
                    <w:rPr>
                      <w:vertAlign w:val="subscript"/>
                    </w:rPr>
                  </w:pPr>
                  <w:r>
                    <w:rPr>
                      <w:rFonts w:hint="eastAsia"/>
                    </w:rPr>
                    <w:t>NH</w:t>
                  </w:r>
                  <w:r>
                    <w:rPr>
                      <w:rFonts w:hint="eastAsia"/>
                      <w:vertAlign w:val="subscript"/>
                    </w:rPr>
                    <w:t>3</w:t>
                  </w:r>
                </w:p>
                <w:p w14:paraId="4BF03E93">
                  <w:pPr>
                    <w:pStyle w:val="72"/>
                    <w:spacing w:before="0" w:after="0"/>
                  </w:pPr>
                  <w:r>
                    <w:rPr>
                      <w:rFonts w:hint="eastAsia"/>
                    </w:rPr>
                    <w:t>（小时值）</w:t>
                  </w:r>
                </w:p>
              </w:tc>
              <w:tc>
                <w:tcPr>
                  <w:tcW w:w="941" w:type="dxa"/>
                  <w:vMerge w:val="restart"/>
                  <w:tcBorders>
                    <w:tl2br w:val="nil"/>
                    <w:tr2bl w:val="nil"/>
                  </w:tcBorders>
                  <w:vAlign w:val="center"/>
                </w:tcPr>
                <w:p w14:paraId="5A9D6C56">
                  <w:pPr>
                    <w:pStyle w:val="72"/>
                    <w:spacing w:before="0" w:after="0"/>
                  </w:pPr>
                  <w:r>
                    <w:rPr>
                      <w:rFonts w:hint="eastAsia"/>
                    </w:rPr>
                    <w:t>mg/m³</w:t>
                  </w:r>
                </w:p>
              </w:tc>
              <w:tc>
                <w:tcPr>
                  <w:tcW w:w="1009" w:type="dxa"/>
                  <w:tcBorders>
                    <w:tl2br w:val="nil"/>
                    <w:tr2bl w:val="nil"/>
                  </w:tcBorders>
                  <w:vAlign w:val="center"/>
                </w:tcPr>
                <w:p w14:paraId="6451FE66">
                  <w:pPr>
                    <w:widowControl/>
                    <w:jc w:val="center"/>
                    <w:textAlignment w:val="center"/>
                    <w:rPr>
                      <w:szCs w:val="21"/>
                    </w:rPr>
                  </w:pPr>
                  <w:r>
                    <w:rPr>
                      <w:rFonts w:hint="eastAsia"/>
                      <w:szCs w:val="21"/>
                    </w:rPr>
                    <w:t>0.03</w:t>
                  </w:r>
                </w:p>
              </w:tc>
              <w:tc>
                <w:tcPr>
                  <w:tcW w:w="928" w:type="dxa"/>
                  <w:tcBorders>
                    <w:tl2br w:val="nil"/>
                    <w:tr2bl w:val="nil"/>
                  </w:tcBorders>
                  <w:vAlign w:val="center"/>
                </w:tcPr>
                <w:p w14:paraId="3899831F">
                  <w:pPr>
                    <w:widowControl/>
                    <w:jc w:val="center"/>
                    <w:textAlignment w:val="center"/>
                    <w:rPr>
                      <w:szCs w:val="21"/>
                    </w:rPr>
                  </w:pPr>
                  <w:r>
                    <w:rPr>
                      <w:rFonts w:hint="eastAsia"/>
                      <w:szCs w:val="21"/>
                    </w:rPr>
                    <w:t>0.02</w:t>
                  </w:r>
                </w:p>
              </w:tc>
              <w:tc>
                <w:tcPr>
                  <w:tcW w:w="818" w:type="dxa"/>
                  <w:tcBorders>
                    <w:tl2br w:val="nil"/>
                    <w:tr2bl w:val="nil"/>
                  </w:tcBorders>
                  <w:vAlign w:val="center"/>
                </w:tcPr>
                <w:p w14:paraId="7447FD99">
                  <w:pPr>
                    <w:widowControl/>
                    <w:jc w:val="center"/>
                    <w:textAlignment w:val="center"/>
                    <w:rPr>
                      <w:szCs w:val="21"/>
                    </w:rPr>
                  </w:pPr>
                  <w:r>
                    <w:rPr>
                      <w:rFonts w:hint="eastAsia"/>
                      <w:szCs w:val="21"/>
                    </w:rPr>
                    <w:t>0.03</w:t>
                  </w:r>
                </w:p>
              </w:tc>
              <w:tc>
                <w:tcPr>
                  <w:tcW w:w="1029" w:type="dxa"/>
                  <w:tcBorders>
                    <w:tl2br w:val="nil"/>
                    <w:tr2bl w:val="nil"/>
                  </w:tcBorders>
                  <w:vAlign w:val="center"/>
                </w:tcPr>
                <w:p w14:paraId="08D8BF69">
                  <w:pPr>
                    <w:widowControl/>
                    <w:jc w:val="center"/>
                    <w:textAlignment w:val="center"/>
                    <w:rPr>
                      <w:szCs w:val="21"/>
                    </w:rPr>
                  </w:pPr>
                  <w:r>
                    <w:rPr>
                      <w:rFonts w:hint="eastAsia"/>
                      <w:szCs w:val="21"/>
                    </w:rPr>
                    <w:t>0.04</w:t>
                  </w:r>
                </w:p>
              </w:tc>
              <w:tc>
                <w:tcPr>
                  <w:tcW w:w="1076" w:type="dxa"/>
                  <w:vMerge w:val="restart"/>
                  <w:tcBorders>
                    <w:tl2br w:val="nil"/>
                    <w:tr2bl w:val="nil"/>
                  </w:tcBorders>
                  <w:vAlign w:val="center"/>
                </w:tcPr>
                <w:p w14:paraId="7E33D71D">
                  <w:pPr>
                    <w:widowControl/>
                    <w:jc w:val="center"/>
                    <w:textAlignment w:val="center"/>
                    <w:rPr>
                      <w:szCs w:val="21"/>
                    </w:rPr>
                  </w:pPr>
                  <w:r>
                    <w:rPr>
                      <w:rFonts w:hint="eastAsia"/>
                      <w:szCs w:val="21"/>
                    </w:rPr>
                    <w:t>200</w:t>
                  </w:r>
                  <w:r>
                    <w:t>μg/</w:t>
                  </w:r>
                  <w:r>
                    <w:rPr>
                      <w:rFonts w:hint="eastAsia"/>
                    </w:rPr>
                    <w:t>m³</w:t>
                  </w:r>
                </w:p>
              </w:tc>
            </w:tr>
            <w:tr w14:paraId="30A3C9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vAlign w:val="center"/>
                </w:tcPr>
                <w:p w14:paraId="4726204E">
                  <w:pPr>
                    <w:pStyle w:val="72"/>
                    <w:spacing w:before="0" w:after="0"/>
                    <w:rPr>
                      <w:rFonts w:cs="Times New Roman"/>
                      <w:bCs/>
                      <w:sz w:val="21"/>
                      <w:szCs w:val="21"/>
                    </w:rPr>
                  </w:pPr>
                  <w:r>
                    <w:rPr>
                      <w:rFonts w:hint="eastAsia" w:cs="Times New Roman"/>
                      <w:bCs/>
                      <w:sz w:val="21"/>
                      <w:szCs w:val="21"/>
                    </w:rPr>
                    <w:t>2025.4.30</w:t>
                  </w:r>
                </w:p>
              </w:tc>
              <w:tc>
                <w:tcPr>
                  <w:tcW w:w="727" w:type="dxa"/>
                  <w:vMerge w:val="continue"/>
                  <w:tcBorders>
                    <w:tl2br w:val="nil"/>
                    <w:tr2bl w:val="nil"/>
                  </w:tcBorders>
                  <w:vAlign w:val="center"/>
                </w:tcPr>
                <w:p w14:paraId="1CB21C9E">
                  <w:pPr>
                    <w:pStyle w:val="72"/>
                    <w:spacing w:before="0" w:after="0"/>
                    <w:rPr>
                      <w:rFonts w:cs="Times New Roman"/>
                      <w:bCs/>
                      <w:sz w:val="21"/>
                      <w:szCs w:val="21"/>
                    </w:rPr>
                  </w:pPr>
                </w:p>
              </w:tc>
              <w:tc>
                <w:tcPr>
                  <w:tcW w:w="824" w:type="dxa"/>
                  <w:vMerge w:val="continue"/>
                  <w:tcBorders>
                    <w:tl2br w:val="nil"/>
                    <w:tr2bl w:val="nil"/>
                  </w:tcBorders>
                  <w:vAlign w:val="center"/>
                </w:tcPr>
                <w:p w14:paraId="7800896D">
                  <w:pPr>
                    <w:pStyle w:val="72"/>
                    <w:spacing w:before="0" w:after="0"/>
                  </w:pPr>
                </w:p>
              </w:tc>
              <w:tc>
                <w:tcPr>
                  <w:tcW w:w="941" w:type="dxa"/>
                  <w:vMerge w:val="continue"/>
                  <w:tcBorders>
                    <w:tl2br w:val="nil"/>
                    <w:tr2bl w:val="nil"/>
                  </w:tcBorders>
                  <w:vAlign w:val="center"/>
                </w:tcPr>
                <w:p w14:paraId="47A504FF">
                  <w:pPr>
                    <w:pStyle w:val="72"/>
                    <w:spacing w:before="0" w:after="0"/>
                  </w:pPr>
                </w:p>
              </w:tc>
              <w:tc>
                <w:tcPr>
                  <w:tcW w:w="1009" w:type="dxa"/>
                  <w:tcBorders>
                    <w:tl2br w:val="nil"/>
                    <w:tr2bl w:val="nil"/>
                  </w:tcBorders>
                  <w:vAlign w:val="center"/>
                </w:tcPr>
                <w:p w14:paraId="20BD81C8">
                  <w:pPr>
                    <w:widowControl/>
                    <w:jc w:val="center"/>
                    <w:textAlignment w:val="center"/>
                    <w:rPr>
                      <w:szCs w:val="21"/>
                    </w:rPr>
                  </w:pPr>
                  <w:r>
                    <w:rPr>
                      <w:rFonts w:hint="eastAsia"/>
                      <w:szCs w:val="21"/>
                    </w:rPr>
                    <w:t>0.008</w:t>
                  </w:r>
                </w:p>
              </w:tc>
              <w:tc>
                <w:tcPr>
                  <w:tcW w:w="928" w:type="dxa"/>
                  <w:tcBorders>
                    <w:tl2br w:val="nil"/>
                    <w:tr2bl w:val="nil"/>
                  </w:tcBorders>
                  <w:vAlign w:val="center"/>
                </w:tcPr>
                <w:p w14:paraId="212892A6">
                  <w:pPr>
                    <w:widowControl/>
                    <w:jc w:val="center"/>
                    <w:textAlignment w:val="center"/>
                    <w:rPr>
                      <w:szCs w:val="21"/>
                    </w:rPr>
                  </w:pPr>
                  <w:r>
                    <w:rPr>
                      <w:rFonts w:hint="eastAsia"/>
                      <w:szCs w:val="21"/>
                    </w:rPr>
                    <w:t>未检出</w:t>
                  </w:r>
                </w:p>
              </w:tc>
              <w:tc>
                <w:tcPr>
                  <w:tcW w:w="818" w:type="dxa"/>
                  <w:tcBorders>
                    <w:tl2br w:val="nil"/>
                    <w:tr2bl w:val="nil"/>
                  </w:tcBorders>
                  <w:vAlign w:val="center"/>
                </w:tcPr>
                <w:p w14:paraId="2C8EBE9A">
                  <w:pPr>
                    <w:widowControl/>
                    <w:jc w:val="center"/>
                    <w:textAlignment w:val="center"/>
                    <w:rPr>
                      <w:szCs w:val="21"/>
                    </w:rPr>
                  </w:pPr>
                  <w:r>
                    <w:rPr>
                      <w:rFonts w:hint="eastAsia"/>
                      <w:szCs w:val="21"/>
                    </w:rPr>
                    <w:t>未检出</w:t>
                  </w:r>
                </w:p>
              </w:tc>
              <w:tc>
                <w:tcPr>
                  <w:tcW w:w="1029" w:type="dxa"/>
                  <w:tcBorders>
                    <w:tl2br w:val="nil"/>
                    <w:tr2bl w:val="nil"/>
                  </w:tcBorders>
                  <w:vAlign w:val="center"/>
                </w:tcPr>
                <w:p w14:paraId="7B32DAAE">
                  <w:pPr>
                    <w:widowControl/>
                    <w:jc w:val="center"/>
                    <w:textAlignment w:val="center"/>
                    <w:rPr>
                      <w:szCs w:val="21"/>
                    </w:rPr>
                  </w:pPr>
                  <w:r>
                    <w:rPr>
                      <w:rFonts w:hint="eastAsia"/>
                      <w:szCs w:val="21"/>
                    </w:rPr>
                    <w:t>0.007</w:t>
                  </w:r>
                </w:p>
              </w:tc>
              <w:tc>
                <w:tcPr>
                  <w:tcW w:w="1076" w:type="dxa"/>
                  <w:vMerge w:val="continue"/>
                  <w:tcBorders>
                    <w:tl2br w:val="nil"/>
                    <w:tr2bl w:val="nil"/>
                  </w:tcBorders>
                  <w:vAlign w:val="center"/>
                </w:tcPr>
                <w:p w14:paraId="68FC4303">
                  <w:pPr>
                    <w:widowControl/>
                    <w:jc w:val="center"/>
                    <w:textAlignment w:val="center"/>
                    <w:rPr>
                      <w:szCs w:val="21"/>
                    </w:rPr>
                  </w:pPr>
                </w:p>
              </w:tc>
            </w:tr>
            <w:tr w14:paraId="2BF648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vAlign w:val="center"/>
                </w:tcPr>
                <w:p w14:paraId="1671F279">
                  <w:pPr>
                    <w:pStyle w:val="72"/>
                    <w:spacing w:before="0" w:after="0"/>
                    <w:rPr>
                      <w:rFonts w:cs="Times New Roman"/>
                      <w:bCs/>
                      <w:sz w:val="21"/>
                      <w:szCs w:val="21"/>
                    </w:rPr>
                  </w:pPr>
                  <w:r>
                    <w:rPr>
                      <w:rFonts w:hint="eastAsia" w:cs="Times New Roman"/>
                      <w:bCs/>
                      <w:sz w:val="21"/>
                      <w:szCs w:val="21"/>
                    </w:rPr>
                    <w:t>2025.5.1</w:t>
                  </w:r>
                </w:p>
              </w:tc>
              <w:tc>
                <w:tcPr>
                  <w:tcW w:w="727" w:type="dxa"/>
                  <w:vMerge w:val="continue"/>
                  <w:tcBorders>
                    <w:tl2br w:val="nil"/>
                    <w:tr2bl w:val="nil"/>
                  </w:tcBorders>
                  <w:vAlign w:val="center"/>
                </w:tcPr>
                <w:p w14:paraId="2C6FCA13">
                  <w:pPr>
                    <w:pStyle w:val="72"/>
                    <w:spacing w:before="0" w:after="0"/>
                  </w:pPr>
                </w:p>
              </w:tc>
              <w:tc>
                <w:tcPr>
                  <w:tcW w:w="824" w:type="dxa"/>
                  <w:vMerge w:val="continue"/>
                  <w:tcBorders>
                    <w:tl2br w:val="nil"/>
                    <w:tr2bl w:val="nil"/>
                  </w:tcBorders>
                  <w:vAlign w:val="center"/>
                </w:tcPr>
                <w:p w14:paraId="57A804A1">
                  <w:pPr>
                    <w:pStyle w:val="72"/>
                    <w:spacing w:before="0" w:after="0"/>
                  </w:pPr>
                </w:p>
              </w:tc>
              <w:tc>
                <w:tcPr>
                  <w:tcW w:w="941" w:type="dxa"/>
                  <w:vMerge w:val="continue"/>
                  <w:tcBorders>
                    <w:tl2br w:val="nil"/>
                    <w:tr2bl w:val="nil"/>
                  </w:tcBorders>
                  <w:vAlign w:val="center"/>
                </w:tcPr>
                <w:p w14:paraId="63C68A80">
                  <w:pPr>
                    <w:pStyle w:val="72"/>
                    <w:spacing w:before="0" w:after="0"/>
                  </w:pPr>
                </w:p>
              </w:tc>
              <w:tc>
                <w:tcPr>
                  <w:tcW w:w="1009" w:type="dxa"/>
                  <w:tcBorders>
                    <w:tl2br w:val="nil"/>
                    <w:tr2bl w:val="nil"/>
                  </w:tcBorders>
                  <w:vAlign w:val="center"/>
                </w:tcPr>
                <w:p w14:paraId="52BC2D8F">
                  <w:pPr>
                    <w:widowControl/>
                    <w:jc w:val="center"/>
                    <w:textAlignment w:val="center"/>
                    <w:rPr>
                      <w:szCs w:val="21"/>
                    </w:rPr>
                  </w:pPr>
                  <w:r>
                    <w:rPr>
                      <w:rFonts w:hint="eastAsia"/>
                      <w:color w:val="000000"/>
                      <w:kern w:val="0"/>
                      <w:szCs w:val="21"/>
                      <w:lang w:bidi="ar"/>
                    </w:rPr>
                    <w:t>0.05</w:t>
                  </w:r>
                </w:p>
              </w:tc>
              <w:tc>
                <w:tcPr>
                  <w:tcW w:w="928" w:type="dxa"/>
                  <w:tcBorders>
                    <w:tl2br w:val="nil"/>
                    <w:tr2bl w:val="nil"/>
                  </w:tcBorders>
                  <w:vAlign w:val="center"/>
                </w:tcPr>
                <w:p w14:paraId="182CB7B8">
                  <w:pPr>
                    <w:widowControl/>
                    <w:jc w:val="center"/>
                    <w:textAlignment w:val="center"/>
                    <w:rPr>
                      <w:szCs w:val="21"/>
                    </w:rPr>
                  </w:pPr>
                  <w:r>
                    <w:rPr>
                      <w:rFonts w:hint="eastAsia"/>
                      <w:color w:val="000000"/>
                      <w:kern w:val="0"/>
                      <w:szCs w:val="21"/>
                      <w:lang w:bidi="ar"/>
                    </w:rPr>
                    <w:t>0.02</w:t>
                  </w:r>
                </w:p>
              </w:tc>
              <w:tc>
                <w:tcPr>
                  <w:tcW w:w="818" w:type="dxa"/>
                  <w:tcBorders>
                    <w:tl2br w:val="nil"/>
                    <w:tr2bl w:val="nil"/>
                  </w:tcBorders>
                  <w:vAlign w:val="center"/>
                </w:tcPr>
                <w:p w14:paraId="0690CF7C">
                  <w:pPr>
                    <w:widowControl/>
                    <w:jc w:val="center"/>
                    <w:textAlignment w:val="center"/>
                    <w:rPr>
                      <w:szCs w:val="21"/>
                    </w:rPr>
                  </w:pPr>
                  <w:r>
                    <w:rPr>
                      <w:rFonts w:hint="eastAsia"/>
                      <w:color w:val="000000"/>
                      <w:kern w:val="0"/>
                      <w:szCs w:val="21"/>
                      <w:lang w:bidi="ar"/>
                    </w:rPr>
                    <w:t>0.03</w:t>
                  </w:r>
                </w:p>
              </w:tc>
              <w:tc>
                <w:tcPr>
                  <w:tcW w:w="1029" w:type="dxa"/>
                  <w:tcBorders>
                    <w:tl2br w:val="nil"/>
                    <w:tr2bl w:val="nil"/>
                  </w:tcBorders>
                  <w:vAlign w:val="center"/>
                </w:tcPr>
                <w:p w14:paraId="7C748004">
                  <w:pPr>
                    <w:widowControl/>
                    <w:jc w:val="center"/>
                    <w:textAlignment w:val="center"/>
                    <w:rPr>
                      <w:szCs w:val="21"/>
                    </w:rPr>
                  </w:pPr>
                  <w:r>
                    <w:rPr>
                      <w:rFonts w:hint="eastAsia"/>
                      <w:color w:val="000000"/>
                      <w:kern w:val="0"/>
                      <w:szCs w:val="21"/>
                      <w:lang w:bidi="ar"/>
                    </w:rPr>
                    <w:t>0.05</w:t>
                  </w:r>
                </w:p>
              </w:tc>
              <w:tc>
                <w:tcPr>
                  <w:tcW w:w="1076" w:type="dxa"/>
                  <w:vMerge w:val="continue"/>
                  <w:tcBorders>
                    <w:tl2br w:val="nil"/>
                    <w:tr2bl w:val="nil"/>
                  </w:tcBorders>
                  <w:vAlign w:val="center"/>
                </w:tcPr>
                <w:p w14:paraId="1C600D98">
                  <w:pPr>
                    <w:widowControl/>
                    <w:jc w:val="center"/>
                    <w:textAlignment w:val="center"/>
                    <w:rPr>
                      <w:color w:val="000000"/>
                      <w:kern w:val="0"/>
                      <w:szCs w:val="21"/>
                      <w:lang w:bidi="ar"/>
                    </w:rPr>
                  </w:pPr>
                </w:p>
              </w:tc>
            </w:tr>
            <w:tr w14:paraId="2CCC12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224EE120">
                  <w:pPr>
                    <w:pStyle w:val="72"/>
                    <w:spacing w:before="0" w:after="0"/>
                    <w:rPr>
                      <w:rFonts w:cs="Times New Roman"/>
                      <w:bCs/>
                      <w:sz w:val="21"/>
                      <w:szCs w:val="21"/>
                    </w:rPr>
                  </w:pPr>
                  <w:r>
                    <w:rPr>
                      <w:rFonts w:hint="eastAsia" w:cs="Times New Roman"/>
                      <w:bCs/>
                      <w:sz w:val="21"/>
                      <w:szCs w:val="21"/>
                    </w:rPr>
                    <w:t>2025.4.29</w:t>
                  </w:r>
                </w:p>
              </w:tc>
              <w:tc>
                <w:tcPr>
                  <w:tcW w:w="727" w:type="dxa"/>
                  <w:vMerge w:val="continue"/>
                  <w:tcBorders>
                    <w:tl2br w:val="nil"/>
                    <w:tr2bl w:val="nil"/>
                  </w:tcBorders>
                  <w:vAlign w:val="center"/>
                </w:tcPr>
                <w:p w14:paraId="471F5F04">
                  <w:pPr>
                    <w:pStyle w:val="72"/>
                    <w:spacing w:before="0" w:after="0"/>
                  </w:pPr>
                </w:p>
              </w:tc>
              <w:tc>
                <w:tcPr>
                  <w:tcW w:w="824" w:type="dxa"/>
                  <w:vMerge w:val="restart"/>
                  <w:tcBorders>
                    <w:tl2br w:val="nil"/>
                    <w:tr2bl w:val="nil"/>
                  </w:tcBorders>
                  <w:shd w:val="clear" w:color="auto" w:fill="auto"/>
                  <w:vAlign w:val="center"/>
                </w:tcPr>
                <w:p w14:paraId="198D06DB">
                  <w:pPr>
                    <w:pStyle w:val="72"/>
                    <w:spacing w:before="0" w:after="0"/>
                  </w:pPr>
                  <w:r>
                    <w:rPr>
                      <w:rFonts w:hint="eastAsia"/>
                    </w:rPr>
                    <w:t>H</w:t>
                  </w:r>
                  <w:r>
                    <w:rPr>
                      <w:rFonts w:hint="eastAsia"/>
                      <w:vertAlign w:val="subscript"/>
                    </w:rPr>
                    <w:t>2</w:t>
                  </w:r>
                  <w:r>
                    <w:rPr>
                      <w:rFonts w:hint="eastAsia"/>
                    </w:rPr>
                    <w:t>S</w:t>
                  </w:r>
                </w:p>
                <w:p w14:paraId="524CB056">
                  <w:pPr>
                    <w:pStyle w:val="72"/>
                    <w:spacing w:before="0" w:after="0"/>
                  </w:pPr>
                  <w:r>
                    <w:rPr>
                      <w:rFonts w:hint="eastAsia"/>
                    </w:rPr>
                    <w:t>（小时值）</w:t>
                  </w:r>
                </w:p>
              </w:tc>
              <w:tc>
                <w:tcPr>
                  <w:tcW w:w="941" w:type="dxa"/>
                  <w:vMerge w:val="restart"/>
                  <w:tcBorders>
                    <w:tl2br w:val="nil"/>
                    <w:tr2bl w:val="nil"/>
                  </w:tcBorders>
                  <w:vAlign w:val="center"/>
                </w:tcPr>
                <w:p w14:paraId="6315B698">
                  <w:pPr>
                    <w:pStyle w:val="72"/>
                    <w:spacing w:before="0" w:after="0"/>
                  </w:pPr>
                  <w:r>
                    <w:rPr>
                      <w:rFonts w:hint="eastAsia"/>
                    </w:rPr>
                    <w:t>mg/m³</w:t>
                  </w:r>
                </w:p>
              </w:tc>
              <w:tc>
                <w:tcPr>
                  <w:tcW w:w="1009" w:type="dxa"/>
                  <w:tcBorders>
                    <w:tl2br w:val="nil"/>
                    <w:tr2bl w:val="nil"/>
                  </w:tcBorders>
                  <w:vAlign w:val="center"/>
                </w:tcPr>
                <w:p w14:paraId="530ADFE0">
                  <w:pPr>
                    <w:widowControl/>
                    <w:jc w:val="center"/>
                    <w:textAlignment w:val="center"/>
                    <w:rPr>
                      <w:szCs w:val="21"/>
                    </w:rPr>
                  </w:pPr>
                  <w:r>
                    <w:rPr>
                      <w:rFonts w:hint="eastAsia"/>
                      <w:szCs w:val="21"/>
                    </w:rPr>
                    <w:t>0.008</w:t>
                  </w:r>
                </w:p>
              </w:tc>
              <w:tc>
                <w:tcPr>
                  <w:tcW w:w="928" w:type="dxa"/>
                  <w:tcBorders>
                    <w:tl2br w:val="nil"/>
                    <w:tr2bl w:val="nil"/>
                  </w:tcBorders>
                  <w:vAlign w:val="center"/>
                </w:tcPr>
                <w:p w14:paraId="633B7B79">
                  <w:pPr>
                    <w:widowControl/>
                    <w:jc w:val="center"/>
                    <w:textAlignment w:val="center"/>
                    <w:rPr>
                      <w:szCs w:val="21"/>
                    </w:rPr>
                  </w:pPr>
                  <w:r>
                    <w:rPr>
                      <w:rFonts w:hint="eastAsia"/>
                      <w:szCs w:val="21"/>
                    </w:rPr>
                    <w:t>未检出</w:t>
                  </w:r>
                </w:p>
              </w:tc>
              <w:tc>
                <w:tcPr>
                  <w:tcW w:w="818" w:type="dxa"/>
                  <w:tcBorders>
                    <w:tl2br w:val="nil"/>
                    <w:tr2bl w:val="nil"/>
                  </w:tcBorders>
                  <w:vAlign w:val="center"/>
                </w:tcPr>
                <w:p w14:paraId="7BFCCEC2">
                  <w:pPr>
                    <w:widowControl/>
                    <w:jc w:val="center"/>
                    <w:textAlignment w:val="center"/>
                    <w:rPr>
                      <w:szCs w:val="21"/>
                    </w:rPr>
                  </w:pPr>
                  <w:r>
                    <w:rPr>
                      <w:rFonts w:hint="eastAsia"/>
                      <w:szCs w:val="21"/>
                    </w:rPr>
                    <w:t>未检出</w:t>
                  </w:r>
                </w:p>
              </w:tc>
              <w:tc>
                <w:tcPr>
                  <w:tcW w:w="1029" w:type="dxa"/>
                  <w:tcBorders>
                    <w:tl2br w:val="nil"/>
                    <w:tr2bl w:val="nil"/>
                  </w:tcBorders>
                  <w:vAlign w:val="center"/>
                </w:tcPr>
                <w:p w14:paraId="2C94E7B5">
                  <w:pPr>
                    <w:widowControl/>
                    <w:jc w:val="center"/>
                    <w:textAlignment w:val="center"/>
                    <w:rPr>
                      <w:szCs w:val="21"/>
                    </w:rPr>
                  </w:pPr>
                  <w:r>
                    <w:rPr>
                      <w:rFonts w:hint="eastAsia"/>
                      <w:szCs w:val="21"/>
                    </w:rPr>
                    <w:t>0.007</w:t>
                  </w:r>
                </w:p>
              </w:tc>
              <w:tc>
                <w:tcPr>
                  <w:tcW w:w="1076" w:type="dxa"/>
                  <w:vMerge w:val="restart"/>
                  <w:tcBorders>
                    <w:tl2br w:val="nil"/>
                    <w:tr2bl w:val="nil"/>
                  </w:tcBorders>
                  <w:vAlign w:val="center"/>
                </w:tcPr>
                <w:p w14:paraId="6789CEB6">
                  <w:pPr>
                    <w:widowControl/>
                    <w:jc w:val="center"/>
                    <w:textAlignment w:val="center"/>
                    <w:rPr>
                      <w:szCs w:val="21"/>
                    </w:rPr>
                  </w:pPr>
                  <w:r>
                    <w:rPr>
                      <w:rFonts w:hint="eastAsia"/>
                      <w:szCs w:val="21"/>
                    </w:rPr>
                    <w:t>10</w:t>
                  </w:r>
                  <w:r>
                    <w:t>μg/</w:t>
                  </w:r>
                  <w:r>
                    <w:rPr>
                      <w:rFonts w:hint="eastAsia"/>
                    </w:rPr>
                    <w:t>m³</w:t>
                  </w:r>
                </w:p>
              </w:tc>
            </w:tr>
            <w:tr w14:paraId="17562E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2BF47825">
                  <w:pPr>
                    <w:pStyle w:val="72"/>
                    <w:spacing w:before="0" w:after="0"/>
                    <w:rPr>
                      <w:rFonts w:cs="Times New Roman"/>
                      <w:bCs/>
                      <w:sz w:val="21"/>
                      <w:szCs w:val="21"/>
                    </w:rPr>
                  </w:pPr>
                  <w:r>
                    <w:rPr>
                      <w:rFonts w:hint="eastAsia" w:cs="Times New Roman"/>
                      <w:bCs/>
                      <w:sz w:val="21"/>
                      <w:szCs w:val="21"/>
                    </w:rPr>
                    <w:t>2025.4.30</w:t>
                  </w:r>
                </w:p>
              </w:tc>
              <w:tc>
                <w:tcPr>
                  <w:tcW w:w="727" w:type="dxa"/>
                  <w:vMerge w:val="continue"/>
                  <w:tcBorders>
                    <w:tl2br w:val="nil"/>
                    <w:tr2bl w:val="nil"/>
                  </w:tcBorders>
                  <w:vAlign w:val="center"/>
                </w:tcPr>
                <w:p w14:paraId="5CB1F75C">
                  <w:pPr>
                    <w:pStyle w:val="72"/>
                    <w:spacing w:before="0" w:after="0"/>
                  </w:pPr>
                </w:p>
              </w:tc>
              <w:tc>
                <w:tcPr>
                  <w:tcW w:w="824" w:type="dxa"/>
                  <w:vMerge w:val="continue"/>
                  <w:tcBorders>
                    <w:tl2br w:val="nil"/>
                    <w:tr2bl w:val="nil"/>
                  </w:tcBorders>
                  <w:shd w:val="clear" w:color="auto" w:fill="auto"/>
                  <w:vAlign w:val="center"/>
                </w:tcPr>
                <w:p w14:paraId="326B6F0C">
                  <w:pPr>
                    <w:pStyle w:val="72"/>
                    <w:spacing w:before="0" w:after="0"/>
                  </w:pPr>
                </w:p>
              </w:tc>
              <w:tc>
                <w:tcPr>
                  <w:tcW w:w="941" w:type="dxa"/>
                  <w:vMerge w:val="continue"/>
                  <w:tcBorders>
                    <w:tl2br w:val="nil"/>
                    <w:tr2bl w:val="nil"/>
                  </w:tcBorders>
                  <w:vAlign w:val="center"/>
                </w:tcPr>
                <w:p w14:paraId="5E8FE50B">
                  <w:pPr>
                    <w:pStyle w:val="72"/>
                    <w:spacing w:before="0" w:after="0"/>
                  </w:pPr>
                </w:p>
              </w:tc>
              <w:tc>
                <w:tcPr>
                  <w:tcW w:w="1009" w:type="dxa"/>
                  <w:tcBorders>
                    <w:tl2br w:val="nil"/>
                    <w:tr2bl w:val="nil"/>
                  </w:tcBorders>
                  <w:vAlign w:val="center"/>
                </w:tcPr>
                <w:p w14:paraId="5152ADFD">
                  <w:pPr>
                    <w:widowControl/>
                    <w:jc w:val="center"/>
                    <w:textAlignment w:val="center"/>
                    <w:rPr>
                      <w:szCs w:val="21"/>
                    </w:rPr>
                  </w:pPr>
                  <w:r>
                    <w:rPr>
                      <w:rFonts w:hint="eastAsia"/>
                      <w:szCs w:val="21"/>
                    </w:rPr>
                    <w:t>未检出</w:t>
                  </w:r>
                </w:p>
              </w:tc>
              <w:tc>
                <w:tcPr>
                  <w:tcW w:w="928" w:type="dxa"/>
                  <w:tcBorders>
                    <w:tl2br w:val="nil"/>
                    <w:tr2bl w:val="nil"/>
                  </w:tcBorders>
                  <w:vAlign w:val="center"/>
                </w:tcPr>
                <w:p w14:paraId="6BE99853">
                  <w:pPr>
                    <w:widowControl/>
                    <w:jc w:val="center"/>
                    <w:textAlignment w:val="center"/>
                    <w:rPr>
                      <w:szCs w:val="21"/>
                    </w:rPr>
                  </w:pPr>
                  <w:r>
                    <w:rPr>
                      <w:rFonts w:hint="eastAsia"/>
                      <w:szCs w:val="21"/>
                    </w:rPr>
                    <w:t>未检出</w:t>
                  </w:r>
                </w:p>
              </w:tc>
              <w:tc>
                <w:tcPr>
                  <w:tcW w:w="818" w:type="dxa"/>
                  <w:tcBorders>
                    <w:tl2br w:val="nil"/>
                    <w:tr2bl w:val="nil"/>
                  </w:tcBorders>
                  <w:vAlign w:val="center"/>
                </w:tcPr>
                <w:p w14:paraId="7B85AB0C">
                  <w:pPr>
                    <w:widowControl/>
                    <w:jc w:val="center"/>
                    <w:textAlignment w:val="center"/>
                    <w:rPr>
                      <w:szCs w:val="21"/>
                    </w:rPr>
                  </w:pPr>
                  <w:r>
                    <w:rPr>
                      <w:rFonts w:hint="eastAsia"/>
                      <w:color w:val="000000"/>
                      <w:kern w:val="0"/>
                      <w:szCs w:val="21"/>
                      <w:lang w:bidi="ar"/>
                    </w:rPr>
                    <w:t>0.008</w:t>
                  </w:r>
                </w:p>
              </w:tc>
              <w:tc>
                <w:tcPr>
                  <w:tcW w:w="1029" w:type="dxa"/>
                  <w:tcBorders>
                    <w:tl2br w:val="nil"/>
                    <w:tr2bl w:val="nil"/>
                  </w:tcBorders>
                  <w:vAlign w:val="center"/>
                </w:tcPr>
                <w:p w14:paraId="51FFF826">
                  <w:pPr>
                    <w:widowControl/>
                    <w:jc w:val="center"/>
                    <w:textAlignment w:val="center"/>
                    <w:rPr>
                      <w:szCs w:val="21"/>
                    </w:rPr>
                  </w:pPr>
                  <w:r>
                    <w:rPr>
                      <w:rFonts w:hint="eastAsia"/>
                      <w:szCs w:val="21"/>
                    </w:rPr>
                    <w:t>未检出</w:t>
                  </w:r>
                </w:p>
              </w:tc>
              <w:tc>
                <w:tcPr>
                  <w:tcW w:w="1076" w:type="dxa"/>
                  <w:vMerge w:val="continue"/>
                  <w:tcBorders>
                    <w:tl2br w:val="nil"/>
                    <w:tr2bl w:val="nil"/>
                  </w:tcBorders>
                  <w:vAlign w:val="center"/>
                </w:tcPr>
                <w:p w14:paraId="63DFAF55">
                  <w:pPr>
                    <w:widowControl/>
                    <w:jc w:val="center"/>
                    <w:textAlignment w:val="center"/>
                    <w:rPr>
                      <w:szCs w:val="21"/>
                      <w:highlight w:val="yellow"/>
                    </w:rPr>
                  </w:pPr>
                </w:p>
              </w:tc>
            </w:tr>
            <w:tr w14:paraId="3C437C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6040615E">
                  <w:pPr>
                    <w:pStyle w:val="72"/>
                    <w:spacing w:before="0" w:after="0"/>
                    <w:rPr>
                      <w:rFonts w:cs="Times New Roman"/>
                      <w:bCs/>
                      <w:sz w:val="21"/>
                      <w:szCs w:val="21"/>
                    </w:rPr>
                  </w:pPr>
                  <w:r>
                    <w:rPr>
                      <w:rFonts w:hint="eastAsia" w:cs="Times New Roman"/>
                      <w:bCs/>
                      <w:sz w:val="21"/>
                      <w:szCs w:val="21"/>
                    </w:rPr>
                    <w:t>2025.5.1</w:t>
                  </w:r>
                </w:p>
              </w:tc>
              <w:tc>
                <w:tcPr>
                  <w:tcW w:w="727" w:type="dxa"/>
                  <w:vMerge w:val="continue"/>
                  <w:tcBorders>
                    <w:tl2br w:val="nil"/>
                    <w:tr2bl w:val="nil"/>
                  </w:tcBorders>
                  <w:vAlign w:val="center"/>
                </w:tcPr>
                <w:p w14:paraId="20E43575">
                  <w:pPr>
                    <w:pStyle w:val="72"/>
                    <w:spacing w:before="0" w:after="0"/>
                  </w:pPr>
                </w:p>
              </w:tc>
              <w:tc>
                <w:tcPr>
                  <w:tcW w:w="824" w:type="dxa"/>
                  <w:vMerge w:val="continue"/>
                  <w:tcBorders>
                    <w:tl2br w:val="nil"/>
                    <w:tr2bl w:val="nil"/>
                  </w:tcBorders>
                  <w:shd w:val="clear" w:color="auto" w:fill="auto"/>
                  <w:vAlign w:val="center"/>
                </w:tcPr>
                <w:p w14:paraId="6DE388F7">
                  <w:pPr>
                    <w:pStyle w:val="72"/>
                    <w:spacing w:before="0" w:after="0"/>
                  </w:pPr>
                </w:p>
              </w:tc>
              <w:tc>
                <w:tcPr>
                  <w:tcW w:w="941" w:type="dxa"/>
                  <w:vMerge w:val="continue"/>
                  <w:tcBorders>
                    <w:tl2br w:val="nil"/>
                    <w:tr2bl w:val="nil"/>
                  </w:tcBorders>
                  <w:vAlign w:val="center"/>
                </w:tcPr>
                <w:p w14:paraId="4D0A662A">
                  <w:pPr>
                    <w:pStyle w:val="72"/>
                    <w:spacing w:before="0" w:after="0"/>
                  </w:pPr>
                </w:p>
              </w:tc>
              <w:tc>
                <w:tcPr>
                  <w:tcW w:w="1009" w:type="dxa"/>
                  <w:tcBorders>
                    <w:tl2br w:val="nil"/>
                    <w:tr2bl w:val="nil"/>
                  </w:tcBorders>
                  <w:vAlign w:val="center"/>
                </w:tcPr>
                <w:p w14:paraId="22FE2B9B">
                  <w:pPr>
                    <w:widowControl/>
                    <w:jc w:val="center"/>
                    <w:textAlignment w:val="center"/>
                    <w:rPr>
                      <w:szCs w:val="21"/>
                    </w:rPr>
                  </w:pPr>
                  <w:r>
                    <w:rPr>
                      <w:rFonts w:hint="eastAsia"/>
                      <w:szCs w:val="21"/>
                    </w:rPr>
                    <w:t>未检出</w:t>
                  </w:r>
                </w:p>
              </w:tc>
              <w:tc>
                <w:tcPr>
                  <w:tcW w:w="928" w:type="dxa"/>
                  <w:tcBorders>
                    <w:tl2br w:val="nil"/>
                    <w:tr2bl w:val="nil"/>
                  </w:tcBorders>
                  <w:vAlign w:val="center"/>
                </w:tcPr>
                <w:p w14:paraId="0BDBA4B1">
                  <w:pPr>
                    <w:widowControl/>
                    <w:jc w:val="center"/>
                    <w:textAlignment w:val="center"/>
                    <w:rPr>
                      <w:szCs w:val="21"/>
                    </w:rPr>
                  </w:pPr>
                  <w:r>
                    <w:rPr>
                      <w:rFonts w:hint="eastAsia"/>
                      <w:color w:val="000000"/>
                      <w:kern w:val="0"/>
                      <w:szCs w:val="21"/>
                      <w:lang w:bidi="ar"/>
                    </w:rPr>
                    <w:t>0.007</w:t>
                  </w:r>
                </w:p>
              </w:tc>
              <w:tc>
                <w:tcPr>
                  <w:tcW w:w="818" w:type="dxa"/>
                  <w:tcBorders>
                    <w:tl2br w:val="nil"/>
                    <w:tr2bl w:val="nil"/>
                  </w:tcBorders>
                  <w:vAlign w:val="center"/>
                </w:tcPr>
                <w:p w14:paraId="0449C371">
                  <w:pPr>
                    <w:widowControl/>
                    <w:jc w:val="center"/>
                    <w:textAlignment w:val="center"/>
                    <w:rPr>
                      <w:szCs w:val="21"/>
                    </w:rPr>
                  </w:pPr>
                  <w:r>
                    <w:rPr>
                      <w:rFonts w:hint="eastAsia"/>
                      <w:szCs w:val="21"/>
                    </w:rPr>
                    <w:t>未检出</w:t>
                  </w:r>
                </w:p>
              </w:tc>
              <w:tc>
                <w:tcPr>
                  <w:tcW w:w="1029" w:type="dxa"/>
                  <w:tcBorders>
                    <w:tl2br w:val="nil"/>
                    <w:tr2bl w:val="nil"/>
                  </w:tcBorders>
                  <w:vAlign w:val="center"/>
                </w:tcPr>
                <w:p w14:paraId="1CDB6ED0">
                  <w:pPr>
                    <w:widowControl/>
                    <w:jc w:val="center"/>
                    <w:textAlignment w:val="center"/>
                    <w:rPr>
                      <w:szCs w:val="21"/>
                    </w:rPr>
                  </w:pPr>
                  <w:r>
                    <w:rPr>
                      <w:rFonts w:hint="eastAsia"/>
                      <w:color w:val="000000"/>
                      <w:kern w:val="0"/>
                      <w:szCs w:val="21"/>
                      <w:lang w:bidi="ar"/>
                    </w:rPr>
                    <w:t>0.008</w:t>
                  </w:r>
                </w:p>
              </w:tc>
              <w:tc>
                <w:tcPr>
                  <w:tcW w:w="1076" w:type="dxa"/>
                  <w:vMerge w:val="continue"/>
                  <w:tcBorders>
                    <w:tl2br w:val="nil"/>
                    <w:tr2bl w:val="nil"/>
                  </w:tcBorders>
                  <w:vAlign w:val="center"/>
                </w:tcPr>
                <w:p w14:paraId="2936F436">
                  <w:pPr>
                    <w:widowControl/>
                    <w:jc w:val="center"/>
                    <w:textAlignment w:val="center"/>
                    <w:rPr>
                      <w:color w:val="000000"/>
                      <w:kern w:val="0"/>
                      <w:szCs w:val="21"/>
                      <w:highlight w:val="yellow"/>
                      <w:lang w:bidi="ar"/>
                    </w:rPr>
                  </w:pPr>
                </w:p>
              </w:tc>
            </w:tr>
            <w:tr w14:paraId="7AB69B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040C463F">
                  <w:pPr>
                    <w:pStyle w:val="72"/>
                    <w:spacing w:before="0" w:after="0"/>
                    <w:rPr>
                      <w:rFonts w:cs="Times New Roman"/>
                      <w:bCs/>
                      <w:sz w:val="21"/>
                      <w:szCs w:val="21"/>
                    </w:rPr>
                  </w:pPr>
                  <w:r>
                    <w:rPr>
                      <w:rFonts w:hint="eastAsia" w:cs="Times New Roman"/>
                      <w:bCs/>
                      <w:sz w:val="21"/>
                      <w:szCs w:val="21"/>
                    </w:rPr>
                    <w:t>2025.4.29</w:t>
                  </w:r>
                </w:p>
              </w:tc>
              <w:tc>
                <w:tcPr>
                  <w:tcW w:w="727" w:type="dxa"/>
                  <w:vMerge w:val="continue"/>
                  <w:tcBorders>
                    <w:tl2br w:val="nil"/>
                    <w:tr2bl w:val="nil"/>
                  </w:tcBorders>
                  <w:vAlign w:val="center"/>
                </w:tcPr>
                <w:p w14:paraId="65EF8925">
                  <w:pPr>
                    <w:pStyle w:val="72"/>
                    <w:spacing w:before="0" w:after="0"/>
                  </w:pPr>
                </w:p>
              </w:tc>
              <w:tc>
                <w:tcPr>
                  <w:tcW w:w="824" w:type="dxa"/>
                  <w:vMerge w:val="restart"/>
                  <w:tcBorders>
                    <w:tl2br w:val="nil"/>
                    <w:tr2bl w:val="nil"/>
                  </w:tcBorders>
                  <w:shd w:val="clear" w:color="auto" w:fill="auto"/>
                  <w:vAlign w:val="center"/>
                </w:tcPr>
                <w:p w14:paraId="316D3B5E">
                  <w:pPr>
                    <w:pStyle w:val="72"/>
                    <w:spacing w:before="0" w:after="0"/>
                  </w:pPr>
                  <w:r>
                    <w:rPr>
                      <w:rFonts w:hint="eastAsia"/>
                    </w:rPr>
                    <w:t>TSP（日均值）</w:t>
                  </w:r>
                </w:p>
              </w:tc>
              <w:tc>
                <w:tcPr>
                  <w:tcW w:w="941" w:type="dxa"/>
                  <w:vMerge w:val="restart"/>
                  <w:tcBorders>
                    <w:tl2br w:val="nil"/>
                    <w:tr2bl w:val="nil"/>
                  </w:tcBorders>
                  <w:vAlign w:val="center"/>
                </w:tcPr>
                <w:p w14:paraId="468B4057">
                  <w:pPr>
                    <w:pStyle w:val="72"/>
                    <w:spacing w:before="0" w:after="0"/>
                  </w:pPr>
                  <w:r>
                    <w:t>μg/</w:t>
                  </w:r>
                  <w:r>
                    <w:rPr>
                      <w:rFonts w:hint="eastAsia"/>
                    </w:rPr>
                    <w:t>m³</w:t>
                  </w:r>
                </w:p>
              </w:tc>
              <w:tc>
                <w:tcPr>
                  <w:tcW w:w="3784" w:type="dxa"/>
                  <w:gridSpan w:val="4"/>
                  <w:tcBorders>
                    <w:tl2br w:val="nil"/>
                    <w:tr2bl w:val="nil"/>
                  </w:tcBorders>
                  <w:vAlign w:val="center"/>
                </w:tcPr>
                <w:p w14:paraId="67303679">
                  <w:pPr>
                    <w:widowControl/>
                    <w:jc w:val="center"/>
                    <w:textAlignment w:val="center"/>
                    <w:rPr>
                      <w:szCs w:val="21"/>
                    </w:rPr>
                  </w:pPr>
                  <w:r>
                    <w:rPr>
                      <w:rFonts w:hint="eastAsia"/>
                      <w:szCs w:val="21"/>
                    </w:rPr>
                    <w:t>178</w:t>
                  </w:r>
                </w:p>
              </w:tc>
              <w:tc>
                <w:tcPr>
                  <w:tcW w:w="1076" w:type="dxa"/>
                  <w:vMerge w:val="restart"/>
                  <w:tcBorders>
                    <w:tl2br w:val="nil"/>
                    <w:tr2bl w:val="nil"/>
                  </w:tcBorders>
                  <w:vAlign w:val="center"/>
                </w:tcPr>
                <w:p w14:paraId="3FA6BD3D">
                  <w:pPr>
                    <w:widowControl/>
                    <w:jc w:val="center"/>
                    <w:textAlignment w:val="center"/>
                    <w:rPr>
                      <w:szCs w:val="21"/>
                      <w:highlight w:val="yellow"/>
                    </w:rPr>
                  </w:pPr>
                  <w:r>
                    <w:rPr>
                      <w:rFonts w:hint="eastAsia"/>
                      <w:szCs w:val="21"/>
                    </w:rPr>
                    <w:t>300</w:t>
                  </w:r>
                  <w:r>
                    <w:t>μg/</w:t>
                  </w:r>
                  <w:r>
                    <w:rPr>
                      <w:rFonts w:hint="eastAsia"/>
                    </w:rPr>
                    <w:t>m³</w:t>
                  </w:r>
                </w:p>
              </w:tc>
            </w:tr>
            <w:tr w14:paraId="47F2B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4A7C9054">
                  <w:pPr>
                    <w:pStyle w:val="72"/>
                    <w:spacing w:before="0" w:after="0"/>
                    <w:rPr>
                      <w:rFonts w:cs="Times New Roman"/>
                      <w:bCs/>
                      <w:sz w:val="21"/>
                      <w:szCs w:val="21"/>
                    </w:rPr>
                  </w:pPr>
                  <w:r>
                    <w:rPr>
                      <w:rFonts w:hint="eastAsia" w:cs="Times New Roman"/>
                      <w:bCs/>
                      <w:sz w:val="21"/>
                      <w:szCs w:val="21"/>
                    </w:rPr>
                    <w:t>2025.4.30</w:t>
                  </w:r>
                </w:p>
              </w:tc>
              <w:tc>
                <w:tcPr>
                  <w:tcW w:w="727" w:type="dxa"/>
                  <w:vMerge w:val="continue"/>
                  <w:tcBorders>
                    <w:tl2br w:val="nil"/>
                    <w:tr2bl w:val="nil"/>
                  </w:tcBorders>
                  <w:vAlign w:val="center"/>
                </w:tcPr>
                <w:p w14:paraId="27B9CCA5">
                  <w:pPr>
                    <w:pStyle w:val="72"/>
                    <w:spacing w:before="0" w:after="0"/>
                  </w:pPr>
                </w:p>
              </w:tc>
              <w:tc>
                <w:tcPr>
                  <w:tcW w:w="824" w:type="dxa"/>
                  <w:vMerge w:val="continue"/>
                  <w:tcBorders>
                    <w:tl2br w:val="nil"/>
                    <w:tr2bl w:val="nil"/>
                  </w:tcBorders>
                  <w:shd w:val="clear" w:color="auto" w:fill="auto"/>
                  <w:vAlign w:val="center"/>
                </w:tcPr>
                <w:p w14:paraId="1DEC9F86">
                  <w:pPr>
                    <w:pStyle w:val="72"/>
                    <w:spacing w:before="0" w:after="0"/>
                  </w:pPr>
                </w:p>
              </w:tc>
              <w:tc>
                <w:tcPr>
                  <w:tcW w:w="941" w:type="dxa"/>
                  <w:vMerge w:val="continue"/>
                  <w:tcBorders>
                    <w:tl2br w:val="nil"/>
                    <w:tr2bl w:val="nil"/>
                  </w:tcBorders>
                  <w:vAlign w:val="center"/>
                </w:tcPr>
                <w:p w14:paraId="19B09965">
                  <w:pPr>
                    <w:pStyle w:val="72"/>
                    <w:spacing w:before="0" w:after="0"/>
                  </w:pPr>
                </w:p>
              </w:tc>
              <w:tc>
                <w:tcPr>
                  <w:tcW w:w="3784" w:type="dxa"/>
                  <w:gridSpan w:val="4"/>
                  <w:tcBorders>
                    <w:tl2br w:val="nil"/>
                    <w:tr2bl w:val="nil"/>
                  </w:tcBorders>
                  <w:vAlign w:val="center"/>
                </w:tcPr>
                <w:p w14:paraId="26F976A2">
                  <w:pPr>
                    <w:widowControl/>
                    <w:jc w:val="center"/>
                    <w:textAlignment w:val="center"/>
                    <w:rPr>
                      <w:szCs w:val="21"/>
                    </w:rPr>
                  </w:pPr>
                  <w:r>
                    <w:rPr>
                      <w:rFonts w:hint="eastAsia"/>
                      <w:szCs w:val="21"/>
                    </w:rPr>
                    <w:t>177</w:t>
                  </w:r>
                </w:p>
              </w:tc>
              <w:tc>
                <w:tcPr>
                  <w:tcW w:w="1076" w:type="dxa"/>
                  <w:vMerge w:val="continue"/>
                  <w:tcBorders>
                    <w:tl2br w:val="nil"/>
                    <w:tr2bl w:val="nil"/>
                  </w:tcBorders>
                  <w:vAlign w:val="center"/>
                </w:tcPr>
                <w:p w14:paraId="4B48EE81">
                  <w:pPr>
                    <w:widowControl/>
                    <w:jc w:val="center"/>
                    <w:textAlignment w:val="center"/>
                    <w:rPr>
                      <w:szCs w:val="21"/>
                      <w:highlight w:val="yellow"/>
                    </w:rPr>
                  </w:pPr>
                </w:p>
              </w:tc>
            </w:tr>
            <w:tr w14:paraId="49FF65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056" w:type="dxa"/>
                  <w:tcBorders>
                    <w:tl2br w:val="nil"/>
                    <w:tr2bl w:val="nil"/>
                  </w:tcBorders>
                  <w:shd w:val="clear" w:color="auto" w:fill="auto"/>
                  <w:vAlign w:val="center"/>
                </w:tcPr>
                <w:p w14:paraId="45D2DA77">
                  <w:pPr>
                    <w:pStyle w:val="72"/>
                    <w:spacing w:before="0" w:after="0"/>
                    <w:rPr>
                      <w:rFonts w:cs="Times New Roman"/>
                      <w:bCs/>
                      <w:sz w:val="21"/>
                      <w:szCs w:val="21"/>
                    </w:rPr>
                  </w:pPr>
                  <w:r>
                    <w:rPr>
                      <w:rFonts w:hint="eastAsia" w:cs="Times New Roman"/>
                      <w:bCs/>
                      <w:sz w:val="21"/>
                      <w:szCs w:val="21"/>
                    </w:rPr>
                    <w:t>2025.5.1</w:t>
                  </w:r>
                </w:p>
              </w:tc>
              <w:tc>
                <w:tcPr>
                  <w:tcW w:w="727" w:type="dxa"/>
                  <w:tcBorders>
                    <w:tl2br w:val="nil"/>
                    <w:tr2bl w:val="nil"/>
                  </w:tcBorders>
                  <w:vAlign w:val="center"/>
                </w:tcPr>
                <w:p w14:paraId="4513D142">
                  <w:pPr>
                    <w:pStyle w:val="72"/>
                    <w:spacing w:before="0" w:after="0"/>
                  </w:pPr>
                </w:p>
              </w:tc>
              <w:tc>
                <w:tcPr>
                  <w:tcW w:w="824" w:type="dxa"/>
                  <w:vMerge w:val="continue"/>
                  <w:tcBorders>
                    <w:tl2br w:val="nil"/>
                    <w:tr2bl w:val="nil"/>
                  </w:tcBorders>
                  <w:shd w:val="clear" w:color="auto" w:fill="auto"/>
                  <w:vAlign w:val="center"/>
                </w:tcPr>
                <w:p w14:paraId="244FBC80">
                  <w:pPr>
                    <w:pStyle w:val="72"/>
                    <w:spacing w:before="0" w:after="0"/>
                  </w:pPr>
                </w:p>
              </w:tc>
              <w:tc>
                <w:tcPr>
                  <w:tcW w:w="941" w:type="dxa"/>
                  <w:vMerge w:val="continue"/>
                  <w:tcBorders>
                    <w:tl2br w:val="nil"/>
                    <w:tr2bl w:val="nil"/>
                  </w:tcBorders>
                  <w:vAlign w:val="center"/>
                </w:tcPr>
                <w:p w14:paraId="21FF4714">
                  <w:pPr>
                    <w:pStyle w:val="72"/>
                    <w:spacing w:before="0" w:after="0"/>
                  </w:pPr>
                </w:p>
              </w:tc>
              <w:tc>
                <w:tcPr>
                  <w:tcW w:w="3784" w:type="dxa"/>
                  <w:gridSpan w:val="4"/>
                  <w:tcBorders>
                    <w:tl2br w:val="nil"/>
                    <w:tr2bl w:val="nil"/>
                  </w:tcBorders>
                  <w:vAlign w:val="center"/>
                </w:tcPr>
                <w:p w14:paraId="5956962B">
                  <w:pPr>
                    <w:widowControl/>
                    <w:jc w:val="center"/>
                    <w:textAlignment w:val="center"/>
                    <w:rPr>
                      <w:szCs w:val="21"/>
                    </w:rPr>
                  </w:pPr>
                  <w:r>
                    <w:rPr>
                      <w:rFonts w:hint="eastAsia"/>
                      <w:szCs w:val="21"/>
                    </w:rPr>
                    <w:t>170</w:t>
                  </w:r>
                </w:p>
              </w:tc>
              <w:tc>
                <w:tcPr>
                  <w:tcW w:w="1076" w:type="dxa"/>
                  <w:vMerge w:val="continue"/>
                  <w:tcBorders>
                    <w:tl2br w:val="nil"/>
                    <w:tr2bl w:val="nil"/>
                  </w:tcBorders>
                  <w:vAlign w:val="center"/>
                </w:tcPr>
                <w:p w14:paraId="69CBC988">
                  <w:pPr>
                    <w:widowControl/>
                    <w:jc w:val="center"/>
                    <w:textAlignment w:val="center"/>
                    <w:rPr>
                      <w:szCs w:val="21"/>
                      <w:highlight w:val="yellow"/>
                    </w:rPr>
                  </w:pPr>
                </w:p>
              </w:tc>
            </w:tr>
          </w:tbl>
          <w:p w14:paraId="65E24269">
            <w:pPr>
              <w:spacing w:before="120" w:beforeLines="50" w:line="360" w:lineRule="auto"/>
              <w:ind w:firstLine="482" w:firstLineChars="200"/>
              <w:rPr>
                <w:b/>
                <w:sz w:val="24"/>
              </w:rPr>
            </w:pPr>
            <w:r>
              <w:rPr>
                <w:rFonts w:hint="eastAsia"/>
                <w:b/>
                <w:sz w:val="24"/>
              </w:rPr>
              <w:t>（3）</w:t>
            </w:r>
            <w:r>
              <w:rPr>
                <w:b/>
                <w:sz w:val="24"/>
              </w:rPr>
              <w:t>其他污染物现状评价</w:t>
            </w:r>
          </w:p>
          <w:p w14:paraId="341AAB1C">
            <w:pPr>
              <w:spacing w:line="360" w:lineRule="auto"/>
              <w:ind w:firstLine="480" w:firstLineChars="200"/>
              <w:rPr>
                <w:sz w:val="24"/>
              </w:rPr>
            </w:pPr>
            <w:r>
              <w:rPr>
                <w:sz w:val="24"/>
              </w:rPr>
              <w:t>采用单项质量指数法，公式为：</w:t>
            </w:r>
          </w:p>
          <w:p w14:paraId="7E231966">
            <w:pPr>
              <w:spacing w:line="360" w:lineRule="auto"/>
              <w:jc w:val="center"/>
              <w:rPr>
                <w:i/>
                <w:sz w:val="24"/>
              </w:rPr>
            </w:pPr>
            <w:r>
              <w:rPr>
                <w:i/>
                <w:sz w:val="24"/>
              </w:rPr>
              <w:t>P</w:t>
            </w:r>
            <w:r>
              <w:rPr>
                <w:i/>
                <w:sz w:val="24"/>
                <w:vertAlign w:val="subscript"/>
              </w:rPr>
              <w:t>i</w:t>
            </w:r>
            <w:r>
              <w:rPr>
                <w:sz w:val="24"/>
              </w:rPr>
              <w:t xml:space="preserve"> = </w:t>
            </w:r>
            <w:r>
              <w:rPr>
                <w:i/>
                <w:sz w:val="24"/>
              </w:rPr>
              <w:t>C</w:t>
            </w:r>
            <w:r>
              <w:rPr>
                <w:i/>
                <w:sz w:val="24"/>
                <w:vertAlign w:val="subscript"/>
              </w:rPr>
              <w:t>i</w:t>
            </w:r>
            <w:r>
              <w:rPr>
                <w:sz w:val="24"/>
              </w:rPr>
              <w:t xml:space="preserve"> / </w:t>
            </w:r>
            <w:r>
              <w:rPr>
                <w:i/>
                <w:sz w:val="24"/>
              </w:rPr>
              <w:t>S</w:t>
            </w:r>
            <w:r>
              <w:rPr>
                <w:i/>
                <w:sz w:val="24"/>
                <w:vertAlign w:val="subscript"/>
              </w:rPr>
              <w:t>i</w:t>
            </w:r>
          </w:p>
          <w:p w14:paraId="23926228">
            <w:pPr>
              <w:pStyle w:val="11"/>
              <w:spacing w:after="0" w:line="360" w:lineRule="auto"/>
              <w:ind w:firstLine="480" w:firstLineChars="200"/>
              <w:rPr>
                <w:sz w:val="24"/>
              </w:rPr>
            </w:pPr>
            <w:r>
              <w:rPr>
                <w:sz w:val="24"/>
              </w:rPr>
              <w:t>式中，</w:t>
            </w:r>
            <w:r>
              <w:rPr>
                <w:i/>
                <w:sz w:val="24"/>
              </w:rPr>
              <w:t>P</w:t>
            </w:r>
            <w:r>
              <w:rPr>
                <w:i/>
                <w:sz w:val="24"/>
                <w:vertAlign w:val="subscript"/>
              </w:rPr>
              <w:t>i</w:t>
            </w:r>
            <w:r>
              <w:rPr>
                <w:sz w:val="24"/>
              </w:rPr>
              <w:t>——第</w:t>
            </w:r>
            <w:r>
              <w:rPr>
                <w:i/>
                <w:sz w:val="24"/>
              </w:rPr>
              <w:t>i</w:t>
            </w:r>
            <w:r>
              <w:rPr>
                <w:sz w:val="24"/>
              </w:rPr>
              <w:t>个污染物标准指数值；</w:t>
            </w:r>
          </w:p>
          <w:p w14:paraId="41CC5500">
            <w:pPr>
              <w:pStyle w:val="11"/>
              <w:spacing w:after="0" w:line="360" w:lineRule="auto"/>
              <w:ind w:firstLine="1200" w:firstLineChars="500"/>
              <w:rPr>
                <w:sz w:val="24"/>
              </w:rPr>
            </w:pPr>
            <w:r>
              <w:rPr>
                <w:i/>
                <w:sz w:val="24"/>
              </w:rPr>
              <w:t>C</w:t>
            </w:r>
            <w:r>
              <w:rPr>
                <w:i/>
                <w:sz w:val="24"/>
                <w:vertAlign w:val="subscript"/>
              </w:rPr>
              <w:t>i</w:t>
            </w:r>
            <w:r>
              <w:rPr>
                <w:sz w:val="24"/>
              </w:rPr>
              <w:t>——第</w:t>
            </w:r>
            <w:r>
              <w:rPr>
                <w:i/>
                <w:sz w:val="24"/>
              </w:rPr>
              <w:t>i</w:t>
            </w:r>
            <w:r>
              <w:rPr>
                <w:sz w:val="24"/>
              </w:rPr>
              <w:t>个污染物实测浓度值，mg/m</w:t>
            </w:r>
            <w:r>
              <w:rPr>
                <w:sz w:val="24"/>
                <w:vertAlign w:val="superscript"/>
              </w:rPr>
              <w:t>3</w:t>
            </w:r>
            <w:r>
              <w:rPr>
                <w:sz w:val="24"/>
              </w:rPr>
              <w:t>；</w:t>
            </w:r>
          </w:p>
          <w:p w14:paraId="56E5AAE1">
            <w:pPr>
              <w:pStyle w:val="11"/>
              <w:spacing w:after="0" w:line="360" w:lineRule="auto"/>
              <w:ind w:firstLine="1200" w:firstLineChars="500"/>
              <w:rPr>
                <w:sz w:val="24"/>
              </w:rPr>
            </w:pPr>
            <w:r>
              <w:rPr>
                <w:i/>
                <w:sz w:val="24"/>
              </w:rPr>
              <w:t>S</w:t>
            </w:r>
            <w:r>
              <w:rPr>
                <w:i/>
                <w:sz w:val="24"/>
                <w:vertAlign w:val="subscript"/>
              </w:rPr>
              <w:t>i</w:t>
            </w:r>
            <w:r>
              <w:rPr>
                <w:sz w:val="24"/>
              </w:rPr>
              <w:t>——第</w:t>
            </w:r>
            <w:r>
              <w:rPr>
                <w:i/>
                <w:sz w:val="24"/>
              </w:rPr>
              <w:t>i</w:t>
            </w:r>
            <w:r>
              <w:rPr>
                <w:sz w:val="24"/>
              </w:rPr>
              <w:t>个污染物评价标准限值，mg/m</w:t>
            </w:r>
            <w:r>
              <w:rPr>
                <w:sz w:val="24"/>
                <w:vertAlign w:val="superscript"/>
              </w:rPr>
              <w:t>3</w:t>
            </w:r>
            <w:r>
              <w:rPr>
                <w:sz w:val="24"/>
              </w:rPr>
              <w:t>。</w:t>
            </w:r>
          </w:p>
          <w:p w14:paraId="43D95753">
            <w:pPr>
              <w:pStyle w:val="11"/>
              <w:spacing w:after="0" w:line="360" w:lineRule="auto"/>
              <w:ind w:firstLine="480" w:firstLineChars="200"/>
              <w:rPr>
                <w:bCs/>
                <w:sz w:val="24"/>
                <w:szCs w:val="24"/>
              </w:rPr>
            </w:pPr>
            <w:r>
              <w:rPr>
                <w:sz w:val="24"/>
              </w:rPr>
              <w:t>当</w:t>
            </w:r>
            <w:r>
              <w:rPr>
                <w:i/>
                <w:sz w:val="24"/>
              </w:rPr>
              <w:t>P</w:t>
            </w:r>
            <w:r>
              <w:rPr>
                <w:i/>
                <w:sz w:val="24"/>
                <w:vertAlign w:val="subscript"/>
              </w:rPr>
              <w:t>i</w:t>
            </w:r>
            <w:r>
              <w:rPr>
                <w:sz w:val="24"/>
              </w:rPr>
              <w:t>值大于1.0时，表明大气环境已受到该项评价因子所表征的污染物的污染。</w:t>
            </w:r>
            <w:r>
              <w:rPr>
                <w:i/>
                <w:sz w:val="24"/>
              </w:rPr>
              <w:t>P</w:t>
            </w:r>
            <w:r>
              <w:rPr>
                <w:i/>
                <w:sz w:val="24"/>
                <w:vertAlign w:val="subscript"/>
              </w:rPr>
              <w:t>i</w:t>
            </w:r>
            <w:r>
              <w:rPr>
                <w:sz w:val="24"/>
              </w:rPr>
              <w:t>值越大，受污染程度越重；</w:t>
            </w:r>
            <w:r>
              <w:rPr>
                <w:i/>
                <w:sz w:val="24"/>
              </w:rPr>
              <w:t>P</w:t>
            </w:r>
            <w:r>
              <w:rPr>
                <w:i/>
                <w:sz w:val="24"/>
                <w:vertAlign w:val="subscript"/>
              </w:rPr>
              <w:t>i</w:t>
            </w:r>
            <w:r>
              <w:rPr>
                <w:sz w:val="24"/>
              </w:rPr>
              <w:t>值越小，受污染程度越轻。</w:t>
            </w:r>
          </w:p>
          <w:p w14:paraId="03F7DFFA">
            <w:pPr>
              <w:spacing w:line="360" w:lineRule="auto"/>
              <w:ind w:firstLine="480" w:firstLineChars="200"/>
              <w:rPr>
                <w:sz w:val="24"/>
              </w:rPr>
            </w:pPr>
            <w:r>
              <w:rPr>
                <w:sz w:val="24"/>
              </w:rPr>
              <w:t>区域环境空气其他污染物现状评价结果见</w:t>
            </w:r>
            <w:r>
              <w:rPr>
                <w:rFonts w:hint="eastAsia"/>
                <w:sz w:val="24"/>
              </w:rPr>
              <w:t>下表</w:t>
            </w:r>
            <w:r>
              <w:rPr>
                <w:sz w:val="24"/>
              </w:rPr>
              <w:t>。</w:t>
            </w:r>
          </w:p>
          <w:p w14:paraId="57581E9C">
            <w:pPr>
              <w:jc w:val="center"/>
              <w:rPr>
                <w:b/>
                <w:bCs/>
                <w:szCs w:val="21"/>
              </w:rPr>
            </w:pPr>
            <w:r>
              <w:rPr>
                <w:b/>
                <w:bCs/>
                <w:szCs w:val="21"/>
              </w:rPr>
              <w:t>表3-</w:t>
            </w:r>
            <w:r>
              <w:rPr>
                <w:rFonts w:hint="eastAsia"/>
                <w:b/>
                <w:bCs/>
                <w:szCs w:val="21"/>
              </w:rPr>
              <w:t>3</w:t>
            </w:r>
            <w:r>
              <w:rPr>
                <w:b/>
                <w:bCs/>
                <w:szCs w:val="21"/>
              </w:rPr>
              <w:t xml:space="preserve"> </w:t>
            </w:r>
            <w:r>
              <w:rPr>
                <w:rFonts w:hint="eastAsia"/>
                <w:b/>
                <w:bCs/>
                <w:szCs w:val="21"/>
              </w:rPr>
              <w:t xml:space="preserve"> </w:t>
            </w:r>
            <w:r>
              <w:rPr>
                <w:b/>
                <w:bCs/>
                <w:szCs w:val="21"/>
              </w:rPr>
              <w:t>环境空气质量现状监测及评价结果表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224"/>
              <w:gridCol w:w="1305"/>
              <w:gridCol w:w="1569"/>
              <w:gridCol w:w="1348"/>
              <w:gridCol w:w="1056"/>
              <w:gridCol w:w="834"/>
            </w:tblGrid>
            <w:tr w14:paraId="0F03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5" w:type="pct"/>
                  <w:vAlign w:val="center"/>
                </w:tcPr>
                <w:p w14:paraId="6A9B27A0">
                  <w:pPr>
                    <w:jc w:val="center"/>
                    <w:rPr>
                      <w:b/>
                      <w:bCs/>
                    </w:rPr>
                  </w:pPr>
                  <w:r>
                    <w:rPr>
                      <w:b/>
                      <w:bCs/>
                    </w:rPr>
                    <w:t>污染物</w:t>
                  </w:r>
                </w:p>
              </w:tc>
              <w:tc>
                <w:tcPr>
                  <w:tcW w:w="728" w:type="pct"/>
                  <w:vAlign w:val="center"/>
                </w:tcPr>
                <w:p w14:paraId="5D4C26F9">
                  <w:pPr>
                    <w:jc w:val="center"/>
                    <w:rPr>
                      <w:b/>
                      <w:bCs/>
                    </w:rPr>
                  </w:pPr>
                  <w:r>
                    <w:rPr>
                      <w:b/>
                      <w:bCs/>
                    </w:rPr>
                    <w:t>平均时间</w:t>
                  </w:r>
                </w:p>
              </w:tc>
              <w:tc>
                <w:tcPr>
                  <w:tcW w:w="776" w:type="pct"/>
                  <w:vAlign w:val="center"/>
                </w:tcPr>
                <w:p w14:paraId="4D801657">
                  <w:pPr>
                    <w:jc w:val="center"/>
                    <w:rPr>
                      <w:b/>
                      <w:bCs/>
                    </w:rPr>
                  </w:pPr>
                  <w:r>
                    <w:rPr>
                      <w:b/>
                      <w:bCs/>
                    </w:rPr>
                    <w:t>评价标准（</w:t>
                  </w:r>
                  <w:r>
                    <w:rPr>
                      <w:bCs/>
                      <w:szCs w:val="21"/>
                    </w:rPr>
                    <w:t>μ</w:t>
                  </w:r>
                  <w:r>
                    <w:rPr>
                      <w:rFonts w:hint="eastAsia"/>
                      <w:bCs/>
                      <w:szCs w:val="21"/>
                    </w:rPr>
                    <w:t>g</w:t>
                  </w:r>
                  <w:r>
                    <w:rPr>
                      <w:b/>
                      <w:bCs/>
                    </w:rPr>
                    <w:t>/m</w:t>
                  </w:r>
                  <w:r>
                    <w:rPr>
                      <w:b/>
                      <w:bCs/>
                      <w:vertAlign w:val="superscript"/>
                    </w:rPr>
                    <w:t>3</w:t>
                  </w:r>
                  <w:r>
                    <w:rPr>
                      <w:rFonts w:hint="eastAsia"/>
                      <w:b/>
                      <w:bCs/>
                    </w:rPr>
                    <w:t>）</w:t>
                  </w:r>
                </w:p>
              </w:tc>
              <w:tc>
                <w:tcPr>
                  <w:tcW w:w="933" w:type="pct"/>
                  <w:vAlign w:val="center"/>
                </w:tcPr>
                <w:p w14:paraId="45E5F96C">
                  <w:pPr>
                    <w:jc w:val="center"/>
                    <w:rPr>
                      <w:b/>
                      <w:bCs/>
                    </w:rPr>
                  </w:pPr>
                  <w:r>
                    <w:rPr>
                      <w:rFonts w:hint="eastAsia"/>
                      <w:b/>
                      <w:bCs/>
                    </w:rPr>
                    <w:t>最大</w:t>
                  </w:r>
                  <w:r>
                    <w:rPr>
                      <w:b/>
                      <w:bCs/>
                    </w:rPr>
                    <w:t>监测浓度（</w:t>
                  </w:r>
                  <w:r>
                    <w:rPr>
                      <w:bCs/>
                      <w:szCs w:val="21"/>
                    </w:rPr>
                    <w:t>μ</w:t>
                  </w:r>
                  <w:r>
                    <w:rPr>
                      <w:rFonts w:hint="eastAsia"/>
                      <w:bCs/>
                      <w:szCs w:val="21"/>
                    </w:rPr>
                    <w:t>g</w:t>
                  </w:r>
                  <w:r>
                    <w:rPr>
                      <w:b/>
                      <w:bCs/>
                    </w:rPr>
                    <w:t>/m</w:t>
                  </w:r>
                  <w:r>
                    <w:rPr>
                      <w:b/>
                      <w:bCs/>
                      <w:vertAlign w:val="superscript"/>
                    </w:rPr>
                    <w:t>3</w:t>
                  </w:r>
                  <w:r>
                    <w:rPr>
                      <w:rFonts w:hint="eastAsia"/>
                      <w:b/>
                      <w:bCs/>
                    </w:rPr>
                    <w:t>）</w:t>
                  </w:r>
                </w:p>
              </w:tc>
              <w:tc>
                <w:tcPr>
                  <w:tcW w:w="801" w:type="pct"/>
                  <w:vAlign w:val="center"/>
                </w:tcPr>
                <w:p w14:paraId="229E7AB4">
                  <w:pPr>
                    <w:jc w:val="center"/>
                    <w:rPr>
                      <w:b/>
                      <w:bCs/>
                    </w:rPr>
                  </w:pPr>
                  <w:r>
                    <w:rPr>
                      <w:b/>
                      <w:bCs/>
                    </w:rPr>
                    <w:t>最大浓度占标率（%</w:t>
                  </w:r>
                  <w:r>
                    <w:rPr>
                      <w:rFonts w:hint="eastAsia"/>
                      <w:b/>
                      <w:bCs/>
                    </w:rPr>
                    <w:t>）</w:t>
                  </w:r>
                </w:p>
              </w:tc>
              <w:tc>
                <w:tcPr>
                  <w:tcW w:w="627" w:type="pct"/>
                  <w:vAlign w:val="center"/>
                </w:tcPr>
                <w:p w14:paraId="34D61665">
                  <w:pPr>
                    <w:jc w:val="center"/>
                    <w:rPr>
                      <w:b/>
                      <w:bCs/>
                    </w:rPr>
                  </w:pPr>
                  <w:r>
                    <w:rPr>
                      <w:b/>
                      <w:bCs/>
                    </w:rPr>
                    <w:t>超标率（%</w:t>
                  </w:r>
                  <w:r>
                    <w:rPr>
                      <w:rFonts w:hint="eastAsia"/>
                      <w:b/>
                      <w:bCs/>
                    </w:rPr>
                    <w:t>）</w:t>
                  </w:r>
                </w:p>
              </w:tc>
              <w:tc>
                <w:tcPr>
                  <w:tcW w:w="496" w:type="pct"/>
                  <w:vAlign w:val="center"/>
                </w:tcPr>
                <w:p w14:paraId="1425F3B7">
                  <w:pPr>
                    <w:jc w:val="center"/>
                    <w:rPr>
                      <w:b/>
                      <w:bCs/>
                    </w:rPr>
                  </w:pPr>
                  <w:r>
                    <w:rPr>
                      <w:b/>
                      <w:bCs/>
                    </w:rPr>
                    <w:t>达标情况</w:t>
                  </w:r>
                </w:p>
              </w:tc>
            </w:tr>
            <w:tr w14:paraId="20AD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vAlign w:val="center"/>
                </w:tcPr>
                <w:p w14:paraId="120D059C">
                  <w:pPr>
                    <w:jc w:val="center"/>
                  </w:pPr>
                  <w:r>
                    <w:rPr>
                      <w:rFonts w:hint="eastAsia"/>
                    </w:rPr>
                    <w:t>TSP</w:t>
                  </w:r>
                </w:p>
              </w:tc>
              <w:tc>
                <w:tcPr>
                  <w:tcW w:w="728" w:type="pct"/>
                  <w:vAlign w:val="center"/>
                </w:tcPr>
                <w:p w14:paraId="189CDDCF">
                  <w:pPr>
                    <w:jc w:val="center"/>
                  </w:pPr>
                  <w:r>
                    <w:rPr>
                      <w:rFonts w:hint="eastAsia"/>
                    </w:rPr>
                    <w:t>日</w:t>
                  </w:r>
                  <w:r>
                    <w:t>平均</w:t>
                  </w:r>
                </w:p>
              </w:tc>
              <w:tc>
                <w:tcPr>
                  <w:tcW w:w="776" w:type="pct"/>
                  <w:vAlign w:val="center"/>
                </w:tcPr>
                <w:p w14:paraId="54F60126">
                  <w:pPr>
                    <w:jc w:val="center"/>
                  </w:pPr>
                  <w:r>
                    <w:rPr>
                      <w:rFonts w:hint="eastAsia"/>
                    </w:rPr>
                    <w:t>300</w:t>
                  </w:r>
                </w:p>
              </w:tc>
              <w:tc>
                <w:tcPr>
                  <w:tcW w:w="933" w:type="pct"/>
                  <w:vAlign w:val="center"/>
                </w:tcPr>
                <w:p w14:paraId="7C96FC6C">
                  <w:pPr>
                    <w:jc w:val="center"/>
                  </w:pPr>
                  <w:r>
                    <w:rPr>
                      <w:rFonts w:hint="eastAsia"/>
                    </w:rPr>
                    <w:t>178</w:t>
                  </w:r>
                </w:p>
              </w:tc>
              <w:tc>
                <w:tcPr>
                  <w:tcW w:w="801" w:type="pct"/>
                  <w:vAlign w:val="center"/>
                </w:tcPr>
                <w:p w14:paraId="475EB179">
                  <w:pPr>
                    <w:jc w:val="center"/>
                  </w:pPr>
                  <w:r>
                    <w:rPr>
                      <w:rFonts w:hint="eastAsia"/>
                    </w:rPr>
                    <w:t>0.59</w:t>
                  </w:r>
                </w:p>
              </w:tc>
              <w:tc>
                <w:tcPr>
                  <w:tcW w:w="627" w:type="pct"/>
                  <w:vAlign w:val="center"/>
                </w:tcPr>
                <w:p w14:paraId="16CB3AB6">
                  <w:pPr>
                    <w:jc w:val="center"/>
                  </w:pPr>
                  <w:r>
                    <w:t>0</w:t>
                  </w:r>
                </w:p>
              </w:tc>
              <w:tc>
                <w:tcPr>
                  <w:tcW w:w="496" w:type="pct"/>
                  <w:vAlign w:val="center"/>
                </w:tcPr>
                <w:p w14:paraId="0D982419">
                  <w:pPr>
                    <w:jc w:val="center"/>
                  </w:pPr>
                  <w:r>
                    <w:t>达标</w:t>
                  </w:r>
                </w:p>
              </w:tc>
            </w:tr>
            <w:tr w14:paraId="6F88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shd w:val="clear" w:color="auto" w:fill="auto"/>
                  <w:vAlign w:val="center"/>
                </w:tcPr>
                <w:p w14:paraId="3D1E2177">
                  <w:pPr>
                    <w:pStyle w:val="72"/>
                    <w:spacing w:before="0" w:after="0"/>
                    <w:rPr>
                      <w:rFonts w:cs="Times New Roman"/>
                      <w:sz w:val="21"/>
                      <w:szCs w:val="21"/>
                    </w:rPr>
                  </w:pPr>
                  <w:r>
                    <w:rPr>
                      <w:rFonts w:hint="eastAsia"/>
                    </w:rPr>
                    <w:t>NH</w:t>
                  </w:r>
                  <w:r>
                    <w:rPr>
                      <w:rFonts w:hint="eastAsia"/>
                      <w:vertAlign w:val="subscript"/>
                    </w:rPr>
                    <w:t>3</w:t>
                  </w:r>
                </w:p>
              </w:tc>
              <w:tc>
                <w:tcPr>
                  <w:tcW w:w="728" w:type="pct"/>
                  <w:vAlign w:val="center"/>
                </w:tcPr>
                <w:p w14:paraId="47F6A7E0">
                  <w:pPr>
                    <w:jc w:val="center"/>
                  </w:pPr>
                  <w:r>
                    <w:rPr>
                      <w:rFonts w:hint="eastAsia"/>
                    </w:rPr>
                    <w:t>小时均值</w:t>
                  </w:r>
                </w:p>
              </w:tc>
              <w:tc>
                <w:tcPr>
                  <w:tcW w:w="776" w:type="pct"/>
                  <w:vAlign w:val="center"/>
                </w:tcPr>
                <w:p w14:paraId="5C930774">
                  <w:pPr>
                    <w:jc w:val="center"/>
                  </w:pPr>
                  <w:r>
                    <w:rPr>
                      <w:rFonts w:hint="eastAsia"/>
                    </w:rPr>
                    <w:t>200</w:t>
                  </w:r>
                </w:p>
              </w:tc>
              <w:tc>
                <w:tcPr>
                  <w:tcW w:w="933" w:type="pct"/>
                  <w:vAlign w:val="center"/>
                </w:tcPr>
                <w:p w14:paraId="0F91C722">
                  <w:pPr>
                    <w:jc w:val="center"/>
                  </w:pPr>
                  <w:r>
                    <w:rPr>
                      <w:rFonts w:hint="eastAsia"/>
                    </w:rPr>
                    <w:t>50</w:t>
                  </w:r>
                </w:p>
              </w:tc>
              <w:tc>
                <w:tcPr>
                  <w:tcW w:w="801" w:type="pct"/>
                  <w:vAlign w:val="center"/>
                </w:tcPr>
                <w:p w14:paraId="66911C98">
                  <w:pPr>
                    <w:jc w:val="center"/>
                  </w:pPr>
                  <w:r>
                    <w:rPr>
                      <w:rFonts w:hint="eastAsia"/>
                    </w:rPr>
                    <w:t>0.25</w:t>
                  </w:r>
                </w:p>
              </w:tc>
              <w:tc>
                <w:tcPr>
                  <w:tcW w:w="627" w:type="pct"/>
                  <w:shd w:val="clear" w:color="auto" w:fill="auto"/>
                  <w:vAlign w:val="center"/>
                </w:tcPr>
                <w:p w14:paraId="6802EABA">
                  <w:pPr>
                    <w:jc w:val="center"/>
                  </w:pPr>
                  <w:r>
                    <w:t>0</w:t>
                  </w:r>
                </w:p>
              </w:tc>
              <w:tc>
                <w:tcPr>
                  <w:tcW w:w="496" w:type="pct"/>
                  <w:shd w:val="clear" w:color="auto" w:fill="auto"/>
                  <w:vAlign w:val="center"/>
                </w:tcPr>
                <w:p w14:paraId="52F3D6E8">
                  <w:pPr>
                    <w:jc w:val="center"/>
                  </w:pPr>
                  <w:r>
                    <w:t>达标</w:t>
                  </w:r>
                </w:p>
              </w:tc>
            </w:tr>
            <w:tr w14:paraId="3592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5" w:type="pct"/>
                  <w:shd w:val="clear" w:color="auto" w:fill="auto"/>
                  <w:vAlign w:val="center"/>
                </w:tcPr>
                <w:p w14:paraId="5FD80530">
                  <w:pPr>
                    <w:pStyle w:val="72"/>
                    <w:spacing w:before="0" w:after="0"/>
                    <w:rPr>
                      <w:rFonts w:cs="Times New Roman"/>
                      <w:bCs/>
                      <w:sz w:val="21"/>
                      <w:szCs w:val="21"/>
                    </w:rPr>
                  </w:pPr>
                  <w:r>
                    <w:rPr>
                      <w:rFonts w:hint="eastAsia"/>
                    </w:rPr>
                    <w:t>H</w:t>
                  </w:r>
                  <w:r>
                    <w:rPr>
                      <w:rFonts w:hint="eastAsia"/>
                      <w:vertAlign w:val="subscript"/>
                    </w:rPr>
                    <w:t>2</w:t>
                  </w:r>
                  <w:r>
                    <w:rPr>
                      <w:rFonts w:hint="eastAsia"/>
                    </w:rPr>
                    <w:t>S</w:t>
                  </w:r>
                </w:p>
              </w:tc>
              <w:tc>
                <w:tcPr>
                  <w:tcW w:w="728" w:type="pct"/>
                  <w:vAlign w:val="center"/>
                </w:tcPr>
                <w:p w14:paraId="7D4BE710">
                  <w:pPr>
                    <w:jc w:val="center"/>
                  </w:pPr>
                  <w:r>
                    <w:rPr>
                      <w:rFonts w:hint="eastAsia"/>
                    </w:rPr>
                    <w:t>小时均值</w:t>
                  </w:r>
                </w:p>
              </w:tc>
              <w:tc>
                <w:tcPr>
                  <w:tcW w:w="776" w:type="pct"/>
                  <w:vAlign w:val="center"/>
                </w:tcPr>
                <w:p w14:paraId="63EC4ED7">
                  <w:pPr>
                    <w:jc w:val="center"/>
                  </w:pPr>
                  <w:r>
                    <w:rPr>
                      <w:rFonts w:hint="eastAsia"/>
                    </w:rPr>
                    <w:t>10</w:t>
                  </w:r>
                </w:p>
              </w:tc>
              <w:tc>
                <w:tcPr>
                  <w:tcW w:w="933" w:type="pct"/>
                  <w:vAlign w:val="center"/>
                </w:tcPr>
                <w:p w14:paraId="7B997C06">
                  <w:pPr>
                    <w:jc w:val="center"/>
                  </w:pPr>
                  <w:r>
                    <w:rPr>
                      <w:rFonts w:hint="eastAsia"/>
                    </w:rPr>
                    <w:t>8</w:t>
                  </w:r>
                </w:p>
              </w:tc>
              <w:tc>
                <w:tcPr>
                  <w:tcW w:w="801" w:type="pct"/>
                  <w:vAlign w:val="center"/>
                </w:tcPr>
                <w:p w14:paraId="4A37DDED">
                  <w:pPr>
                    <w:jc w:val="center"/>
                  </w:pPr>
                  <w:r>
                    <w:rPr>
                      <w:rFonts w:hint="eastAsia"/>
                    </w:rPr>
                    <w:t>0.8</w:t>
                  </w:r>
                </w:p>
              </w:tc>
              <w:tc>
                <w:tcPr>
                  <w:tcW w:w="627" w:type="pct"/>
                  <w:shd w:val="clear" w:color="auto" w:fill="auto"/>
                  <w:vAlign w:val="center"/>
                </w:tcPr>
                <w:p w14:paraId="5C49AEBA">
                  <w:pPr>
                    <w:jc w:val="center"/>
                  </w:pPr>
                  <w:r>
                    <w:t>0</w:t>
                  </w:r>
                </w:p>
              </w:tc>
              <w:tc>
                <w:tcPr>
                  <w:tcW w:w="496" w:type="pct"/>
                  <w:shd w:val="clear" w:color="auto" w:fill="auto"/>
                  <w:vAlign w:val="center"/>
                </w:tcPr>
                <w:p w14:paraId="11C1096A">
                  <w:pPr>
                    <w:jc w:val="center"/>
                  </w:pPr>
                  <w:r>
                    <w:t>达标</w:t>
                  </w:r>
                </w:p>
              </w:tc>
            </w:tr>
          </w:tbl>
          <w:p w14:paraId="5CD99360">
            <w:pPr>
              <w:spacing w:before="120" w:beforeLines="50" w:line="360" w:lineRule="auto"/>
              <w:ind w:firstLine="480" w:firstLineChars="200"/>
              <w:rPr>
                <w:rFonts w:hint="eastAsia" w:ascii="宋体" w:hAnsi="宋体" w:cs="宋体"/>
                <w:b/>
                <w:bCs/>
                <w:kern w:val="0"/>
                <w:sz w:val="24"/>
                <w:highlight w:val="yellow"/>
                <w:lang w:bidi="ar"/>
              </w:rPr>
            </w:pPr>
            <w:r>
              <w:rPr>
                <w:rFonts w:hint="eastAsia"/>
                <w:sz w:val="24"/>
              </w:rPr>
              <w:t>结果表明，</w:t>
            </w:r>
            <w:r>
              <w:rPr>
                <w:sz w:val="24"/>
              </w:rPr>
              <w:t>现状监测期间，评价区域环境空气</w:t>
            </w:r>
            <w:r>
              <w:rPr>
                <w:rFonts w:hint="eastAsia"/>
                <w:sz w:val="24"/>
              </w:rPr>
              <w:t>H</w:t>
            </w:r>
            <w:r>
              <w:rPr>
                <w:rFonts w:hint="eastAsia"/>
                <w:sz w:val="24"/>
                <w:vertAlign w:val="subscript"/>
              </w:rPr>
              <w:t>2</w:t>
            </w:r>
            <w:r>
              <w:rPr>
                <w:rFonts w:hint="eastAsia"/>
                <w:sz w:val="24"/>
              </w:rPr>
              <w:t>S、NH</w:t>
            </w:r>
            <w:r>
              <w:rPr>
                <w:rFonts w:hint="eastAsia"/>
                <w:sz w:val="24"/>
                <w:vertAlign w:val="subscript"/>
              </w:rPr>
              <w:t>3</w:t>
            </w:r>
            <w:r>
              <w:rPr>
                <w:rFonts w:hint="eastAsia"/>
                <w:sz w:val="24"/>
              </w:rPr>
              <w:t>浓度最大值满足《环境影响评价技术导则</w:t>
            </w:r>
            <w:r>
              <w:rPr>
                <w:rFonts w:hint="eastAsia"/>
                <w:sz w:val="24"/>
                <w:lang w:eastAsia="zh-CN"/>
              </w:rPr>
              <w:t>－</w:t>
            </w:r>
            <w:r>
              <w:rPr>
                <w:rFonts w:hint="eastAsia"/>
                <w:sz w:val="24"/>
              </w:rPr>
              <w:t>-大气环境》（HJ2.2-2018）附录D中的其他污染物空气质量浓度参考限值要求，TSP满足《环境空气质量标准》（GB3095-2012）二级标准。</w:t>
            </w:r>
          </w:p>
          <w:p w14:paraId="21F7A703">
            <w:pPr>
              <w:widowControl/>
              <w:spacing w:line="360" w:lineRule="auto"/>
              <w:ind w:left="481" w:leftChars="229"/>
              <w:rPr>
                <w:rFonts w:hint="eastAsia" w:ascii="宋体" w:hAnsi="宋体" w:cs="宋体"/>
                <w:b/>
                <w:bCs/>
                <w:color w:val="000000"/>
                <w:kern w:val="0"/>
                <w:sz w:val="24"/>
                <w:lang w:bidi="ar"/>
              </w:rPr>
            </w:pPr>
            <w:r>
              <w:rPr>
                <w:rFonts w:hint="eastAsia" w:ascii="宋体" w:hAnsi="宋体" w:cs="宋体"/>
                <w:b/>
                <w:bCs/>
                <w:color w:val="000000"/>
                <w:kern w:val="0"/>
                <w:sz w:val="24"/>
                <w:lang w:bidi="ar"/>
              </w:rPr>
              <w:t>二、地表水环境质量现状</w:t>
            </w:r>
          </w:p>
          <w:p w14:paraId="34CEEF77">
            <w:pPr>
              <w:adjustRightInd w:val="0"/>
              <w:snapToGrid w:val="0"/>
              <w:spacing w:line="360" w:lineRule="auto"/>
              <w:ind w:firstLine="480" w:firstLineChars="200"/>
              <w:rPr>
                <w:rFonts w:hint="eastAsia" w:ascii="宋体" w:hAnsi="宋体"/>
                <w:b/>
                <w:sz w:val="24"/>
              </w:rPr>
            </w:pPr>
            <w:r>
              <w:rPr>
                <w:rFonts w:hint="eastAsia"/>
                <w:sz w:val="24"/>
              </w:rPr>
              <w:t>根据《环境影响评价导则 地表水环境》（HJ2.3-2018）中有关水环境质量现状调查的规定：应优先采用国务院生态环境保护主管部门统一发布的水环境状况信息。</w:t>
            </w:r>
            <w:r>
              <w:rPr>
                <w:sz w:val="24"/>
                <w:lang w:bidi="ar"/>
              </w:rPr>
              <w:t>本次环评引用</w:t>
            </w:r>
            <w:r>
              <w:rPr>
                <w:rFonts w:hint="eastAsia"/>
                <w:bCs/>
                <w:sz w:val="24"/>
                <w:lang w:bidi="ar"/>
              </w:rPr>
              <w:t>达州</w:t>
            </w:r>
            <w:r>
              <w:rPr>
                <w:bCs/>
                <w:sz w:val="24"/>
                <w:lang w:bidi="ar"/>
              </w:rPr>
              <w:t>市生态环境局</w:t>
            </w:r>
            <w:r>
              <w:rPr>
                <w:rFonts w:hint="eastAsia"/>
                <w:bCs/>
                <w:sz w:val="24"/>
                <w:lang w:bidi="ar"/>
              </w:rPr>
              <w:t>2025年5月13日</w:t>
            </w:r>
            <w:r>
              <w:rPr>
                <w:bCs/>
                <w:sz w:val="24"/>
                <w:lang w:bidi="ar"/>
              </w:rPr>
              <w:t>公布的《</w:t>
            </w:r>
            <w:r>
              <w:rPr>
                <w:rFonts w:hint="eastAsia"/>
                <w:bCs/>
                <w:sz w:val="24"/>
                <w:lang w:bidi="ar"/>
              </w:rPr>
              <w:t>2025</w:t>
            </w:r>
            <w:r>
              <w:rPr>
                <w:bCs/>
                <w:sz w:val="24"/>
                <w:lang w:bidi="ar"/>
              </w:rPr>
              <w:t>年</w:t>
            </w:r>
            <w:r>
              <w:rPr>
                <w:rFonts w:hint="eastAsia"/>
                <w:bCs/>
                <w:sz w:val="24"/>
                <w:lang w:bidi="ar"/>
              </w:rPr>
              <w:t>4</w:t>
            </w:r>
            <w:r>
              <w:rPr>
                <w:bCs/>
                <w:sz w:val="24"/>
                <w:lang w:bidi="ar"/>
              </w:rPr>
              <w:t>月达州市地表水水质月报》</w:t>
            </w:r>
            <w:r>
              <w:rPr>
                <w:sz w:val="24"/>
                <w:lang w:bidi="ar"/>
              </w:rPr>
              <w:t>中地表水环境质量</w:t>
            </w:r>
            <w:r>
              <w:rPr>
                <w:rFonts w:hint="eastAsia"/>
                <w:sz w:val="24"/>
                <w:lang w:bidi="ar"/>
              </w:rPr>
              <w:t>数据和</w:t>
            </w:r>
            <w:r>
              <w:rPr>
                <w:sz w:val="24"/>
                <w:lang w:bidi="ar"/>
              </w:rPr>
              <w:t>结论。</w:t>
            </w:r>
          </w:p>
          <w:p w14:paraId="01C565C0">
            <w:pPr>
              <w:widowControl/>
              <w:spacing w:line="360" w:lineRule="auto"/>
              <w:ind w:firstLine="480" w:firstLineChars="200"/>
              <w:jc w:val="left"/>
            </w:pPr>
            <w:r>
              <w:rPr>
                <w:sz w:val="24"/>
              </w:rPr>
              <w:t>根据</w:t>
            </w:r>
            <w:r>
              <w:rPr>
                <w:bCs/>
                <w:sz w:val="24"/>
                <w:lang w:bidi="ar"/>
              </w:rPr>
              <w:t>达州市生态环境局</w:t>
            </w:r>
            <w:r>
              <w:rPr>
                <w:sz w:val="24"/>
              </w:rPr>
              <w:t>发布的</w:t>
            </w:r>
            <w:r>
              <w:rPr>
                <w:bCs/>
                <w:sz w:val="24"/>
                <w:lang w:bidi="ar"/>
              </w:rPr>
              <w:t>《</w:t>
            </w:r>
            <w:r>
              <w:rPr>
                <w:rFonts w:hint="eastAsia"/>
                <w:bCs/>
                <w:sz w:val="24"/>
                <w:lang w:bidi="ar"/>
              </w:rPr>
              <w:t>2025</w:t>
            </w:r>
            <w:r>
              <w:rPr>
                <w:bCs/>
                <w:sz w:val="24"/>
                <w:lang w:bidi="ar"/>
              </w:rPr>
              <w:t>年</w:t>
            </w:r>
            <w:r>
              <w:rPr>
                <w:rFonts w:hint="eastAsia"/>
                <w:bCs/>
                <w:sz w:val="24"/>
                <w:lang w:bidi="ar"/>
              </w:rPr>
              <w:t>4</w:t>
            </w:r>
            <w:r>
              <w:rPr>
                <w:bCs/>
                <w:sz w:val="24"/>
                <w:lang w:bidi="ar"/>
              </w:rPr>
              <w:t>月达州市地表水水质月报》</w:t>
            </w:r>
            <w:r>
              <w:rPr>
                <w:sz w:val="24"/>
              </w:rPr>
              <w:t>：</w:t>
            </w:r>
            <w:r>
              <w:rPr>
                <w:rFonts w:hint="eastAsia"/>
                <w:sz w:val="24"/>
              </w:rPr>
              <w:t>2025</w:t>
            </w:r>
            <w:r>
              <w:rPr>
                <w:sz w:val="24"/>
              </w:rPr>
              <w:t>年</w:t>
            </w:r>
            <w:r>
              <w:rPr>
                <w:rFonts w:hint="eastAsia"/>
                <w:sz w:val="24"/>
              </w:rPr>
              <w:t>4</w:t>
            </w:r>
            <w:r>
              <w:rPr>
                <w:sz w:val="24"/>
              </w:rPr>
              <w:t>月全市</w:t>
            </w:r>
            <w:r>
              <w:rPr>
                <w:rFonts w:hint="eastAsia"/>
                <w:sz w:val="24"/>
              </w:rPr>
              <w:t>37</w:t>
            </w:r>
            <w:r>
              <w:rPr>
                <w:sz w:val="24"/>
              </w:rPr>
              <w:t>个河流断面中，优（Ⅰ~Ⅱ类</w:t>
            </w:r>
            <w:r>
              <w:rPr>
                <w:rFonts w:hint="eastAsia"/>
                <w:sz w:val="24"/>
              </w:rPr>
              <w:t>）</w:t>
            </w:r>
            <w:r>
              <w:rPr>
                <w:sz w:val="24"/>
              </w:rPr>
              <w:t>良（Ⅲ类</w:t>
            </w:r>
            <w:r>
              <w:rPr>
                <w:rFonts w:hint="eastAsia"/>
                <w:sz w:val="24"/>
              </w:rPr>
              <w:t>）</w:t>
            </w:r>
            <w:r>
              <w:rPr>
                <w:sz w:val="24"/>
              </w:rPr>
              <w:t>水质断面</w:t>
            </w:r>
            <w:r>
              <w:rPr>
                <w:rFonts w:hint="eastAsia"/>
                <w:sz w:val="24"/>
              </w:rPr>
              <w:t>34</w:t>
            </w:r>
            <w:r>
              <w:rPr>
                <w:sz w:val="24"/>
              </w:rPr>
              <w:t>个，占比91.</w:t>
            </w:r>
            <w:r>
              <w:rPr>
                <w:rFonts w:hint="eastAsia"/>
                <w:sz w:val="24"/>
              </w:rPr>
              <w:t>9</w:t>
            </w:r>
            <w:r>
              <w:rPr>
                <w:sz w:val="24"/>
              </w:rPr>
              <w:t>%</w:t>
            </w:r>
            <w:r>
              <w:rPr>
                <w:rFonts w:hint="eastAsia"/>
                <w:sz w:val="24"/>
              </w:rPr>
              <w:t xml:space="preserve">；明月江李家渡、平滩河牛角滩、流江河白兔乡断面水质为 </w:t>
            </w:r>
            <w:r>
              <w:rPr>
                <w:rFonts w:hint="eastAsia"/>
                <w:sz w:val="24"/>
                <w:lang w:eastAsia="zh-CN"/>
              </w:rPr>
              <w:t>Ⅳ类</w:t>
            </w:r>
            <w:r>
              <w:rPr>
                <w:rFonts w:hint="eastAsia"/>
                <w:sz w:val="24"/>
              </w:rPr>
              <w:t>，轻度污染</w:t>
            </w:r>
            <w:r>
              <w:rPr>
                <w:sz w:val="24"/>
              </w:rPr>
              <w:t>。</w:t>
            </w:r>
            <w:r>
              <w:rPr>
                <w:rFonts w:hint="eastAsia"/>
                <w:sz w:val="24"/>
              </w:rPr>
              <w:t>项目涉及区域</w:t>
            </w:r>
            <w:r>
              <w:rPr>
                <w:rFonts w:hint="eastAsia" w:ascii="宋体" w:hAnsi="宋体" w:cs="宋体"/>
                <w:color w:val="000000"/>
                <w:kern w:val="0"/>
                <w:sz w:val="24"/>
                <w:lang w:bidi="ar"/>
              </w:rPr>
              <w:t>水质评价结果见下表。</w:t>
            </w:r>
          </w:p>
          <w:p w14:paraId="0CDD2F19">
            <w:pPr>
              <w:jc w:val="center"/>
              <w:rPr>
                <w:b/>
                <w:bCs/>
                <w:szCs w:val="21"/>
              </w:rPr>
            </w:pPr>
            <w:r>
              <w:rPr>
                <w:b/>
                <w:bCs/>
                <w:szCs w:val="21"/>
              </w:rPr>
              <w:t>表3-</w:t>
            </w:r>
            <w:r>
              <w:rPr>
                <w:rFonts w:hint="eastAsia"/>
                <w:b/>
                <w:bCs/>
                <w:szCs w:val="21"/>
              </w:rPr>
              <w:t>4</w:t>
            </w:r>
            <w:r>
              <w:rPr>
                <w:b/>
                <w:bCs/>
                <w:szCs w:val="21"/>
              </w:rPr>
              <w:t xml:space="preserve">   202</w:t>
            </w:r>
            <w:r>
              <w:rPr>
                <w:rFonts w:hint="eastAsia"/>
                <w:b/>
                <w:bCs/>
                <w:szCs w:val="21"/>
              </w:rPr>
              <w:t>3</w:t>
            </w:r>
            <w:r>
              <w:rPr>
                <w:b/>
                <w:bCs/>
                <w:szCs w:val="21"/>
              </w:rPr>
              <w:t>年</w:t>
            </w:r>
            <w:r>
              <w:rPr>
                <w:rFonts w:hint="eastAsia"/>
                <w:b/>
                <w:bCs/>
                <w:szCs w:val="21"/>
              </w:rPr>
              <w:t>3</w:t>
            </w:r>
            <w:r>
              <w:rPr>
                <w:b/>
                <w:bCs/>
                <w:szCs w:val="21"/>
              </w:rPr>
              <w:t>月达州市河流水质评价结果表（部分</w:t>
            </w:r>
            <w:r>
              <w:rPr>
                <w:rFonts w:hint="eastAsia"/>
                <w:b/>
                <w:bCs/>
                <w:szCs w:val="21"/>
              </w:rPr>
              <w:t>）</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4"/>
              <w:gridCol w:w="1005"/>
              <w:gridCol w:w="795"/>
              <w:gridCol w:w="840"/>
              <w:gridCol w:w="705"/>
              <w:gridCol w:w="660"/>
              <w:gridCol w:w="690"/>
              <w:gridCol w:w="735"/>
              <w:gridCol w:w="2544"/>
            </w:tblGrid>
            <w:tr w14:paraId="5A3091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14" w:type="dxa"/>
                  <w:tcBorders>
                    <w:tl2br w:val="nil"/>
                    <w:tr2bl w:val="nil"/>
                  </w:tcBorders>
                  <w:vAlign w:val="center"/>
                </w:tcPr>
                <w:p w14:paraId="1C649C57">
                  <w:pPr>
                    <w:adjustRightInd w:val="0"/>
                    <w:snapToGrid w:val="0"/>
                    <w:jc w:val="center"/>
                    <w:rPr>
                      <w:b/>
                      <w:bCs/>
                      <w:kern w:val="0"/>
                      <w:szCs w:val="21"/>
                    </w:rPr>
                  </w:pPr>
                  <w:r>
                    <w:rPr>
                      <w:b/>
                      <w:bCs/>
                      <w:kern w:val="0"/>
                      <w:szCs w:val="21"/>
                    </w:rPr>
                    <w:t>序号</w:t>
                  </w:r>
                </w:p>
              </w:tc>
              <w:tc>
                <w:tcPr>
                  <w:tcW w:w="1005" w:type="dxa"/>
                  <w:tcBorders>
                    <w:tl2br w:val="nil"/>
                    <w:tr2bl w:val="nil"/>
                  </w:tcBorders>
                  <w:vAlign w:val="center"/>
                </w:tcPr>
                <w:p w14:paraId="5ACE804C">
                  <w:pPr>
                    <w:adjustRightInd w:val="0"/>
                    <w:snapToGrid w:val="0"/>
                    <w:jc w:val="center"/>
                    <w:rPr>
                      <w:b/>
                      <w:bCs/>
                      <w:kern w:val="0"/>
                      <w:szCs w:val="21"/>
                    </w:rPr>
                  </w:pPr>
                  <w:r>
                    <w:rPr>
                      <w:b/>
                      <w:bCs/>
                      <w:kern w:val="0"/>
                      <w:szCs w:val="21"/>
                    </w:rPr>
                    <w:t>河流</w:t>
                  </w:r>
                </w:p>
              </w:tc>
              <w:tc>
                <w:tcPr>
                  <w:tcW w:w="795" w:type="dxa"/>
                  <w:tcBorders>
                    <w:tl2br w:val="nil"/>
                    <w:tr2bl w:val="nil"/>
                  </w:tcBorders>
                  <w:vAlign w:val="center"/>
                </w:tcPr>
                <w:p w14:paraId="3F1CD83C">
                  <w:pPr>
                    <w:adjustRightInd w:val="0"/>
                    <w:snapToGrid w:val="0"/>
                    <w:jc w:val="center"/>
                    <w:rPr>
                      <w:b/>
                      <w:bCs/>
                      <w:kern w:val="0"/>
                      <w:szCs w:val="21"/>
                    </w:rPr>
                  </w:pPr>
                  <w:r>
                    <w:rPr>
                      <w:b/>
                      <w:bCs/>
                      <w:kern w:val="0"/>
                      <w:szCs w:val="21"/>
                    </w:rPr>
                    <w:t>断面名称</w:t>
                  </w:r>
                </w:p>
              </w:tc>
              <w:tc>
                <w:tcPr>
                  <w:tcW w:w="840" w:type="dxa"/>
                  <w:tcBorders>
                    <w:tl2br w:val="nil"/>
                    <w:tr2bl w:val="nil"/>
                  </w:tcBorders>
                  <w:vAlign w:val="center"/>
                </w:tcPr>
                <w:p w14:paraId="50A05841">
                  <w:pPr>
                    <w:adjustRightInd w:val="0"/>
                    <w:snapToGrid w:val="0"/>
                    <w:jc w:val="center"/>
                    <w:rPr>
                      <w:b/>
                      <w:bCs/>
                      <w:kern w:val="0"/>
                      <w:szCs w:val="21"/>
                    </w:rPr>
                  </w:pPr>
                  <w:r>
                    <w:rPr>
                      <w:b/>
                      <w:bCs/>
                      <w:kern w:val="0"/>
                      <w:szCs w:val="21"/>
                    </w:rPr>
                    <w:t>交界情况</w:t>
                  </w:r>
                </w:p>
              </w:tc>
              <w:tc>
                <w:tcPr>
                  <w:tcW w:w="705" w:type="dxa"/>
                  <w:tcBorders>
                    <w:tl2br w:val="nil"/>
                    <w:tr2bl w:val="nil"/>
                  </w:tcBorders>
                  <w:vAlign w:val="center"/>
                </w:tcPr>
                <w:p w14:paraId="32668304">
                  <w:pPr>
                    <w:adjustRightInd w:val="0"/>
                    <w:snapToGrid w:val="0"/>
                    <w:jc w:val="center"/>
                    <w:rPr>
                      <w:b/>
                      <w:bCs/>
                      <w:kern w:val="0"/>
                      <w:szCs w:val="21"/>
                    </w:rPr>
                  </w:pPr>
                  <w:r>
                    <w:rPr>
                      <w:b/>
                      <w:bCs/>
                      <w:kern w:val="0"/>
                      <w:szCs w:val="21"/>
                    </w:rPr>
                    <w:t>断面性质</w:t>
                  </w:r>
                </w:p>
              </w:tc>
              <w:tc>
                <w:tcPr>
                  <w:tcW w:w="660" w:type="dxa"/>
                  <w:tcBorders>
                    <w:tl2br w:val="nil"/>
                    <w:tr2bl w:val="nil"/>
                  </w:tcBorders>
                  <w:vAlign w:val="center"/>
                </w:tcPr>
                <w:p w14:paraId="21BCFC48">
                  <w:pPr>
                    <w:adjustRightInd w:val="0"/>
                    <w:snapToGrid w:val="0"/>
                    <w:jc w:val="center"/>
                    <w:rPr>
                      <w:b/>
                      <w:bCs/>
                      <w:kern w:val="0"/>
                      <w:szCs w:val="21"/>
                    </w:rPr>
                  </w:pPr>
                  <w:r>
                    <w:rPr>
                      <w:b/>
                      <w:bCs/>
                      <w:kern w:val="0"/>
                      <w:szCs w:val="21"/>
                    </w:rPr>
                    <w:t>上年同期</w:t>
                  </w:r>
                </w:p>
              </w:tc>
              <w:tc>
                <w:tcPr>
                  <w:tcW w:w="690" w:type="dxa"/>
                  <w:tcBorders>
                    <w:tl2br w:val="nil"/>
                    <w:tr2bl w:val="nil"/>
                  </w:tcBorders>
                  <w:vAlign w:val="center"/>
                </w:tcPr>
                <w:p w14:paraId="6A27291A">
                  <w:pPr>
                    <w:adjustRightInd w:val="0"/>
                    <w:snapToGrid w:val="0"/>
                    <w:jc w:val="center"/>
                    <w:rPr>
                      <w:b/>
                      <w:bCs/>
                      <w:kern w:val="0"/>
                      <w:szCs w:val="21"/>
                    </w:rPr>
                  </w:pPr>
                  <w:r>
                    <w:rPr>
                      <w:b/>
                      <w:bCs/>
                      <w:kern w:val="0"/>
                      <w:szCs w:val="21"/>
                    </w:rPr>
                    <w:t>上月类别</w:t>
                  </w:r>
                </w:p>
              </w:tc>
              <w:tc>
                <w:tcPr>
                  <w:tcW w:w="735" w:type="dxa"/>
                  <w:tcBorders>
                    <w:tl2br w:val="nil"/>
                    <w:tr2bl w:val="nil"/>
                  </w:tcBorders>
                  <w:vAlign w:val="center"/>
                </w:tcPr>
                <w:p w14:paraId="7B60A734">
                  <w:pPr>
                    <w:adjustRightInd w:val="0"/>
                    <w:snapToGrid w:val="0"/>
                    <w:jc w:val="center"/>
                    <w:rPr>
                      <w:b/>
                      <w:bCs/>
                      <w:kern w:val="0"/>
                      <w:szCs w:val="21"/>
                    </w:rPr>
                  </w:pPr>
                  <w:r>
                    <w:rPr>
                      <w:b/>
                      <w:bCs/>
                      <w:kern w:val="0"/>
                      <w:szCs w:val="21"/>
                    </w:rPr>
                    <w:t>本月类别</w:t>
                  </w:r>
                </w:p>
              </w:tc>
              <w:tc>
                <w:tcPr>
                  <w:tcW w:w="2544" w:type="dxa"/>
                  <w:tcBorders>
                    <w:tl2br w:val="nil"/>
                    <w:tr2bl w:val="nil"/>
                  </w:tcBorders>
                  <w:vAlign w:val="center"/>
                </w:tcPr>
                <w:p w14:paraId="45FB7126">
                  <w:pPr>
                    <w:adjustRightInd w:val="0"/>
                    <w:snapToGrid w:val="0"/>
                    <w:jc w:val="center"/>
                    <w:rPr>
                      <w:b/>
                      <w:bCs/>
                      <w:kern w:val="0"/>
                      <w:szCs w:val="21"/>
                    </w:rPr>
                  </w:pPr>
                  <w:r>
                    <w:rPr>
                      <w:b/>
                      <w:bCs/>
                      <w:kern w:val="0"/>
                      <w:szCs w:val="21"/>
                    </w:rPr>
                    <w:t>本月主要污染指标（类别</w:t>
                  </w:r>
                  <w:r>
                    <w:rPr>
                      <w:rFonts w:hint="eastAsia"/>
                      <w:b/>
                      <w:bCs/>
                      <w:kern w:val="0"/>
                      <w:szCs w:val="21"/>
                    </w:rPr>
                    <w:t>）</w:t>
                  </w:r>
                </w:p>
              </w:tc>
            </w:tr>
            <w:tr w14:paraId="71F90E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14" w:type="dxa"/>
                  <w:tcBorders>
                    <w:tl2br w:val="nil"/>
                    <w:tr2bl w:val="nil"/>
                  </w:tcBorders>
                  <w:vAlign w:val="center"/>
                </w:tcPr>
                <w:p w14:paraId="143790CF">
                  <w:pPr>
                    <w:adjustRightInd w:val="0"/>
                    <w:snapToGrid w:val="0"/>
                    <w:jc w:val="center"/>
                    <w:rPr>
                      <w:kern w:val="0"/>
                      <w:szCs w:val="21"/>
                    </w:rPr>
                  </w:pPr>
                  <w:r>
                    <w:rPr>
                      <w:kern w:val="0"/>
                      <w:szCs w:val="21"/>
                    </w:rPr>
                    <w:t>1</w:t>
                  </w:r>
                </w:p>
              </w:tc>
              <w:tc>
                <w:tcPr>
                  <w:tcW w:w="1005" w:type="dxa"/>
                  <w:vMerge w:val="restart"/>
                  <w:tcBorders>
                    <w:tl2br w:val="nil"/>
                    <w:tr2bl w:val="nil"/>
                  </w:tcBorders>
                  <w:vAlign w:val="center"/>
                </w:tcPr>
                <w:p w14:paraId="32BB0694">
                  <w:pPr>
                    <w:adjustRightInd w:val="0"/>
                    <w:snapToGrid w:val="0"/>
                    <w:jc w:val="center"/>
                    <w:rPr>
                      <w:kern w:val="0"/>
                      <w:szCs w:val="21"/>
                    </w:rPr>
                  </w:pPr>
                  <w:r>
                    <w:rPr>
                      <w:kern w:val="0"/>
                      <w:szCs w:val="21"/>
                    </w:rPr>
                    <w:t>州河（干流</w:t>
                  </w:r>
                  <w:r>
                    <w:rPr>
                      <w:rFonts w:hint="eastAsia"/>
                      <w:kern w:val="0"/>
                      <w:szCs w:val="21"/>
                    </w:rPr>
                    <w:t>）</w:t>
                  </w:r>
                </w:p>
              </w:tc>
              <w:tc>
                <w:tcPr>
                  <w:tcW w:w="795" w:type="dxa"/>
                  <w:tcBorders>
                    <w:tl2br w:val="nil"/>
                    <w:tr2bl w:val="nil"/>
                  </w:tcBorders>
                  <w:vAlign w:val="center"/>
                </w:tcPr>
                <w:p w14:paraId="4BF82A24">
                  <w:pPr>
                    <w:adjustRightInd w:val="0"/>
                    <w:snapToGrid w:val="0"/>
                    <w:jc w:val="center"/>
                    <w:rPr>
                      <w:kern w:val="0"/>
                      <w:szCs w:val="21"/>
                    </w:rPr>
                  </w:pPr>
                  <w:r>
                    <w:rPr>
                      <w:kern w:val="0"/>
                      <w:szCs w:val="21"/>
                    </w:rPr>
                    <w:t>车家河</w:t>
                  </w:r>
                </w:p>
              </w:tc>
              <w:tc>
                <w:tcPr>
                  <w:tcW w:w="840" w:type="dxa"/>
                  <w:tcBorders>
                    <w:tl2br w:val="nil"/>
                    <w:tr2bl w:val="nil"/>
                  </w:tcBorders>
                  <w:vAlign w:val="center"/>
                </w:tcPr>
                <w:p w14:paraId="0A7580C5">
                  <w:pPr>
                    <w:adjustRightInd w:val="0"/>
                    <w:snapToGrid w:val="0"/>
                    <w:jc w:val="center"/>
                    <w:rPr>
                      <w:kern w:val="0"/>
                      <w:szCs w:val="21"/>
                    </w:rPr>
                  </w:pPr>
                  <w:r>
                    <w:rPr>
                      <w:kern w:val="0"/>
                      <w:szCs w:val="21"/>
                    </w:rPr>
                    <w:t>市城区</w:t>
                  </w:r>
                </w:p>
              </w:tc>
              <w:tc>
                <w:tcPr>
                  <w:tcW w:w="705" w:type="dxa"/>
                  <w:tcBorders>
                    <w:tl2br w:val="nil"/>
                    <w:tr2bl w:val="nil"/>
                  </w:tcBorders>
                  <w:vAlign w:val="center"/>
                </w:tcPr>
                <w:p w14:paraId="58D9C94D">
                  <w:pPr>
                    <w:adjustRightInd w:val="0"/>
                    <w:snapToGrid w:val="0"/>
                    <w:jc w:val="center"/>
                    <w:rPr>
                      <w:kern w:val="0"/>
                      <w:szCs w:val="21"/>
                    </w:rPr>
                  </w:pPr>
                  <w:r>
                    <w:rPr>
                      <w:kern w:val="0"/>
                      <w:szCs w:val="21"/>
                    </w:rPr>
                    <w:t>国考</w:t>
                  </w:r>
                </w:p>
              </w:tc>
              <w:tc>
                <w:tcPr>
                  <w:tcW w:w="660" w:type="dxa"/>
                  <w:tcBorders>
                    <w:tl2br w:val="nil"/>
                    <w:tr2bl w:val="nil"/>
                  </w:tcBorders>
                  <w:vAlign w:val="center"/>
                </w:tcPr>
                <w:p w14:paraId="360C709B">
                  <w:pPr>
                    <w:adjustRightInd w:val="0"/>
                    <w:snapToGrid w:val="0"/>
                    <w:jc w:val="center"/>
                    <w:rPr>
                      <w:kern w:val="0"/>
                      <w:szCs w:val="21"/>
                    </w:rPr>
                  </w:pPr>
                  <w:r>
                    <w:rPr>
                      <w:kern w:val="0"/>
                      <w:szCs w:val="21"/>
                    </w:rPr>
                    <w:t>Ⅱ</w:t>
                  </w:r>
                </w:p>
              </w:tc>
              <w:tc>
                <w:tcPr>
                  <w:tcW w:w="690" w:type="dxa"/>
                  <w:tcBorders>
                    <w:tl2br w:val="nil"/>
                    <w:tr2bl w:val="nil"/>
                  </w:tcBorders>
                  <w:vAlign w:val="center"/>
                </w:tcPr>
                <w:p w14:paraId="1648B7CA">
                  <w:pPr>
                    <w:adjustRightInd w:val="0"/>
                    <w:snapToGrid w:val="0"/>
                    <w:jc w:val="center"/>
                    <w:rPr>
                      <w:kern w:val="0"/>
                      <w:szCs w:val="21"/>
                    </w:rPr>
                  </w:pPr>
                  <w:r>
                    <w:rPr>
                      <w:kern w:val="0"/>
                      <w:szCs w:val="21"/>
                    </w:rPr>
                    <w:t>Ⅱ</w:t>
                  </w:r>
                </w:p>
              </w:tc>
              <w:tc>
                <w:tcPr>
                  <w:tcW w:w="735" w:type="dxa"/>
                  <w:tcBorders>
                    <w:tl2br w:val="nil"/>
                    <w:tr2bl w:val="nil"/>
                  </w:tcBorders>
                  <w:vAlign w:val="center"/>
                </w:tcPr>
                <w:p w14:paraId="7EBF6CD0">
                  <w:pPr>
                    <w:adjustRightInd w:val="0"/>
                    <w:snapToGrid w:val="0"/>
                    <w:jc w:val="center"/>
                    <w:rPr>
                      <w:kern w:val="0"/>
                      <w:szCs w:val="21"/>
                    </w:rPr>
                  </w:pPr>
                  <w:r>
                    <w:rPr>
                      <w:kern w:val="0"/>
                      <w:szCs w:val="21"/>
                    </w:rPr>
                    <w:t>Ⅱ</w:t>
                  </w:r>
                </w:p>
              </w:tc>
              <w:tc>
                <w:tcPr>
                  <w:tcW w:w="2544" w:type="dxa"/>
                  <w:tcBorders>
                    <w:tl2br w:val="nil"/>
                    <w:tr2bl w:val="nil"/>
                  </w:tcBorders>
                  <w:vAlign w:val="center"/>
                </w:tcPr>
                <w:p w14:paraId="10BE5CC1">
                  <w:pPr>
                    <w:adjustRightInd w:val="0"/>
                    <w:snapToGrid w:val="0"/>
                    <w:jc w:val="center"/>
                    <w:rPr>
                      <w:kern w:val="0"/>
                      <w:szCs w:val="21"/>
                    </w:rPr>
                  </w:pPr>
                  <w:r>
                    <w:rPr>
                      <w:kern w:val="0"/>
                      <w:szCs w:val="21"/>
                    </w:rPr>
                    <w:t>/</w:t>
                  </w:r>
                </w:p>
              </w:tc>
            </w:tr>
            <w:tr w14:paraId="0D0E25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14" w:type="dxa"/>
                  <w:tcBorders>
                    <w:tl2br w:val="nil"/>
                    <w:tr2bl w:val="nil"/>
                  </w:tcBorders>
                  <w:vAlign w:val="center"/>
                </w:tcPr>
                <w:p w14:paraId="7ABCEBD5">
                  <w:pPr>
                    <w:adjustRightInd w:val="0"/>
                    <w:snapToGrid w:val="0"/>
                    <w:jc w:val="center"/>
                    <w:rPr>
                      <w:kern w:val="0"/>
                      <w:szCs w:val="21"/>
                    </w:rPr>
                  </w:pPr>
                  <w:r>
                    <w:rPr>
                      <w:rFonts w:hint="eastAsia"/>
                      <w:kern w:val="0"/>
                      <w:szCs w:val="21"/>
                    </w:rPr>
                    <w:t>2</w:t>
                  </w:r>
                </w:p>
              </w:tc>
              <w:tc>
                <w:tcPr>
                  <w:tcW w:w="1005" w:type="dxa"/>
                  <w:vMerge w:val="continue"/>
                  <w:tcBorders>
                    <w:tl2br w:val="nil"/>
                    <w:tr2bl w:val="nil"/>
                  </w:tcBorders>
                  <w:vAlign w:val="center"/>
                </w:tcPr>
                <w:p w14:paraId="3CB054C6">
                  <w:pPr>
                    <w:adjustRightInd w:val="0"/>
                    <w:snapToGrid w:val="0"/>
                    <w:jc w:val="center"/>
                    <w:rPr>
                      <w:kern w:val="0"/>
                      <w:szCs w:val="21"/>
                    </w:rPr>
                  </w:pPr>
                </w:p>
              </w:tc>
              <w:tc>
                <w:tcPr>
                  <w:tcW w:w="795" w:type="dxa"/>
                  <w:tcBorders>
                    <w:tl2br w:val="nil"/>
                    <w:tr2bl w:val="nil"/>
                  </w:tcBorders>
                  <w:vAlign w:val="center"/>
                </w:tcPr>
                <w:p w14:paraId="53B0F649">
                  <w:pPr>
                    <w:adjustRightInd w:val="0"/>
                    <w:snapToGrid w:val="0"/>
                    <w:jc w:val="center"/>
                    <w:rPr>
                      <w:kern w:val="0"/>
                      <w:szCs w:val="21"/>
                    </w:rPr>
                  </w:pPr>
                  <w:r>
                    <w:rPr>
                      <w:rFonts w:hint="eastAsia"/>
                      <w:kern w:val="0"/>
                      <w:szCs w:val="21"/>
                    </w:rPr>
                    <w:t>白鹤山</w:t>
                  </w:r>
                </w:p>
              </w:tc>
              <w:tc>
                <w:tcPr>
                  <w:tcW w:w="840" w:type="dxa"/>
                  <w:tcBorders>
                    <w:tl2br w:val="nil"/>
                    <w:tr2bl w:val="nil"/>
                  </w:tcBorders>
                  <w:vAlign w:val="center"/>
                </w:tcPr>
                <w:p w14:paraId="46E53DDD">
                  <w:pPr>
                    <w:adjustRightInd w:val="0"/>
                    <w:snapToGrid w:val="0"/>
                    <w:jc w:val="center"/>
                    <w:rPr>
                      <w:kern w:val="0"/>
                      <w:szCs w:val="21"/>
                    </w:rPr>
                  </w:pPr>
                  <w:r>
                    <w:rPr>
                      <w:rFonts w:hint="eastAsia"/>
                      <w:kern w:val="0"/>
                      <w:szCs w:val="21"/>
                    </w:rPr>
                    <w:t>达川区</w:t>
                  </w:r>
                  <w:r>
                    <w:rPr>
                      <w:rFonts w:hint="eastAsia"/>
                      <w:kern w:val="0"/>
                      <w:szCs w:val="21"/>
                      <w:lang w:eastAsia="zh-CN"/>
                    </w:rPr>
                    <w:t>－</w:t>
                  </w:r>
                  <w:r>
                    <w:rPr>
                      <w:rFonts w:hint="eastAsia"/>
                      <w:kern w:val="0"/>
                      <w:szCs w:val="21"/>
                    </w:rPr>
                    <w:t>渠县</w:t>
                  </w:r>
                </w:p>
              </w:tc>
              <w:tc>
                <w:tcPr>
                  <w:tcW w:w="705" w:type="dxa"/>
                  <w:tcBorders>
                    <w:tl2br w:val="nil"/>
                    <w:tr2bl w:val="nil"/>
                  </w:tcBorders>
                  <w:vAlign w:val="center"/>
                </w:tcPr>
                <w:p w14:paraId="63831DFA">
                  <w:pPr>
                    <w:adjustRightInd w:val="0"/>
                    <w:snapToGrid w:val="0"/>
                    <w:jc w:val="center"/>
                    <w:rPr>
                      <w:kern w:val="0"/>
                      <w:szCs w:val="21"/>
                    </w:rPr>
                  </w:pPr>
                  <w:r>
                    <w:rPr>
                      <w:rFonts w:hint="eastAsia"/>
                      <w:kern w:val="0"/>
                      <w:szCs w:val="21"/>
                    </w:rPr>
                    <w:t>省控考核评价</w:t>
                  </w:r>
                </w:p>
              </w:tc>
              <w:tc>
                <w:tcPr>
                  <w:tcW w:w="660" w:type="dxa"/>
                  <w:tcBorders>
                    <w:tl2br w:val="nil"/>
                    <w:tr2bl w:val="nil"/>
                  </w:tcBorders>
                  <w:vAlign w:val="center"/>
                </w:tcPr>
                <w:p w14:paraId="3821DFBB">
                  <w:pPr>
                    <w:adjustRightInd w:val="0"/>
                    <w:snapToGrid w:val="0"/>
                    <w:jc w:val="center"/>
                    <w:rPr>
                      <w:kern w:val="0"/>
                      <w:szCs w:val="21"/>
                    </w:rPr>
                  </w:pPr>
                  <w:r>
                    <w:rPr>
                      <w:kern w:val="0"/>
                      <w:szCs w:val="21"/>
                    </w:rPr>
                    <w:t>Ⅲ</w:t>
                  </w:r>
                </w:p>
              </w:tc>
              <w:tc>
                <w:tcPr>
                  <w:tcW w:w="690" w:type="dxa"/>
                  <w:tcBorders>
                    <w:tl2br w:val="nil"/>
                    <w:tr2bl w:val="nil"/>
                  </w:tcBorders>
                  <w:vAlign w:val="center"/>
                </w:tcPr>
                <w:p w14:paraId="0690CF98">
                  <w:pPr>
                    <w:adjustRightInd w:val="0"/>
                    <w:snapToGrid w:val="0"/>
                    <w:jc w:val="center"/>
                    <w:rPr>
                      <w:kern w:val="0"/>
                      <w:szCs w:val="21"/>
                    </w:rPr>
                  </w:pPr>
                  <w:r>
                    <w:rPr>
                      <w:kern w:val="0"/>
                      <w:szCs w:val="21"/>
                    </w:rPr>
                    <w:t>Ⅱ</w:t>
                  </w:r>
                </w:p>
              </w:tc>
              <w:tc>
                <w:tcPr>
                  <w:tcW w:w="735" w:type="dxa"/>
                  <w:tcBorders>
                    <w:tl2br w:val="nil"/>
                    <w:tr2bl w:val="nil"/>
                  </w:tcBorders>
                  <w:vAlign w:val="center"/>
                </w:tcPr>
                <w:p w14:paraId="7C78B8B5">
                  <w:pPr>
                    <w:adjustRightInd w:val="0"/>
                    <w:snapToGrid w:val="0"/>
                    <w:jc w:val="center"/>
                    <w:rPr>
                      <w:kern w:val="0"/>
                      <w:szCs w:val="21"/>
                    </w:rPr>
                  </w:pPr>
                  <w:r>
                    <w:rPr>
                      <w:kern w:val="0"/>
                      <w:szCs w:val="21"/>
                    </w:rPr>
                    <w:t>Ⅱ</w:t>
                  </w:r>
                </w:p>
              </w:tc>
              <w:tc>
                <w:tcPr>
                  <w:tcW w:w="2544" w:type="dxa"/>
                  <w:tcBorders>
                    <w:tl2br w:val="nil"/>
                    <w:tr2bl w:val="nil"/>
                  </w:tcBorders>
                  <w:vAlign w:val="center"/>
                </w:tcPr>
                <w:p w14:paraId="3E52E453">
                  <w:pPr>
                    <w:adjustRightInd w:val="0"/>
                    <w:snapToGrid w:val="0"/>
                    <w:jc w:val="center"/>
                    <w:rPr>
                      <w:kern w:val="0"/>
                      <w:szCs w:val="21"/>
                    </w:rPr>
                  </w:pPr>
                  <w:r>
                    <w:rPr>
                      <w:rFonts w:hint="eastAsia"/>
                      <w:kern w:val="0"/>
                      <w:szCs w:val="21"/>
                    </w:rPr>
                    <w:t>/</w:t>
                  </w:r>
                </w:p>
              </w:tc>
            </w:tr>
          </w:tbl>
          <w:p w14:paraId="72C69DC0">
            <w:pPr>
              <w:adjustRightInd w:val="0"/>
              <w:snapToGrid w:val="0"/>
              <w:spacing w:before="120" w:beforeLines="50" w:line="360" w:lineRule="auto"/>
              <w:ind w:firstLine="480" w:firstLineChars="200"/>
              <w:rPr>
                <w:sz w:val="24"/>
              </w:rPr>
            </w:pPr>
            <w:r>
              <w:rPr>
                <w:rFonts w:hint="eastAsia"/>
                <w:sz w:val="24"/>
              </w:rPr>
              <w:t>本项目排水最终受纳水体为</w:t>
            </w:r>
            <w:r>
              <w:rPr>
                <w:rFonts w:hint="eastAsia" w:ascii="宋体" w:hAnsi="宋体" w:cs="宋体"/>
                <w:color w:val="000000"/>
                <w:kern w:val="0"/>
                <w:sz w:val="24"/>
                <w:lang w:bidi="ar"/>
              </w:rPr>
              <w:t>州河</w:t>
            </w:r>
            <w:r>
              <w:rPr>
                <w:sz w:val="24"/>
              </w:rPr>
              <w:t>，距项目区较近的监测断面为白鹤山、车家河断面</w:t>
            </w:r>
            <w:r>
              <w:rPr>
                <w:rFonts w:hint="eastAsia"/>
                <w:sz w:val="24"/>
              </w:rPr>
              <w:t>，根据上表可知，项目区域地表水能达到</w:t>
            </w:r>
            <w:r>
              <w:rPr>
                <w:color w:val="000000"/>
                <w:kern w:val="0"/>
                <w:sz w:val="24"/>
                <w:lang w:bidi="ar"/>
              </w:rPr>
              <w:t>《地表水环境质量标准》（GB3838-2002</w:t>
            </w:r>
            <w:r>
              <w:rPr>
                <w:rFonts w:hint="eastAsia"/>
                <w:color w:val="000000"/>
                <w:kern w:val="0"/>
                <w:sz w:val="24"/>
                <w:lang w:bidi="ar"/>
              </w:rPr>
              <w:t>）</w:t>
            </w:r>
            <w:r>
              <w:rPr>
                <w:color w:val="000000"/>
                <w:kern w:val="0"/>
                <w:sz w:val="24"/>
                <w:lang w:bidi="ar"/>
              </w:rPr>
              <w:t>中Ⅲ类水质标准，</w:t>
            </w:r>
            <w:r>
              <w:rPr>
                <w:rFonts w:hint="eastAsia"/>
                <w:sz w:val="24"/>
              </w:rPr>
              <w:t>水质良好。</w:t>
            </w:r>
          </w:p>
          <w:p w14:paraId="489ED027">
            <w:pPr>
              <w:adjustRightInd w:val="0"/>
              <w:snapToGrid w:val="0"/>
              <w:spacing w:line="360" w:lineRule="auto"/>
              <w:ind w:firstLine="482" w:firstLineChars="200"/>
              <w:rPr>
                <w:b/>
                <w:bCs/>
                <w:sz w:val="24"/>
              </w:rPr>
            </w:pPr>
            <w:r>
              <w:rPr>
                <w:rFonts w:hint="eastAsia"/>
                <w:b/>
                <w:bCs/>
                <w:sz w:val="24"/>
              </w:rPr>
              <w:t>三、声环境质量</w:t>
            </w:r>
          </w:p>
          <w:p w14:paraId="0FA43652">
            <w:pPr>
              <w:spacing w:line="360" w:lineRule="auto"/>
              <w:ind w:firstLine="482" w:firstLineChars="200"/>
              <w:rPr>
                <w:b/>
                <w:sz w:val="24"/>
              </w:rPr>
            </w:pPr>
            <w:r>
              <w:rPr>
                <w:b/>
                <w:sz w:val="24"/>
              </w:rPr>
              <w:t>（1</w:t>
            </w:r>
            <w:r>
              <w:rPr>
                <w:rFonts w:hint="eastAsia"/>
                <w:b/>
                <w:sz w:val="24"/>
              </w:rPr>
              <w:t>）</w:t>
            </w:r>
            <w:r>
              <w:rPr>
                <w:b/>
                <w:bCs/>
                <w:sz w:val="24"/>
              </w:rPr>
              <w:t>监测点位基本信息</w:t>
            </w:r>
          </w:p>
          <w:p w14:paraId="29C4AC93">
            <w:pPr>
              <w:spacing w:line="360" w:lineRule="auto"/>
              <w:ind w:firstLine="480" w:firstLineChars="200"/>
              <w:rPr>
                <w:sz w:val="24"/>
              </w:rPr>
            </w:pPr>
            <w:r>
              <w:rPr>
                <w:sz w:val="24"/>
              </w:rPr>
              <w:t>本次环评共设噪声监测点</w:t>
            </w:r>
            <w:r>
              <w:rPr>
                <w:rFonts w:hint="eastAsia"/>
                <w:sz w:val="24"/>
              </w:rPr>
              <w:t>4</w:t>
            </w:r>
            <w:r>
              <w:rPr>
                <w:sz w:val="24"/>
              </w:rPr>
              <w:t>个，监测点基本信息见</w:t>
            </w:r>
            <w:r>
              <w:rPr>
                <w:rFonts w:hint="eastAsia"/>
                <w:sz w:val="24"/>
              </w:rPr>
              <w:t>下表</w:t>
            </w:r>
            <w:r>
              <w:rPr>
                <w:sz w:val="24"/>
              </w:rPr>
              <w:t>。</w:t>
            </w:r>
          </w:p>
          <w:p w14:paraId="791D537F">
            <w:pPr>
              <w:jc w:val="center"/>
              <w:rPr>
                <w:b/>
                <w:bCs/>
                <w:szCs w:val="21"/>
              </w:rPr>
            </w:pPr>
            <w:r>
              <w:rPr>
                <w:b/>
                <w:bCs/>
                <w:szCs w:val="21"/>
              </w:rPr>
              <w:t>表3-</w:t>
            </w:r>
            <w:r>
              <w:rPr>
                <w:rFonts w:hint="eastAsia"/>
                <w:b/>
                <w:bCs/>
                <w:szCs w:val="21"/>
              </w:rPr>
              <w:t>5</w:t>
            </w:r>
            <w:r>
              <w:rPr>
                <w:b/>
                <w:bCs/>
                <w:szCs w:val="21"/>
              </w:rPr>
              <w:t xml:space="preserve">   项目噪声监测</w:t>
            </w:r>
            <w:r>
              <w:rPr>
                <w:rFonts w:hint="eastAsia"/>
                <w:b/>
                <w:bCs/>
                <w:szCs w:val="21"/>
              </w:rPr>
              <w:t>布点表</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2"/>
              <w:gridCol w:w="3806"/>
              <w:gridCol w:w="1809"/>
              <w:gridCol w:w="1939"/>
            </w:tblGrid>
            <w:tr w14:paraId="56813F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501" w:type="pct"/>
                  <w:tcBorders>
                    <w:tl2br w:val="nil"/>
                    <w:tr2bl w:val="nil"/>
                  </w:tcBorders>
                  <w:vAlign w:val="center"/>
                </w:tcPr>
                <w:p w14:paraId="75193601">
                  <w:pPr>
                    <w:spacing w:line="300" w:lineRule="exact"/>
                    <w:jc w:val="center"/>
                    <w:rPr>
                      <w:b/>
                      <w:szCs w:val="21"/>
                    </w:rPr>
                  </w:pPr>
                  <w:r>
                    <w:rPr>
                      <w:b/>
                      <w:szCs w:val="21"/>
                    </w:rPr>
                    <w:t>编号</w:t>
                  </w:r>
                </w:p>
              </w:tc>
              <w:tc>
                <w:tcPr>
                  <w:tcW w:w="2265" w:type="pct"/>
                  <w:tcBorders>
                    <w:tl2br w:val="nil"/>
                    <w:tr2bl w:val="nil"/>
                  </w:tcBorders>
                  <w:vAlign w:val="center"/>
                </w:tcPr>
                <w:p w14:paraId="6339C2C4">
                  <w:pPr>
                    <w:spacing w:line="300" w:lineRule="exact"/>
                    <w:jc w:val="center"/>
                    <w:rPr>
                      <w:b/>
                      <w:szCs w:val="21"/>
                    </w:rPr>
                  </w:pPr>
                  <w:r>
                    <w:rPr>
                      <w:b/>
                      <w:szCs w:val="21"/>
                    </w:rPr>
                    <w:t>检测点名称</w:t>
                  </w:r>
                </w:p>
              </w:tc>
              <w:tc>
                <w:tcPr>
                  <w:tcW w:w="1077" w:type="pct"/>
                  <w:tcBorders>
                    <w:tl2br w:val="nil"/>
                    <w:tr2bl w:val="nil"/>
                  </w:tcBorders>
                  <w:vAlign w:val="center"/>
                </w:tcPr>
                <w:p w14:paraId="39F1C387">
                  <w:pPr>
                    <w:spacing w:line="300" w:lineRule="exact"/>
                    <w:jc w:val="center"/>
                    <w:rPr>
                      <w:szCs w:val="21"/>
                    </w:rPr>
                  </w:pPr>
                  <w:r>
                    <w:rPr>
                      <w:b/>
                      <w:szCs w:val="21"/>
                    </w:rPr>
                    <w:t>检测项目</w:t>
                  </w:r>
                </w:p>
              </w:tc>
              <w:tc>
                <w:tcPr>
                  <w:tcW w:w="1155" w:type="pct"/>
                  <w:tcBorders>
                    <w:tl2br w:val="nil"/>
                    <w:tr2bl w:val="nil"/>
                  </w:tcBorders>
                  <w:vAlign w:val="center"/>
                </w:tcPr>
                <w:p w14:paraId="0AE6E238">
                  <w:pPr>
                    <w:spacing w:line="300" w:lineRule="exact"/>
                    <w:jc w:val="center"/>
                    <w:rPr>
                      <w:szCs w:val="21"/>
                    </w:rPr>
                  </w:pPr>
                  <w:r>
                    <w:rPr>
                      <w:b/>
                      <w:szCs w:val="21"/>
                    </w:rPr>
                    <w:t>检测频率</w:t>
                  </w:r>
                </w:p>
              </w:tc>
            </w:tr>
            <w:tr w14:paraId="7AFCDD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501" w:type="pct"/>
                  <w:tcBorders>
                    <w:tl2br w:val="nil"/>
                    <w:tr2bl w:val="nil"/>
                  </w:tcBorders>
                  <w:vAlign w:val="center"/>
                </w:tcPr>
                <w:p w14:paraId="376C3F6D">
                  <w:pPr>
                    <w:spacing w:line="300" w:lineRule="exact"/>
                    <w:jc w:val="center"/>
                    <w:rPr>
                      <w:szCs w:val="21"/>
                    </w:rPr>
                  </w:pPr>
                  <w:r>
                    <w:rPr>
                      <w:rFonts w:hint="eastAsia"/>
                      <w:szCs w:val="21"/>
                    </w:rPr>
                    <w:t>1#</w:t>
                  </w:r>
                </w:p>
              </w:tc>
              <w:tc>
                <w:tcPr>
                  <w:tcW w:w="2265" w:type="pct"/>
                  <w:tcBorders>
                    <w:tl2br w:val="nil"/>
                    <w:tr2bl w:val="nil"/>
                  </w:tcBorders>
                  <w:vAlign w:val="center"/>
                </w:tcPr>
                <w:p w14:paraId="4EC9FCDB">
                  <w:pPr>
                    <w:spacing w:line="300" w:lineRule="exact"/>
                    <w:jc w:val="center"/>
                    <w:rPr>
                      <w:szCs w:val="21"/>
                    </w:rPr>
                  </w:pPr>
                  <w:r>
                    <w:rPr>
                      <w:rFonts w:hint="eastAsia"/>
                      <w:szCs w:val="21"/>
                    </w:rPr>
                    <w:t>本项目东侧</w:t>
                  </w:r>
                  <w:r>
                    <w:rPr>
                      <w:rFonts w:hint="eastAsia"/>
                      <w:color w:val="000000"/>
                      <w:szCs w:val="21"/>
                    </w:rPr>
                    <w:t>场</w:t>
                  </w:r>
                  <w:r>
                    <w:rPr>
                      <w:color w:val="000000"/>
                      <w:szCs w:val="21"/>
                    </w:rPr>
                    <w:t>界</w:t>
                  </w:r>
                  <w:r>
                    <w:rPr>
                      <w:rFonts w:hint="eastAsia"/>
                      <w:color w:val="000000"/>
                      <w:szCs w:val="21"/>
                    </w:rPr>
                    <w:t>外1m</w:t>
                  </w:r>
                </w:p>
              </w:tc>
              <w:tc>
                <w:tcPr>
                  <w:tcW w:w="1077" w:type="pct"/>
                  <w:vMerge w:val="restart"/>
                  <w:tcBorders>
                    <w:tl2br w:val="nil"/>
                    <w:tr2bl w:val="nil"/>
                  </w:tcBorders>
                  <w:vAlign w:val="center"/>
                </w:tcPr>
                <w:p w14:paraId="35F6499B">
                  <w:pPr>
                    <w:spacing w:line="300" w:lineRule="exact"/>
                    <w:jc w:val="center"/>
                    <w:rPr>
                      <w:szCs w:val="21"/>
                    </w:rPr>
                  </w:pPr>
                  <w:r>
                    <w:rPr>
                      <w:szCs w:val="21"/>
                    </w:rPr>
                    <w:t>等效连续A声级（Leq</w:t>
                  </w:r>
                  <w:r>
                    <w:rPr>
                      <w:rFonts w:hint="eastAsia"/>
                      <w:szCs w:val="21"/>
                    </w:rPr>
                    <w:t>（</w:t>
                  </w:r>
                  <w:r>
                    <w:rPr>
                      <w:szCs w:val="21"/>
                    </w:rPr>
                    <w:t>A</w:t>
                  </w:r>
                  <w:r>
                    <w:rPr>
                      <w:rFonts w:hint="eastAsia"/>
                      <w:szCs w:val="21"/>
                    </w:rPr>
                    <w:t>））</w:t>
                  </w:r>
                </w:p>
              </w:tc>
              <w:tc>
                <w:tcPr>
                  <w:tcW w:w="1155" w:type="pct"/>
                  <w:vMerge w:val="restart"/>
                  <w:tcBorders>
                    <w:tl2br w:val="nil"/>
                    <w:tr2bl w:val="nil"/>
                  </w:tcBorders>
                  <w:vAlign w:val="center"/>
                </w:tcPr>
                <w:p w14:paraId="4472964D">
                  <w:pPr>
                    <w:spacing w:line="300" w:lineRule="exact"/>
                    <w:jc w:val="center"/>
                    <w:rPr>
                      <w:szCs w:val="21"/>
                    </w:rPr>
                  </w:pPr>
                  <w:r>
                    <w:rPr>
                      <w:rFonts w:hint="eastAsia"/>
                      <w:szCs w:val="21"/>
                    </w:rPr>
                    <w:t>检</w:t>
                  </w:r>
                  <w:r>
                    <w:rPr>
                      <w:szCs w:val="21"/>
                    </w:rPr>
                    <w:t>测</w:t>
                  </w:r>
                  <w:r>
                    <w:rPr>
                      <w:rFonts w:hint="eastAsia"/>
                      <w:szCs w:val="21"/>
                    </w:rPr>
                    <w:t>2</w:t>
                  </w:r>
                  <w:r>
                    <w:rPr>
                      <w:szCs w:val="21"/>
                    </w:rPr>
                    <w:t>天，</w:t>
                  </w:r>
                  <w:r>
                    <w:rPr>
                      <w:rFonts w:hint="eastAsia"/>
                      <w:szCs w:val="21"/>
                    </w:rPr>
                    <w:t>1次/昼间</w:t>
                  </w:r>
                </w:p>
              </w:tc>
            </w:tr>
            <w:tr w14:paraId="0E68A7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501" w:type="pct"/>
                  <w:tcBorders>
                    <w:tl2br w:val="nil"/>
                    <w:tr2bl w:val="nil"/>
                  </w:tcBorders>
                  <w:vAlign w:val="center"/>
                </w:tcPr>
                <w:p w14:paraId="51C621DD">
                  <w:pPr>
                    <w:spacing w:line="300" w:lineRule="exact"/>
                    <w:jc w:val="center"/>
                    <w:rPr>
                      <w:szCs w:val="21"/>
                    </w:rPr>
                  </w:pPr>
                  <w:r>
                    <w:rPr>
                      <w:rFonts w:hint="eastAsia"/>
                      <w:szCs w:val="21"/>
                    </w:rPr>
                    <w:t>2#</w:t>
                  </w:r>
                </w:p>
              </w:tc>
              <w:tc>
                <w:tcPr>
                  <w:tcW w:w="2265" w:type="pct"/>
                  <w:tcBorders>
                    <w:tl2br w:val="nil"/>
                    <w:tr2bl w:val="nil"/>
                  </w:tcBorders>
                  <w:vAlign w:val="center"/>
                </w:tcPr>
                <w:p w14:paraId="390E01B6">
                  <w:pPr>
                    <w:spacing w:line="300" w:lineRule="exact"/>
                    <w:jc w:val="center"/>
                    <w:rPr>
                      <w:szCs w:val="21"/>
                    </w:rPr>
                  </w:pPr>
                  <w:r>
                    <w:rPr>
                      <w:rFonts w:hint="eastAsia"/>
                      <w:szCs w:val="21"/>
                    </w:rPr>
                    <w:t>本项目南侧</w:t>
                  </w:r>
                  <w:r>
                    <w:rPr>
                      <w:rFonts w:hint="eastAsia"/>
                      <w:color w:val="000000"/>
                      <w:szCs w:val="21"/>
                    </w:rPr>
                    <w:t>场</w:t>
                  </w:r>
                  <w:r>
                    <w:rPr>
                      <w:color w:val="000000"/>
                      <w:szCs w:val="21"/>
                    </w:rPr>
                    <w:t>界</w:t>
                  </w:r>
                  <w:r>
                    <w:rPr>
                      <w:rFonts w:hint="eastAsia"/>
                      <w:color w:val="000000"/>
                      <w:szCs w:val="21"/>
                    </w:rPr>
                    <w:t>外1m</w:t>
                  </w:r>
                </w:p>
              </w:tc>
              <w:tc>
                <w:tcPr>
                  <w:tcW w:w="1077" w:type="pct"/>
                  <w:vMerge w:val="continue"/>
                  <w:tcBorders>
                    <w:tl2br w:val="nil"/>
                    <w:tr2bl w:val="nil"/>
                  </w:tcBorders>
                  <w:vAlign w:val="center"/>
                </w:tcPr>
                <w:p w14:paraId="69648891">
                  <w:pPr>
                    <w:spacing w:line="300" w:lineRule="exact"/>
                    <w:jc w:val="center"/>
                    <w:rPr>
                      <w:szCs w:val="21"/>
                    </w:rPr>
                  </w:pPr>
                </w:p>
              </w:tc>
              <w:tc>
                <w:tcPr>
                  <w:tcW w:w="1155" w:type="pct"/>
                  <w:vMerge w:val="continue"/>
                  <w:tcBorders>
                    <w:tl2br w:val="nil"/>
                    <w:tr2bl w:val="nil"/>
                  </w:tcBorders>
                  <w:vAlign w:val="center"/>
                </w:tcPr>
                <w:p w14:paraId="50D820A1">
                  <w:pPr>
                    <w:spacing w:line="300" w:lineRule="exact"/>
                    <w:jc w:val="center"/>
                    <w:rPr>
                      <w:szCs w:val="21"/>
                    </w:rPr>
                  </w:pPr>
                </w:p>
              </w:tc>
            </w:tr>
            <w:tr w14:paraId="2BBBB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501" w:type="pct"/>
                  <w:tcBorders>
                    <w:tl2br w:val="nil"/>
                    <w:tr2bl w:val="nil"/>
                  </w:tcBorders>
                  <w:vAlign w:val="center"/>
                </w:tcPr>
                <w:p w14:paraId="5FE6A3D0">
                  <w:pPr>
                    <w:spacing w:line="300" w:lineRule="exact"/>
                    <w:jc w:val="center"/>
                    <w:rPr>
                      <w:szCs w:val="21"/>
                    </w:rPr>
                  </w:pPr>
                  <w:r>
                    <w:rPr>
                      <w:rFonts w:hint="eastAsia"/>
                      <w:szCs w:val="21"/>
                    </w:rPr>
                    <w:t>3#</w:t>
                  </w:r>
                </w:p>
              </w:tc>
              <w:tc>
                <w:tcPr>
                  <w:tcW w:w="2265" w:type="pct"/>
                  <w:tcBorders>
                    <w:tl2br w:val="nil"/>
                    <w:tr2bl w:val="nil"/>
                  </w:tcBorders>
                  <w:vAlign w:val="center"/>
                </w:tcPr>
                <w:p w14:paraId="2E274BEA">
                  <w:pPr>
                    <w:spacing w:line="300" w:lineRule="exact"/>
                    <w:jc w:val="center"/>
                    <w:rPr>
                      <w:szCs w:val="21"/>
                    </w:rPr>
                  </w:pPr>
                  <w:r>
                    <w:rPr>
                      <w:rFonts w:hint="eastAsia"/>
                      <w:szCs w:val="21"/>
                    </w:rPr>
                    <w:t>本项目西侧</w:t>
                  </w:r>
                  <w:r>
                    <w:rPr>
                      <w:rFonts w:hint="eastAsia"/>
                      <w:color w:val="000000"/>
                      <w:szCs w:val="21"/>
                    </w:rPr>
                    <w:t>场</w:t>
                  </w:r>
                  <w:r>
                    <w:rPr>
                      <w:color w:val="000000"/>
                      <w:szCs w:val="21"/>
                    </w:rPr>
                    <w:t>界</w:t>
                  </w:r>
                  <w:r>
                    <w:rPr>
                      <w:rFonts w:hint="eastAsia"/>
                      <w:color w:val="000000"/>
                      <w:szCs w:val="21"/>
                    </w:rPr>
                    <w:t>外1m</w:t>
                  </w:r>
                </w:p>
              </w:tc>
              <w:tc>
                <w:tcPr>
                  <w:tcW w:w="1077" w:type="pct"/>
                  <w:vMerge w:val="continue"/>
                  <w:tcBorders>
                    <w:tl2br w:val="nil"/>
                    <w:tr2bl w:val="nil"/>
                  </w:tcBorders>
                  <w:vAlign w:val="center"/>
                </w:tcPr>
                <w:p w14:paraId="34981252">
                  <w:pPr>
                    <w:spacing w:line="300" w:lineRule="exact"/>
                    <w:jc w:val="center"/>
                    <w:rPr>
                      <w:szCs w:val="21"/>
                    </w:rPr>
                  </w:pPr>
                </w:p>
              </w:tc>
              <w:tc>
                <w:tcPr>
                  <w:tcW w:w="1155" w:type="pct"/>
                  <w:vMerge w:val="continue"/>
                  <w:tcBorders>
                    <w:tl2br w:val="nil"/>
                    <w:tr2bl w:val="nil"/>
                  </w:tcBorders>
                  <w:vAlign w:val="center"/>
                </w:tcPr>
                <w:p w14:paraId="4903A41D">
                  <w:pPr>
                    <w:spacing w:line="300" w:lineRule="exact"/>
                    <w:jc w:val="center"/>
                    <w:rPr>
                      <w:szCs w:val="21"/>
                    </w:rPr>
                  </w:pPr>
                </w:p>
              </w:tc>
            </w:tr>
            <w:tr w14:paraId="3B9B79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501" w:type="pct"/>
                  <w:tcBorders>
                    <w:tl2br w:val="nil"/>
                    <w:tr2bl w:val="nil"/>
                  </w:tcBorders>
                  <w:vAlign w:val="center"/>
                </w:tcPr>
                <w:p w14:paraId="5C18352B">
                  <w:pPr>
                    <w:spacing w:line="300" w:lineRule="exact"/>
                    <w:jc w:val="center"/>
                    <w:rPr>
                      <w:szCs w:val="21"/>
                    </w:rPr>
                  </w:pPr>
                  <w:r>
                    <w:rPr>
                      <w:rFonts w:hint="eastAsia"/>
                      <w:szCs w:val="21"/>
                    </w:rPr>
                    <w:t>4#</w:t>
                  </w:r>
                </w:p>
              </w:tc>
              <w:tc>
                <w:tcPr>
                  <w:tcW w:w="2265" w:type="pct"/>
                  <w:tcBorders>
                    <w:tl2br w:val="nil"/>
                    <w:tr2bl w:val="nil"/>
                  </w:tcBorders>
                  <w:vAlign w:val="center"/>
                </w:tcPr>
                <w:p w14:paraId="27BC9DFF">
                  <w:pPr>
                    <w:spacing w:line="300" w:lineRule="exact"/>
                    <w:jc w:val="center"/>
                    <w:rPr>
                      <w:szCs w:val="21"/>
                    </w:rPr>
                  </w:pPr>
                  <w:r>
                    <w:rPr>
                      <w:rFonts w:hint="eastAsia"/>
                      <w:szCs w:val="21"/>
                    </w:rPr>
                    <w:t>本项目北侧</w:t>
                  </w:r>
                  <w:r>
                    <w:rPr>
                      <w:rFonts w:hint="eastAsia"/>
                      <w:color w:val="000000"/>
                      <w:szCs w:val="21"/>
                    </w:rPr>
                    <w:t>场</w:t>
                  </w:r>
                  <w:r>
                    <w:rPr>
                      <w:color w:val="000000"/>
                      <w:szCs w:val="21"/>
                    </w:rPr>
                    <w:t>界</w:t>
                  </w:r>
                  <w:r>
                    <w:rPr>
                      <w:rFonts w:hint="eastAsia"/>
                      <w:color w:val="000000"/>
                      <w:szCs w:val="21"/>
                    </w:rPr>
                    <w:t>外1m</w:t>
                  </w:r>
                </w:p>
              </w:tc>
              <w:tc>
                <w:tcPr>
                  <w:tcW w:w="1077" w:type="pct"/>
                  <w:vMerge w:val="continue"/>
                  <w:tcBorders>
                    <w:tl2br w:val="nil"/>
                    <w:tr2bl w:val="nil"/>
                  </w:tcBorders>
                  <w:vAlign w:val="center"/>
                </w:tcPr>
                <w:p w14:paraId="0A05FE48">
                  <w:pPr>
                    <w:spacing w:line="300" w:lineRule="exact"/>
                    <w:jc w:val="center"/>
                    <w:rPr>
                      <w:szCs w:val="21"/>
                    </w:rPr>
                  </w:pPr>
                </w:p>
              </w:tc>
              <w:tc>
                <w:tcPr>
                  <w:tcW w:w="1155" w:type="pct"/>
                  <w:vMerge w:val="continue"/>
                  <w:tcBorders>
                    <w:tl2br w:val="nil"/>
                    <w:tr2bl w:val="nil"/>
                  </w:tcBorders>
                  <w:vAlign w:val="center"/>
                </w:tcPr>
                <w:p w14:paraId="22F8BDF1">
                  <w:pPr>
                    <w:spacing w:line="300" w:lineRule="exact"/>
                    <w:jc w:val="center"/>
                    <w:rPr>
                      <w:szCs w:val="21"/>
                    </w:rPr>
                  </w:pPr>
                </w:p>
              </w:tc>
            </w:tr>
          </w:tbl>
          <w:p w14:paraId="568B5161">
            <w:pPr>
              <w:spacing w:before="120" w:beforeLines="50" w:line="360" w:lineRule="auto"/>
              <w:ind w:firstLine="482" w:firstLineChars="200"/>
              <w:rPr>
                <w:b/>
                <w:sz w:val="24"/>
              </w:rPr>
            </w:pPr>
            <w:r>
              <w:rPr>
                <w:b/>
                <w:sz w:val="24"/>
              </w:rPr>
              <w:t>（2</w:t>
            </w:r>
            <w:r>
              <w:rPr>
                <w:rFonts w:hint="eastAsia"/>
                <w:b/>
                <w:sz w:val="24"/>
              </w:rPr>
              <w:t>）</w:t>
            </w:r>
            <w:r>
              <w:rPr>
                <w:b/>
                <w:sz w:val="24"/>
              </w:rPr>
              <w:t>评价标准</w:t>
            </w:r>
          </w:p>
          <w:p w14:paraId="39BDCE5B">
            <w:pPr>
              <w:spacing w:line="360" w:lineRule="auto"/>
              <w:ind w:firstLine="480" w:firstLineChars="200"/>
              <w:rPr>
                <w:sz w:val="24"/>
              </w:rPr>
            </w:pPr>
            <w:r>
              <w:rPr>
                <w:sz w:val="24"/>
                <w:lang w:val="zh-CN"/>
              </w:rPr>
              <w:t>执行《声环境质量标准》（GB3096-2008</w:t>
            </w:r>
            <w:r>
              <w:rPr>
                <w:rFonts w:hint="eastAsia"/>
                <w:sz w:val="24"/>
                <w:lang w:val="zh-CN"/>
              </w:rPr>
              <w:t>）</w:t>
            </w:r>
            <w:r>
              <w:rPr>
                <w:sz w:val="24"/>
                <w:lang w:val="zh-CN"/>
              </w:rPr>
              <w:t>2类标准</w:t>
            </w:r>
            <w:r>
              <w:rPr>
                <w:sz w:val="24"/>
              </w:rPr>
              <w:t>。</w:t>
            </w:r>
          </w:p>
          <w:p w14:paraId="41A243EA">
            <w:pPr>
              <w:spacing w:line="360" w:lineRule="auto"/>
              <w:ind w:firstLine="482" w:firstLineChars="200"/>
              <w:rPr>
                <w:b/>
                <w:sz w:val="24"/>
              </w:rPr>
            </w:pPr>
            <w:r>
              <w:rPr>
                <w:b/>
                <w:sz w:val="24"/>
              </w:rPr>
              <w:t>（3</w:t>
            </w:r>
            <w:r>
              <w:rPr>
                <w:rFonts w:hint="eastAsia"/>
                <w:b/>
                <w:sz w:val="24"/>
              </w:rPr>
              <w:t>）</w:t>
            </w:r>
            <w:r>
              <w:rPr>
                <w:b/>
                <w:sz w:val="24"/>
              </w:rPr>
              <w:t>评价结果</w:t>
            </w:r>
          </w:p>
          <w:p w14:paraId="09142D18">
            <w:pPr>
              <w:spacing w:line="360" w:lineRule="auto"/>
              <w:ind w:firstLine="480" w:firstLineChars="200"/>
              <w:rPr>
                <w:sz w:val="24"/>
              </w:rPr>
            </w:pPr>
            <w:r>
              <w:rPr>
                <w:sz w:val="24"/>
              </w:rPr>
              <w:t>声环境质量现状评价结果见</w:t>
            </w:r>
            <w:r>
              <w:rPr>
                <w:rFonts w:hint="eastAsia"/>
                <w:sz w:val="24"/>
              </w:rPr>
              <w:t>下表</w:t>
            </w:r>
            <w:r>
              <w:rPr>
                <w:sz w:val="24"/>
              </w:rPr>
              <w:t>。</w:t>
            </w:r>
          </w:p>
          <w:p w14:paraId="6612B753">
            <w:pPr>
              <w:jc w:val="center"/>
              <w:rPr>
                <w:b/>
                <w:bCs/>
                <w:szCs w:val="21"/>
              </w:rPr>
            </w:pPr>
            <w:r>
              <w:rPr>
                <w:b/>
                <w:bCs/>
                <w:szCs w:val="21"/>
              </w:rPr>
              <w:t>表3-</w:t>
            </w:r>
            <w:r>
              <w:rPr>
                <w:rFonts w:hint="eastAsia"/>
                <w:b/>
                <w:bCs/>
                <w:szCs w:val="21"/>
              </w:rPr>
              <w:t>6</w:t>
            </w:r>
            <w:r>
              <w:rPr>
                <w:b/>
                <w:bCs/>
                <w:szCs w:val="21"/>
              </w:rPr>
              <w:t xml:space="preserve">  声环境质量现状评价结果</w:t>
            </w:r>
            <w:r>
              <w:rPr>
                <w:rFonts w:hint="eastAsia"/>
                <w:b/>
                <w:bCs/>
                <w:szCs w:val="21"/>
              </w:rPr>
              <w:t>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5"/>
              <w:gridCol w:w="2008"/>
              <w:gridCol w:w="1980"/>
              <w:gridCol w:w="2012"/>
            </w:tblGrid>
            <w:tr w14:paraId="66DD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vAlign w:val="center"/>
                </w:tcPr>
                <w:p w14:paraId="770FE189">
                  <w:pPr>
                    <w:jc w:val="center"/>
                    <w:rPr>
                      <w:b/>
                      <w:bCs/>
                      <w:szCs w:val="21"/>
                    </w:rPr>
                  </w:pPr>
                  <w:r>
                    <w:rPr>
                      <w:rFonts w:hint="eastAsia"/>
                      <w:b/>
                      <w:bCs/>
                      <w:szCs w:val="21"/>
                    </w:rPr>
                    <w:t>监测日期</w:t>
                  </w:r>
                </w:p>
              </w:tc>
              <w:tc>
                <w:tcPr>
                  <w:tcW w:w="716" w:type="pct"/>
                  <w:vMerge w:val="restart"/>
                  <w:vAlign w:val="center"/>
                </w:tcPr>
                <w:p w14:paraId="374C44AC">
                  <w:pPr>
                    <w:jc w:val="center"/>
                    <w:rPr>
                      <w:b/>
                      <w:bCs/>
                      <w:szCs w:val="21"/>
                    </w:rPr>
                  </w:pPr>
                  <w:r>
                    <w:rPr>
                      <w:b/>
                      <w:bCs/>
                      <w:szCs w:val="21"/>
                    </w:rPr>
                    <w:t>编号</w:t>
                  </w:r>
                </w:p>
              </w:tc>
              <w:tc>
                <w:tcPr>
                  <w:tcW w:w="2371" w:type="pct"/>
                  <w:gridSpan w:val="2"/>
                  <w:vAlign w:val="center"/>
                </w:tcPr>
                <w:p w14:paraId="03F356BA">
                  <w:pPr>
                    <w:jc w:val="center"/>
                    <w:rPr>
                      <w:b/>
                      <w:bCs/>
                      <w:szCs w:val="21"/>
                    </w:rPr>
                  </w:pPr>
                  <w:r>
                    <w:rPr>
                      <w:b/>
                      <w:bCs/>
                      <w:szCs w:val="21"/>
                    </w:rPr>
                    <w:t>评价结果〔dB（A</w:t>
                  </w:r>
                  <w:r>
                    <w:rPr>
                      <w:rFonts w:hint="eastAsia"/>
                      <w:b/>
                      <w:bCs/>
                      <w:szCs w:val="21"/>
                    </w:rPr>
                    <w:t>）</w:t>
                  </w:r>
                  <w:r>
                    <w:rPr>
                      <w:b/>
                      <w:bCs/>
                      <w:szCs w:val="21"/>
                    </w:rPr>
                    <w:t>〕</w:t>
                  </w:r>
                </w:p>
              </w:tc>
              <w:tc>
                <w:tcPr>
                  <w:tcW w:w="1197" w:type="pct"/>
                  <w:vAlign w:val="center"/>
                </w:tcPr>
                <w:p w14:paraId="2952C1B0">
                  <w:pPr>
                    <w:jc w:val="center"/>
                    <w:rPr>
                      <w:b/>
                      <w:bCs/>
                      <w:szCs w:val="21"/>
                    </w:rPr>
                  </w:pPr>
                  <w:r>
                    <w:rPr>
                      <w:b/>
                      <w:bCs/>
                      <w:szCs w:val="21"/>
                    </w:rPr>
                    <w:t>标准限值〔dB（A</w:t>
                  </w:r>
                  <w:r>
                    <w:rPr>
                      <w:rFonts w:hint="eastAsia"/>
                      <w:b/>
                      <w:bCs/>
                      <w:szCs w:val="21"/>
                    </w:rPr>
                    <w:t>）</w:t>
                  </w:r>
                  <w:r>
                    <w:rPr>
                      <w:b/>
                      <w:bCs/>
                      <w:szCs w:val="21"/>
                    </w:rPr>
                    <w:t>〕</w:t>
                  </w:r>
                </w:p>
              </w:tc>
            </w:tr>
            <w:tr w14:paraId="22B0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51C1BFB6">
                  <w:pPr>
                    <w:jc w:val="center"/>
                    <w:rPr>
                      <w:b/>
                      <w:bCs/>
                      <w:szCs w:val="21"/>
                    </w:rPr>
                  </w:pPr>
                </w:p>
              </w:tc>
              <w:tc>
                <w:tcPr>
                  <w:tcW w:w="716" w:type="pct"/>
                  <w:vMerge w:val="continue"/>
                  <w:vAlign w:val="center"/>
                </w:tcPr>
                <w:p w14:paraId="10E47745">
                  <w:pPr>
                    <w:jc w:val="center"/>
                    <w:rPr>
                      <w:b/>
                      <w:bCs/>
                      <w:szCs w:val="21"/>
                    </w:rPr>
                  </w:pPr>
                </w:p>
              </w:tc>
              <w:tc>
                <w:tcPr>
                  <w:tcW w:w="1194" w:type="pct"/>
                  <w:vAlign w:val="center"/>
                </w:tcPr>
                <w:p w14:paraId="27C056DA">
                  <w:pPr>
                    <w:jc w:val="center"/>
                    <w:rPr>
                      <w:b/>
                      <w:bCs/>
                      <w:szCs w:val="21"/>
                    </w:rPr>
                  </w:pPr>
                  <w:r>
                    <w:rPr>
                      <w:b/>
                      <w:bCs/>
                      <w:szCs w:val="21"/>
                    </w:rPr>
                    <w:t>昼间</w:t>
                  </w:r>
                </w:p>
              </w:tc>
              <w:tc>
                <w:tcPr>
                  <w:tcW w:w="1176" w:type="pct"/>
                  <w:vAlign w:val="center"/>
                </w:tcPr>
                <w:p w14:paraId="18D0B94C">
                  <w:pPr>
                    <w:jc w:val="center"/>
                    <w:rPr>
                      <w:b/>
                      <w:bCs/>
                      <w:szCs w:val="21"/>
                    </w:rPr>
                  </w:pPr>
                  <w:r>
                    <w:rPr>
                      <w:b/>
                      <w:bCs/>
                      <w:szCs w:val="21"/>
                    </w:rPr>
                    <w:t>结果</w:t>
                  </w:r>
                </w:p>
              </w:tc>
              <w:tc>
                <w:tcPr>
                  <w:tcW w:w="1197" w:type="pct"/>
                  <w:vAlign w:val="center"/>
                </w:tcPr>
                <w:p w14:paraId="1A6152C2">
                  <w:pPr>
                    <w:jc w:val="center"/>
                    <w:rPr>
                      <w:b/>
                      <w:bCs/>
                      <w:szCs w:val="21"/>
                    </w:rPr>
                  </w:pPr>
                  <w:r>
                    <w:rPr>
                      <w:b/>
                      <w:bCs/>
                      <w:szCs w:val="21"/>
                    </w:rPr>
                    <w:t>昼间</w:t>
                  </w:r>
                </w:p>
              </w:tc>
            </w:tr>
            <w:tr w14:paraId="33D9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vAlign w:val="center"/>
                </w:tcPr>
                <w:p w14:paraId="6A4A586A">
                  <w:pPr>
                    <w:spacing w:line="300" w:lineRule="exact"/>
                    <w:jc w:val="center"/>
                    <w:rPr>
                      <w:szCs w:val="21"/>
                    </w:rPr>
                  </w:pPr>
                  <w:r>
                    <w:rPr>
                      <w:rFonts w:hint="eastAsia"/>
                      <w:szCs w:val="21"/>
                    </w:rPr>
                    <w:t>2025.4.30</w:t>
                  </w:r>
                </w:p>
              </w:tc>
              <w:tc>
                <w:tcPr>
                  <w:tcW w:w="716" w:type="pct"/>
                  <w:vAlign w:val="center"/>
                </w:tcPr>
                <w:p w14:paraId="412ECA14">
                  <w:pPr>
                    <w:spacing w:line="300" w:lineRule="exact"/>
                    <w:jc w:val="center"/>
                    <w:rPr>
                      <w:szCs w:val="21"/>
                    </w:rPr>
                  </w:pPr>
                  <w:r>
                    <w:rPr>
                      <w:rFonts w:hint="eastAsia"/>
                      <w:szCs w:val="21"/>
                    </w:rPr>
                    <w:t>1#</w:t>
                  </w:r>
                </w:p>
              </w:tc>
              <w:tc>
                <w:tcPr>
                  <w:tcW w:w="1194" w:type="pct"/>
                  <w:vAlign w:val="center"/>
                </w:tcPr>
                <w:p w14:paraId="3B0B2680">
                  <w:pPr>
                    <w:widowControl/>
                    <w:jc w:val="center"/>
                    <w:textAlignment w:val="center"/>
                    <w:rPr>
                      <w:szCs w:val="21"/>
                    </w:rPr>
                  </w:pPr>
                  <w:r>
                    <w:rPr>
                      <w:rFonts w:hint="eastAsia"/>
                      <w:szCs w:val="21"/>
                    </w:rPr>
                    <w:t>53</w:t>
                  </w:r>
                </w:p>
              </w:tc>
              <w:tc>
                <w:tcPr>
                  <w:tcW w:w="1176" w:type="pct"/>
                  <w:vAlign w:val="center"/>
                </w:tcPr>
                <w:p w14:paraId="35D0D00C">
                  <w:pPr>
                    <w:jc w:val="center"/>
                    <w:rPr>
                      <w:szCs w:val="21"/>
                    </w:rPr>
                  </w:pPr>
                  <w:r>
                    <w:rPr>
                      <w:szCs w:val="21"/>
                    </w:rPr>
                    <w:t>达标</w:t>
                  </w:r>
                </w:p>
              </w:tc>
              <w:tc>
                <w:tcPr>
                  <w:tcW w:w="1197" w:type="pct"/>
                  <w:vMerge w:val="restart"/>
                  <w:vAlign w:val="center"/>
                </w:tcPr>
                <w:p w14:paraId="26CA2424">
                  <w:pPr>
                    <w:jc w:val="center"/>
                    <w:rPr>
                      <w:szCs w:val="21"/>
                    </w:rPr>
                  </w:pPr>
                  <w:r>
                    <w:rPr>
                      <w:szCs w:val="21"/>
                    </w:rPr>
                    <w:t>60</w:t>
                  </w:r>
                </w:p>
              </w:tc>
            </w:tr>
            <w:tr w14:paraId="09F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33601245">
                  <w:pPr>
                    <w:spacing w:line="300" w:lineRule="exact"/>
                    <w:jc w:val="center"/>
                    <w:rPr>
                      <w:szCs w:val="21"/>
                    </w:rPr>
                  </w:pPr>
                </w:p>
              </w:tc>
              <w:tc>
                <w:tcPr>
                  <w:tcW w:w="716" w:type="pct"/>
                  <w:vAlign w:val="center"/>
                </w:tcPr>
                <w:p w14:paraId="07A9A1BC">
                  <w:pPr>
                    <w:spacing w:line="300" w:lineRule="exact"/>
                    <w:jc w:val="center"/>
                    <w:rPr>
                      <w:szCs w:val="21"/>
                    </w:rPr>
                  </w:pPr>
                  <w:r>
                    <w:rPr>
                      <w:rFonts w:hint="eastAsia"/>
                      <w:szCs w:val="21"/>
                    </w:rPr>
                    <w:t>2#</w:t>
                  </w:r>
                </w:p>
              </w:tc>
              <w:tc>
                <w:tcPr>
                  <w:tcW w:w="1194" w:type="pct"/>
                  <w:vAlign w:val="center"/>
                </w:tcPr>
                <w:p w14:paraId="11AE5369">
                  <w:pPr>
                    <w:widowControl/>
                    <w:jc w:val="center"/>
                    <w:textAlignment w:val="center"/>
                    <w:rPr>
                      <w:szCs w:val="21"/>
                    </w:rPr>
                  </w:pPr>
                  <w:r>
                    <w:rPr>
                      <w:rFonts w:hint="eastAsia"/>
                      <w:szCs w:val="21"/>
                    </w:rPr>
                    <w:t>52</w:t>
                  </w:r>
                </w:p>
              </w:tc>
              <w:tc>
                <w:tcPr>
                  <w:tcW w:w="1176" w:type="pct"/>
                  <w:vAlign w:val="center"/>
                </w:tcPr>
                <w:p w14:paraId="67C299C4">
                  <w:pPr>
                    <w:jc w:val="center"/>
                    <w:rPr>
                      <w:szCs w:val="21"/>
                    </w:rPr>
                  </w:pPr>
                  <w:r>
                    <w:rPr>
                      <w:szCs w:val="21"/>
                    </w:rPr>
                    <w:t>达标</w:t>
                  </w:r>
                </w:p>
              </w:tc>
              <w:tc>
                <w:tcPr>
                  <w:tcW w:w="1197" w:type="pct"/>
                  <w:vMerge w:val="continue"/>
                  <w:vAlign w:val="center"/>
                </w:tcPr>
                <w:p w14:paraId="2F91DE01">
                  <w:pPr>
                    <w:jc w:val="center"/>
                    <w:rPr>
                      <w:szCs w:val="21"/>
                    </w:rPr>
                  </w:pPr>
                </w:p>
              </w:tc>
            </w:tr>
            <w:tr w14:paraId="7C09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06388D3A">
                  <w:pPr>
                    <w:spacing w:line="300" w:lineRule="exact"/>
                    <w:jc w:val="center"/>
                    <w:rPr>
                      <w:szCs w:val="21"/>
                    </w:rPr>
                  </w:pPr>
                </w:p>
              </w:tc>
              <w:tc>
                <w:tcPr>
                  <w:tcW w:w="716" w:type="pct"/>
                  <w:vAlign w:val="center"/>
                </w:tcPr>
                <w:p w14:paraId="428E9501">
                  <w:pPr>
                    <w:spacing w:line="300" w:lineRule="exact"/>
                    <w:jc w:val="center"/>
                    <w:rPr>
                      <w:szCs w:val="21"/>
                    </w:rPr>
                  </w:pPr>
                  <w:r>
                    <w:rPr>
                      <w:rFonts w:hint="eastAsia"/>
                      <w:szCs w:val="21"/>
                    </w:rPr>
                    <w:t>3#</w:t>
                  </w:r>
                </w:p>
              </w:tc>
              <w:tc>
                <w:tcPr>
                  <w:tcW w:w="1194" w:type="pct"/>
                  <w:vAlign w:val="center"/>
                </w:tcPr>
                <w:p w14:paraId="72F72446">
                  <w:pPr>
                    <w:widowControl/>
                    <w:jc w:val="center"/>
                    <w:textAlignment w:val="center"/>
                    <w:rPr>
                      <w:szCs w:val="21"/>
                    </w:rPr>
                  </w:pPr>
                  <w:r>
                    <w:rPr>
                      <w:rFonts w:hint="eastAsia"/>
                      <w:szCs w:val="21"/>
                    </w:rPr>
                    <w:t>54</w:t>
                  </w:r>
                </w:p>
              </w:tc>
              <w:tc>
                <w:tcPr>
                  <w:tcW w:w="1176" w:type="pct"/>
                  <w:vAlign w:val="center"/>
                </w:tcPr>
                <w:p w14:paraId="0E377443">
                  <w:pPr>
                    <w:jc w:val="center"/>
                    <w:rPr>
                      <w:szCs w:val="21"/>
                    </w:rPr>
                  </w:pPr>
                  <w:r>
                    <w:rPr>
                      <w:szCs w:val="21"/>
                    </w:rPr>
                    <w:t>达标</w:t>
                  </w:r>
                </w:p>
              </w:tc>
              <w:tc>
                <w:tcPr>
                  <w:tcW w:w="1197" w:type="pct"/>
                  <w:vMerge w:val="continue"/>
                  <w:vAlign w:val="center"/>
                </w:tcPr>
                <w:p w14:paraId="0073F84C">
                  <w:pPr>
                    <w:jc w:val="center"/>
                    <w:rPr>
                      <w:szCs w:val="21"/>
                    </w:rPr>
                  </w:pPr>
                </w:p>
              </w:tc>
            </w:tr>
            <w:tr w14:paraId="0162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08FB3E2D">
                  <w:pPr>
                    <w:spacing w:line="300" w:lineRule="exact"/>
                    <w:jc w:val="center"/>
                    <w:rPr>
                      <w:szCs w:val="21"/>
                    </w:rPr>
                  </w:pPr>
                </w:p>
              </w:tc>
              <w:tc>
                <w:tcPr>
                  <w:tcW w:w="716" w:type="pct"/>
                  <w:vAlign w:val="center"/>
                </w:tcPr>
                <w:p w14:paraId="298CF521">
                  <w:pPr>
                    <w:spacing w:line="300" w:lineRule="exact"/>
                    <w:jc w:val="center"/>
                    <w:rPr>
                      <w:szCs w:val="21"/>
                    </w:rPr>
                  </w:pPr>
                  <w:r>
                    <w:rPr>
                      <w:rFonts w:hint="eastAsia"/>
                      <w:szCs w:val="21"/>
                    </w:rPr>
                    <w:t>4#</w:t>
                  </w:r>
                </w:p>
              </w:tc>
              <w:tc>
                <w:tcPr>
                  <w:tcW w:w="1194" w:type="pct"/>
                  <w:vAlign w:val="center"/>
                </w:tcPr>
                <w:p w14:paraId="1FA4AFFB">
                  <w:pPr>
                    <w:widowControl/>
                    <w:jc w:val="center"/>
                    <w:textAlignment w:val="center"/>
                    <w:rPr>
                      <w:szCs w:val="21"/>
                    </w:rPr>
                  </w:pPr>
                  <w:r>
                    <w:rPr>
                      <w:rFonts w:hint="eastAsia"/>
                      <w:szCs w:val="21"/>
                    </w:rPr>
                    <w:t>53</w:t>
                  </w:r>
                </w:p>
              </w:tc>
              <w:tc>
                <w:tcPr>
                  <w:tcW w:w="1176" w:type="pct"/>
                  <w:vAlign w:val="center"/>
                </w:tcPr>
                <w:p w14:paraId="0C00047B">
                  <w:pPr>
                    <w:jc w:val="center"/>
                    <w:rPr>
                      <w:szCs w:val="21"/>
                    </w:rPr>
                  </w:pPr>
                  <w:r>
                    <w:rPr>
                      <w:szCs w:val="21"/>
                    </w:rPr>
                    <w:t>达标</w:t>
                  </w:r>
                </w:p>
              </w:tc>
              <w:tc>
                <w:tcPr>
                  <w:tcW w:w="1197" w:type="pct"/>
                  <w:vMerge w:val="continue"/>
                  <w:vAlign w:val="center"/>
                </w:tcPr>
                <w:p w14:paraId="77B8A36B">
                  <w:pPr>
                    <w:jc w:val="center"/>
                    <w:rPr>
                      <w:szCs w:val="21"/>
                    </w:rPr>
                  </w:pPr>
                </w:p>
              </w:tc>
            </w:tr>
            <w:tr w14:paraId="678D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vAlign w:val="center"/>
                </w:tcPr>
                <w:p w14:paraId="30E4EECA">
                  <w:pPr>
                    <w:spacing w:line="300" w:lineRule="exact"/>
                    <w:jc w:val="center"/>
                    <w:rPr>
                      <w:szCs w:val="21"/>
                    </w:rPr>
                  </w:pPr>
                  <w:r>
                    <w:rPr>
                      <w:rFonts w:hint="eastAsia"/>
                      <w:szCs w:val="21"/>
                    </w:rPr>
                    <w:t>2025.5.1</w:t>
                  </w:r>
                </w:p>
              </w:tc>
              <w:tc>
                <w:tcPr>
                  <w:tcW w:w="716" w:type="pct"/>
                  <w:shd w:val="clear" w:color="auto" w:fill="auto"/>
                  <w:vAlign w:val="center"/>
                </w:tcPr>
                <w:p w14:paraId="59A98629">
                  <w:pPr>
                    <w:spacing w:line="300" w:lineRule="exact"/>
                    <w:jc w:val="center"/>
                    <w:rPr>
                      <w:szCs w:val="21"/>
                    </w:rPr>
                  </w:pPr>
                  <w:r>
                    <w:rPr>
                      <w:rFonts w:hint="eastAsia"/>
                      <w:szCs w:val="21"/>
                    </w:rPr>
                    <w:t>1#</w:t>
                  </w:r>
                </w:p>
              </w:tc>
              <w:tc>
                <w:tcPr>
                  <w:tcW w:w="1194" w:type="pct"/>
                  <w:vAlign w:val="center"/>
                </w:tcPr>
                <w:p w14:paraId="578CC2E0">
                  <w:pPr>
                    <w:widowControl/>
                    <w:jc w:val="center"/>
                    <w:textAlignment w:val="center"/>
                    <w:rPr>
                      <w:szCs w:val="21"/>
                    </w:rPr>
                  </w:pPr>
                  <w:r>
                    <w:rPr>
                      <w:rFonts w:hint="eastAsia"/>
                      <w:szCs w:val="21"/>
                    </w:rPr>
                    <w:t>50</w:t>
                  </w:r>
                </w:p>
              </w:tc>
              <w:tc>
                <w:tcPr>
                  <w:tcW w:w="1176" w:type="pct"/>
                  <w:vAlign w:val="center"/>
                </w:tcPr>
                <w:p w14:paraId="4E1CE3CA">
                  <w:pPr>
                    <w:jc w:val="center"/>
                    <w:rPr>
                      <w:szCs w:val="21"/>
                    </w:rPr>
                  </w:pPr>
                  <w:r>
                    <w:rPr>
                      <w:szCs w:val="21"/>
                    </w:rPr>
                    <w:t>达标</w:t>
                  </w:r>
                </w:p>
              </w:tc>
              <w:tc>
                <w:tcPr>
                  <w:tcW w:w="1197" w:type="pct"/>
                  <w:vMerge w:val="continue"/>
                  <w:vAlign w:val="center"/>
                </w:tcPr>
                <w:p w14:paraId="455BA31C">
                  <w:pPr>
                    <w:jc w:val="center"/>
                    <w:rPr>
                      <w:szCs w:val="21"/>
                    </w:rPr>
                  </w:pPr>
                </w:p>
              </w:tc>
            </w:tr>
            <w:tr w14:paraId="681D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317BB9D3">
                  <w:pPr>
                    <w:spacing w:line="300" w:lineRule="exact"/>
                    <w:jc w:val="center"/>
                    <w:rPr>
                      <w:szCs w:val="21"/>
                    </w:rPr>
                  </w:pPr>
                </w:p>
              </w:tc>
              <w:tc>
                <w:tcPr>
                  <w:tcW w:w="716" w:type="pct"/>
                  <w:shd w:val="clear" w:color="auto" w:fill="auto"/>
                  <w:vAlign w:val="center"/>
                </w:tcPr>
                <w:p w14:paraId="72949596">
                  <w:pPr>
                    <w:spacing w:line="300" w:lineRule="exact"/>
                    <w:jc w:val="center"/>
                    <w:rPr>
                      <w:szCs w:val="21"/>
                    </w:rPr>
                  </w:pPr>
                  <w:r>
                    <w:rPr>
                      <w:rFonts w:hint="eastAsia"/>
                      <w:szCs w:val="21"/>
                    </w:rPr>
                    <w:t>2#</w:t>
                  </w:r>
                </w:p>
              </w:tc>
              <w:tc>
                <w:tcPr>
                  <w:tcW w:w="1194" w:type="pct"/>
                  <w:vAlign w:val="center"/>
                </w:tcPr>
                <w:p w14:paraId="493B95B3">
                  <w:pPr>
                    <w:widowControl/>
                    <w:jc w:val="center"/>
                    <w:textAlignment w:val="center"/>
                    <w:rPr>
                      <w:szCs w:val="21"/>
                    </w:rPr>
                  </w:pPr>
                  <w:r>
                    <w:rPr>
                      <w:rFonts w:hint="eastAsia"/>
                      <w:szCs w:val="21"/>
                    </w:rPr>
                    <w:t>52</w:t>
                  </w:r>
                </w:p>
              </w:tc>
              <w:tc>
                <w:tcPr>
                  <w:tcW w:w="1176" w:type="pct"/>
                  <w:vAlign w:val="center"/>
                </w:tcPr>
                <w:p w14:paraId="0DEAD7C3">
                  <w:pPr>
                    <w:jc w:val="center"/>
                    <w:rPr>
                      <w:szCs w:val="21"/>
                    </w:rPr>
                  </w:pPr>
                  <w:r>
                    <w:rPr>
                      <w:szCs w:val="21"/>
                    </w:rPr>
                    <w:t>达标</w:t>
                  </w:r>
                </w:p>
              </w:tc>
              <w:tc>
                <w:tcPr>
                  <w:tcW w:w="1197" w:type="pct"/>
                  <w:vMerge w:val="continue"/>
                  <w:vAlign w:val="center"/>
                </w:tcPr>
                <w:p w14:paraId="0563FE41">
                  <w:pPr>
                    <w:jc w:val="center"/>
                    <w:rPr>
                      <w:szCs w:val="21"/>
                    </w:rPr>
                  </w:pPr>
                </w:p>
              </w:tc>
            </w:tr>
            <w:tr w14:paraId="507E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55EC0BB3">
                  <w:pPr>
                    <w:spacing w:line="300" w:lineRule="exact"/>
                    <w:jc w:val="center"/>
                    <w:rPr>
                      <w:szCs w:val="21"/>
                    </w:rPr>
                  </w:pPr>
                </w:p>
              </w:tc>
              <w:tc>
                <w:tcPr>
                  <w:tcW w:w="716" w:type="pct"/>
                  <w:shd w:val="clear" w:color="auto" w:fill="auto"/>
                  <w:vAlign w:val="center"/>
                </w:tcPr>
                <w:p w14:paraId="5B89BFA5">
                  <w:pPr>
                    <w:spacing w:line="300" w:lineRule="exact"/>
                    <w:jc w:val="center"/>
                    <w:rPr>
                      <w:szCs w:val="21"/>
                    </w:rPr>
                  </w:pPr>
                  <w:r>
                    <w:rPr>
                      <w:rFonts w:hint="eastAsia"/>
                      <w:szCs w:val="21"/>
                    </w:rPr>
                    <w:t>3#</w:t>
                  </w:r>
                </w:p>
              </w:tc>
              <w:tc>
                <w:tcPr>
                  <w:tcW w:w="1194" w:type="pct"/>
                  <w:vAlign w:val="center"/>
                </w:tcPr>
                <w:p w14:paraId="4E8A132D">
                  <w:pPr>
                    <w:widowControl/>
                    <w:jc w:val="center"/>
                    <w:textAlignment w:val="center"/>
                    <w:rPr>
                      <w:szCs w:val="21"/>
                    </w:rPr>
                  </w:pPr>
                  <w:r>
                    <w:rPr>
                      <w:rFonts w:hint="eastAsia"/>
                      <w:szCs w:val="21"/>
                    </w:rPr>
                    <w:t>52</w:t>
                  </w:r>
                </w:p>
              </w:tc>
              <w:tc>
                <w:tcPr>
                  <w:tcW w:w="1176" w:type="pct"/>
                  <w:vAlign w:val="center"/>
                </w:tcPr>
                <w:p w14:paraId="220E9751">
                  <w:pPr>
                    <w:jc w:val="center"/>
                    <w:rPr>
                      <w:szCs w:val="21"/>
                    </w:rPr>
                  </w:pPr>
                  <w:r>
                    <w:rPr>
                      <w:szCs w:val="21"/>
                    </w:rPr>
                    <w:t>达标</w:t>
                  </w:r>
                </w:p>
              </w:tc>
              <w:tc>
                <w:tcPr>
                  <w:tcW w:w="1197" w:type="pct"/>
                  <w:vMerge w:val="continue"/>
                  <w:vAlign w:val="center"/>
                </w:tcPr>
                <w:p w14:paraId="24CFBC78">
                  <w:pPr>
                    <w:jc w:val="center"/>
                    <w:rPr>
                      <w:szCs w:val="21"/>
                    </w:rPr>
                  </w:pPr>
                </w:p>
              </w:tc>
            </w:tr>
            <w:tr w14:paraId="4102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14:paraId="0E6018D5">
                  <w:pPr>
                    <w:spacing w:line="300" w:lineRule="exact"/>
                    <w:jc w:val="center"/>
                    <w:rPr>
                      <w:szCs w:val="21"/>
                    </w:rPr>
                  </w:pPr>
                </w:p>
              </w:tc>
              <w:tc>
                <w:tcPr>
                  <w:tcW w:w="716" w:type="pct"/>
                  <w:shd w:val="clear" w:color="auto" w:fill="auto"/>
                  <w:vAlign w:val="center"/>
                </w:tcPr>
                <w:p w14:paraId="17A559B4">
                  <w:pPr>
                    <w:spacing w:line="300" w:lineRule="exact"/>
                    <w:jc w:val="center"/>
                    <w:rPr>
                      <w:szCs w:val="21"/>
                    </w:rPr>
                  </w:pPr>
                  <w:r>
                    <w:rPr>
                      <w:rFonts w:hint="eastAsia"/>
                      <w:szCs w:val="21"/>
                    </w:rPr>
                    <w:t>4#</w:t>
                  </w:r>
                </w:p>
              </w:tc>
              <w:tc>
                <w:tcPr>
                  <w:tcW w:w="1194" w:type="pct"/>
                  <w:vAlign w:val="center"/>
                </w:tcPr>
                <w:p w14:paraId="3D6F1C51">
                  <w:pPr>
                    <w:widowControl/>
                    <w:jc w:val="center"/>
                    <w:textAlignment w:val="center"/>
                    <w:rPr>
                      <w:szCs w:val="21"/>
                    </w:rPr>
                  </w:pPr>
                  <w:r>
                    <w:rPr>
                      <w:rFonts w:hint="eastAsia"/>
                      <w:szCs w:val="21"/>
                    </w:rPr>
                    <w:t>50</w:t>
                  </w:r>
                </w:p>
              </w:tc>
              <w:tc>
                <w:tcPr>
                  <w:tcW w:w="1176" w:type="pct"/>
                  <w:vAlign w:val="center"/>
                </w:tcPr>
                <w:p w14:paraId="6A9E25AA">
                  <w:pPr>
                    <w:jc w:val="center"/>
                    <w:rPr>
                      <w:szCs w:val="21"/>
                    </w:rPr>
                  </w:pPr>
                  <w:r>
                    <w:rPr>
                      <w:szCs w:val="21"/>
                    </w:rPr>
                    <w:t>达标</w:t>
                  </w:r>
                </w:p>
              </w:tc>
              <w:tc>
                <w:tcPr>
                  <w:tcW w:w="1197" w:type="pct"/>
                  <w:vMerge w:val="continue"/>
                  <w:vAlign w:val="center"/>
                </w:tcPr>
                <w:p w14:paraId="5017ED95">
                  <w:pPr>
                    <w:jc w:val="center"/>
                    <w:rPr>
                      <w:szCs w:val="21"/>
                    </w:rPr>
                  </w:pPr>
                </w:p>
              </w:tc>
            </w:tr>
          </w:tbl>
          <w:p w14:paraId="103E2033">
            <w:pPr>
              <w:widowControl/>
              <w:spacing w:before="120" w:beforeLines="50" w:line="360" w:lineRule="auto"/>
              <w:ind w:firstLine="480" w:firstLineChars="200"/>
              <w:rPr>
                <w:rFonts w:hint="eastAsia" w:ascii="宋体" w:hAnsi="宋体" w:cs="宋体"/>
                <w:color w:val="000000"/>
                <w:kern w:val="0"/>
                <w:sz w:val="24"/>
                <w:lang w:bidi="ar"/>
              </w:rPr>
            </w:pPr>
            <w:r>
              <w:rPr>
                <w:sz w:val="24"/>
              </w:rPr>
              <w:t>结果表明，现状监测期间，</w:t>
            </w:r>
            <w:r>
              <w:rPr>
                <w:rFonts w:hint="eastAsia"/>
                <w:sz w:val="24"/>
              </w:rPr>
              <w:t>项目所在区域昼间噪声监测值均满足《声环境质量标准》（GB3096-2008）2类区标准要求，区域声环境质量良好。</w:t>
            </w:r>
          </w:p>
          <w:p w14:paraId="3A65F981">
            <w:pPr>
              <w:widowControl/>
              <w:spacing w:line="360" w:lineRule="auto"/>
              <w:ind w:left="481" w:leftChars="229"/>
              <w:rPr>
                <w:rFonts w:hint="eastAsia" w:ascii="宋体" w:hAnsi="宋体" w:cs="宋体"/>
                <w:b/>
                <w:bCs/>
                <w:color w:val="000000"/>
                <w:kern w:val="0"/>
                <w:sz w:val="24"/>
                <w:lang w:bidi="ar"/>
              </w:rPr>
            </w:pPr>
            <w:r>
              <w:rPr>
                <w:rFonts w:hint="eastAsia" w:ascii="宋体" w:hAnsi="宋体" w:cs="宋体"/>
                <w:b/>
                <w:bCs/>
                <w:color w:val="000000"/>
                <w:kern w:val="0"/>
                <w:sz w:val="24"/>
                <w:lang w:bidi="ar"/>
              </w:rPr>
              <w:t>五、地下水质量现状及评价</w:t>
            </w:r>
          </w:p>
          <w:p w14:paraId="75218D72">
            <w:pPr>
              <w:widowControl/>
              <w:spacing w:line="360" w:lineRule="auto"/>
              <w:ind w:firstLine="480" w:firstLineChars="200"/>
              <w:jc w:val="left"/>
              <w:rPr>
                <w:sz w:val="24"/>
              </w:rPr>
            </w:pPr>
            <w:r>
              <w:rPr>
                <w:color w:val="000000"/>
                <w:kern w:val="0"/>
                <w:sz w:val="24"/>
                <w:lang w:bidi="ar"/>
              </w:rPr>
              <w:t>根据《环境影响评价技术导则 地下水环境》（HJ610-2016</w:t>
            </w:r>
            <w:r>
              <w:rPr>
                <w:rFonts w:hint="eastAsia"/>
                <w:color w:val="000000"/>
                <w:kern w:val="0"/>
                <w:sz w:val="24"/>
                <w:lang w:bidi="ar"/>
              </w:rPr>
              <w:t>）</w:t>
            </w:r>
            <w:r>
              <w:rPr>
                <w:color w:val="000000"/>
                <w:kern w:val="0"/>
                <w:sz w:val="24"/>
                <w:lang w:bidi="ar"/>
              </w:rPr>
              <w:t>中“4.1 根据建设项目对地下水环境影响的程度，结合《建设项目环境影响评价分类管理名录》，将建设项目分为四类，详见附录 A。Ⅰ类、Ⅱ类、Ⅲ类建设项目的地下水环境影响评价应执行本标准，Ⅳ类建设项目不开展地下水环境影响评价。”以及附录 A“地下水环境影响评价行业分类表”，本项目属于Ⅳ类项目（V 社会事业与服务业 1</w:t>
            </w:r>
            <w:r>
              <w:rPr>
                <w:rFonts w:hint="eastAsia"/>
                <w:color w:val="000000"/>
                <w:kern w:val="0"/>
                <w:sz w:val="24"/>
                <w:lang w:bidi="ar"/>
              </w:rPr>
              <w:t>57</w:t>
            </w:r>
            <w:r>
              <w:rPr>
                <w:color w:val="000000"/>
                <w:kern w:val="0"/>
                <w:sz w:val="24"/>
                <w:lang w:bidi="ar"/>
              </w:rPr>
              <w:t>、</w:t>
            </w:r>
            <w:r>
              <w:rPr>
                <w:rFonts w:hint="eastAsia"/>
                <w:color w:val="000000"/>
                <w:kern w:val="0"/>
                <w:sz w:val="24"/>
                <w:lang w:bidi="ar"/>
              </w:rPr>
              <w:t>学校、幼儿园、托儿所</w:t>
            </w:r>
            <w:r>
              <w:rPr>
                <w:color w:val="000000"/>
                <w:kern w:val="0"/>
                <w:sz w:val="24"/>
                <w:lang w:bidi="ar"/>
              </w:rPr>
              <w:t>中报告表类别</w:t>
            </w:r>
            <w:r>
              <w:rPr>
                <w:rFonts w:hint="eastAsia"/>
                <w:color w:val="000000"/>
                <w:kern w:val="0"/>
                <w:sz w:val="24"/>
                <w:lang w:bidi="ar"/>
              </w:rPr>
              <w:t>；A水利5、河湖整治工程中报告表类别）</w:t>
            </w:r>
            <w:r>
              <w:rPr>
                <w:color w:val="000000"/>
                <w:kern w:val="0"/>
                <w:sz w:val="24"/>
                <w:lang w:bidi="ar"/>
              </w:rPr>
              <w:t>，因此，根据《环境影响评价技术导则 地下水环境》（HJ 610-2016</w:t>
            </w:r>
            <w:r>
              <w:rPr>
                <w:rFonts w:hint="eastAsia"/>
                <w:color w:val="000000"/>
                <w:kern w:val="0"/>
                <w:sz w:val="24"/>
                <w:lang w:bidi="ar"/>
              </w:rPr>
              <w:t>）</w:t>
            </w:r>
            <w:r>
              <w:rPr>
                <w:color w:val="000000"/>
                <w:kern w:val="0"/>
                <w:sz w:val="24"/>
                <w:lang w:bidi="ar"/>
              </w:rPr>
              <w:t>，本项目不需进行地下水环境影响评价，本次评价只提出防渗要求。</w:t>
            </w:r>
          </w:p>
          <w:p w14:paraId="233C4879">
            <w:pPr>
              <w:widowControl/>
              <w:spacing w:line="360" w:lineRule="auto"/>
              <w:ind w:left="481" w:leftChars="229"/>
              <w:rPr>
                <w:rFonts w:hint="eastAsia" w:ascii="宋体" w:hAnsi="宋体" w:cs="宋体"/>
                <w:b/>
                <w:bCs/>
                <w:color w:val="000000"/>
                <w:kern w:val="0"/>
                <w:sz w:val="24"/>
                <w:lang w:bidi="ar"/>
              </w:rPr>
            </w:pPr>
            <w:r>
              <w:rPr>
                <w:rFonts w:hint="eastAsia" w:ascii="宋体" w:hAnsi="宋体" w:cs="宋体"/>
                <w:b/>
                <w:bCs/>
                <w:color w:val="000000"/>
                <w:kern w:val="0"/>
                <w:sz w:val="24"/>
                <w:lang w:bidi="ar"/>
              </w:rPr>
              <w:t>六、土壤质量现状及评价</w:t>
            </w:r>
          </w:p>
          <w:p w14:paraId="5AB51FC0">
            <w:pPr>
              <w:widowControl/>
              <w:spacing w:line="360" w:lineRule="auto"/>
              <w:ind w:firstLine="480" w:firstLineChars="200"/>
              <w:jc w:val="left"/>
              <w:rPr>
                <w:sz w:val="24"/>
              </w:rPr>
            </w:pPr>
            <w:r>
              <w:rPr>
                <w:rFonts w:hint="eastAsia"/>
                <w:sz w:val="24"/>
              </w:rPr>
              <w:t>本项目为生活垃圾转运站建设项目，根据《环境影响评价技术导则</w:t>
            </w:r>
            <w:r>
              <w:rPr>
                <w:rFonts w:hint="eastAsia"/>
                <w:sz w:val="24"/>
                <w:lang w:eastAsia="zh-CN"/>
              </w:rPr>
              <w:t>－</w:t>
            </w:r>
            <w:r>
              <w:rPr>
                <w:rFonts w:hint="eastAsia"/>
                <w:sz w:val="24"/>
              </w:rPr>
              <w:t>土壤环境》</w:t>
            </w:r>
          </w:p>
          <w:p w14:paraId="718FE1C3">
            <w:pPr>
              <w:widowControl/>
              <w:spacing w:line="360" w:lineRule="auto"/>
              <w:jc w:val="left"/>
              <w:rPr>
                <w:sz w:val="24"/>
              </w:rPr>
            </w:pPr>
            <w:r>
              <w:rPr>
                <w:rFonts w:hint="eastAsia"/>
                <w:sz w:val="24"/>
              </w:rPr>
              <w:t>（HJ964-2018）附录 A“土壤环境影响评价项目类别”，其行业类别应划为“环境和公共设施管理业”中的“</w:t>
            </w:r>
            <w:r>
              <w:rPr>
                <w:rFonts w:hint="eastAsia"/>
                <w:sz w:val="24"/>
                <w:lang w:eastAsia="zh-CN"/>
              </w:rPr>
              <w:t>其他</w:t>
            </w:r>
            <w:r>
              <w:rPr>
                <w:rFonts w:hint="eastAsia"/>
                <w:sz w:val="24"/>
              </w:rPr>
              <w:t xml:space="preserve">”行业，为 </w:t>
            </w:r>
            <w:r>
              <w:rPr>
                <w:rFonts w:hint="eastAsia"/>
                <w:sz w:val="24"/>
                <w:lang w:eastAsia="zh-CN"/>
              </w:rPr>
              <w:t>Ⅳ</w:t>
            </w:r>
            <w:r>
              <w:rPr>
                <w:rFonts w:hint="eastAsia"/>
                <w:sz w:val="24"/>
              </w:rPr>
              <w:t xml:space="preserve"> 类建设项目，可不开展土壤环境影响评价，不进行土壤环境现状调查。</w:t>
            </w:r>
          </w:p>
          <w:p w14:paraId="37D4EDF3">
            <w:pPr>
              <w:widowControl/>
              <w:spacing w:line="360" w:lineRule="auto"/>
              <w:ind w:left="481" w:leftChars="229"/>
              <w:rPr>
                <w:rFonts w:hint="eastAsia" w:ascii="宋体" w:hAnsi="宋体" w:cs="宋体"/>
                <w:b/>
                <w:bCs/>
                <w:color w:val="000000"/>
                <w:kern w:val="0"/>
                <w:sz w:val="24"/>
                <w:lang w:bidi="ar"/>
              </w:rPr>
            </w:pPr>
            <w:r>
              <w:rPr>
                <w:rFonts w:hint="eastAsia" w:ascii="宋体" w:hAnsi="宋体" w:cs="宋体"/>
                <w:b/>
                <w:bCs/>
                <w:color w:val="000000"/>
                <w:kern w:val="0"/>
                <w:sz w:val="24"/>
                <w:lang w:bidi="ar"/>
              </w:rPr>
              <w:t>七、生态环境质量现状</w:t>
            </w:r>
          </w:p>
          <w:p w14:paraId="7EB963B5">
            <w:pPr>
              <w:widowControl/>
              <w:spacing w:line="360" w:lineRule="auto"/>
              <w:ind w:firstLine="480" w:firstLineChars="200"/>
              <w:jc w:val="left"/>
              <w:rPr>
                <w:rFonts w:hint="eastAsia" w:ascii="宋体" w:hAnsi="宋体" w:cs="宋体"/>
                <w:kern w:val="0"/>
                <w:szCs w:val="21"/>
              </w:rPr>
            </w:pPr>
            <w:r>
              <w:rPr>
                <w:rFonts w:hint="eastAsia" w:ascii="宋体" w:hAnsi="宋体" w:cs="宋体"/>
                <w:color w:val="000000"/>
                <w:kern w:val="0"/>
                <w:sz w:val="24"/>
                <w:lang w:bidi="ar"/>
              </w:rPr>
              <w:t>本项目位于达州市通川区西南职教园区，规划用地性质属于</w:t>
            </w:r>
            <w:r>
              <w:rPr>
                <w:color w:val="000000"/>
                <w:kern w:val="0"/>
                <w:sz w:val="24"/>
                <w:lang w:bidi="ar"/>
              </w:rPr>
              <w:t>“</w:t>
            </w:r>
            <w:r>
              <w:rPr>
                <w:rFonts w:hint="eastAsia"/>
                <w:sz w:val="24"/>
              </w:rPr>
              <w:t>公共设施用地（环卫用地）</w:t>
            </w:r>
            <w:r>
              <w:rPr>
                <w:color w:val="000000"/>
                <w:kern w:val="0"/>
                <w:sz w:val="24"/>
                <w:lang w:bidi="ar"/>
              </w:rPr>
              <w:t>”</w:t>
            </w:r>
            <w:r>
              <w:rPr>
                <w:rFonts w:hint="eastAsia" w:ascii="宋体" w:hAnsi="宋体" w:cs="宋体"/>
                <w:color w:val="000000"/>
                <w:kern w:val="0"/>
                <w:sz w:val="24"/>
                <w:lang w:bidi="ar"/>
              </w:rPr>
              <w:t>，项目所在地块现状为水田、旱地及乔木林地，</w:t>
            </w:r>
            <w:r>
              <w:rPr>
                <w:spacing w:val="-2"/>
                <w:sz w:val="24"/>
              </w:rPr>
              <w:t>主要为</w:t>
            </w:r>
            <w:r>
              <w:rPr>
                <w:rFonts w:hint="eastAsia"/>
                <w:spacing w:val="-2"/>
                <w:sz w:val="24"/>
              </w:rPr>
              <w:t>季节性农作物</w:t>
            </w:r>
            <w:r>
              <w:rPr>
                <w:spacing w:val="-2"/>
                <w:sz w:val="24"/>
              </w:rPr>
              <w:t>。植被类型分布特点是次生植被为主，以藤刺灌丛和草坡为主，局部可见小片的次生常绿针叶林，以及麻柳树、</w:t>
            </w:r>
            <w:r>
              <w:rPr>
                <w:sz w:val="24"/>
              </w:rPr>
              <w:t>柏树、竹子</w:t>
            </w:r>
            <w:r>
              <w:rPr>
                <w:spacing w:val="-2"/>
                <w:sz w:val="24"/>
              </w:rPr>
              <w:t>等</w:t>
            </w:r>
            <w:r>
              <w:rPr>
                <w:rFonts w:hint="eastAsia"/>
                <w:spacing w:val="-2"/>
                <w:sz w:val="24"/>
              </w:rPr>
              <w:t>。动物主要为常见野生动物，</w:t>
            </w:r>
            <w:r>
              <w:rPr>
                <w:sz w:val="24"/>
              </w:rPr>
              <w:t>主要以爬行动物和鸟类为主。爬行动物有壁虎、蛇，均分布在</w:t>
            </w:r>
            <w:r>
              <w:rPr>
                <w:rFonts w:hint="eastAsia"/>
                <w:sz w:val="24"/>
              </w:rPr>
              <w:t>区域</w:t>
            </w:r>
            <w:r>
              <w:rPr>
                <w:sz w:val="24"/>
              </w:rPr>
              <w:t>灌草丛附近；鸟类有家燕、麻雀、八哥等；兽类主要为小型啮齿目鼠类，包括小家鼠、褐家鼠等。</w:t>
            </w:r>
            <w:r>
              <w:rPr>
                <w:rFonts w:hint="eastAsia" w:ascii="宋体" w:hAnsi="宋体" w:cs="宋体"/>
                <w:color w:val="000000"/>
                <w:kern w:val="0"/>
                <w:sz w:val="24"/>
                <w:lang w:bidi="ar"/>
              </w:rPr>
              <w:t>生物多样性简单。根据现场调查，本项目不涉及自然保护区、国家森林公园等重要生态敏感区，建设项目区域内不涉及国家和省重点保护珍稀名木古树，无国家重点保护的野生动植物。</w:t>
            </w:r>
          </w:p>
        </w:tc>
      </w:tr>
      <w:tr w14:paraId="6E28C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426" w:type="dxa"/>
            <w:vAlign w:val="center"/>
          </w:tcPr>
          <w:p w14:paraId="26B435F5">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6A86CEC5">
            <w:pPr>
              <w:adjustRightInd w:val="0"/>
              <w:snapToGrid w:val="0"/>
              <w:jc w:val="center"/>
              <w:rPr>
                <w:rFonts w:hint="eastAsia" w:ascii="宋体" w:hAnsi="宋体" w:cs="宋体"/>
                <w:kern w:val="0"/>
                <w:szCs w:val="21"/>
              </w:rPr>
            </w:pPr>
            <w:r>
              <w:rPr>
                <w:rFonts w:hint="eastAsia" w:ascii="宋体" w:hAnsi="宋体" w:cs="宋体"/>
                <w:kern w:val="0"/>
                <w:szCs w:val="21"/>
              </w:rPr>
              <w:t>保护</w:t>
            </w:r>
          </w:p>
          <w:p w14:paraId="50B74271">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635" w:type="dxa"/>
          </w:tcPr>
          <w:p w14:paraId="217CD1F4">
            <w:pPr>
              <w:spacing w:before="120" w:beforeLines="50" w:line="360" w:lineRule="auto"/>
              <w:ind w:firstLine="482" w:firstLineChars="200"/>
              <w:rPr>
                <w:b/>
                <w:sz w:val="24"/>
              </w:rPr>
            </w:pPr>
            <w:r>
              <w:rPr>
                <w:b/>
                <w:sz w:val="24"/>
              </w:rPr>
              <w:t>1、大气环境</w:t>
            </w:r>
          </w:p>
          <w:p w14:paraId="4C8F3C81">
            <w:pPr>
              <w:spacing w:line="360" w:lineRule="auto"/>
              <w:ind w:firstLine="480" w:firstLineChars="200"/>
              <w:rPr>
                <w:sz w:val="24"/>
              </w:rPr>
            </w:pPr>
            <w:r>
              <w:rPr>
                <w:sz w:val="24"/>
              </w:rPr>
              <w:t>本项目厂界外500m范围内</w:t>
            </w:r>
            <w:r>
              <w:rPr>
                <w:rFonts w:hint="eastAsia"/>
                <w:sz w:val="24"/>
              </w:rPr>
              <w:t>无</w:t>
            </w:r>
            <w:r>
              <w:rPr>
                <w:sz w:val="24"/>
              </w:rPr>
              <w:t>大气</w:t>
            </w:r>
            <w:r>
              <w:rPr>
                <w:rFonts w:hint="eastAsia"/>
                <w:sz w:val="24"/>
                <w:lang w:eastAsia="zh-CN"/>
              </w:rPr>
              <w:t>环境</w:t>
            </w:r>
            <w:r>
              <w:rPr>
                <w:sz w:val="24"/>
              </w:rPr>
              <w:t>保护目标。</w:t>
            </w:r>
          </w:p>
          <w:p w14:paraId="2E1109EA">
            <w:pPr>
              <w:spacing w:before="120" w:beforeLines="50" w:line="360" w:lineRule="auto"/>
              <w:ind w:firstLine="482" w:firstLineChars="200"/>
              <w:rPr>
                <w:b/>
                <w:sz w:val="24"/>
              </w:rPr>
            </w:pPr>
            <w:r>
              <w:rPr>
                <w:b/>
                <w:sz w:val="24"/>
              </w:rPr>
              <w:t>2、声环境</w:t>
            </w:r>
          </w:p>
          <w:p w14:paraId="5EB622CF">
            <w:pPr>
              <w:spacing w:line="360" w:lineRule="auto"/>
              <w:ind w:firstLine="480" w:firstLineChars="200"/>
              <w:rPr>
                <w:sz w:val="24"/>
              </w:rPr>
            </w:pPr>
            <w:r>
              <w:rPr>
                <w:rFonts w:hint="eastAsia"/>
                <w:sz w:val="24"/>
              </w:rPr>
              <w:t>经过现场勘查，本项目厂界外50m范围内无声环境保护目标。</w:t>
            </w:r>
          </w:p>
          <w:p w14:paraId="0C624003">
            <w:pPr>
              <w:spacing w:before="120" w:beforeLines="50" w:line="360" w:lineRule="auto"/>
              <w:ind w:firstLine="482" w:firstLineChars="200"/>
              <w:rPr>
                <w:b/>
                <w:sz w:val="24"/>
              </w:rPr>
            </w:pPr>
            <w:r>
              <w:rPr>
                <w:rFonts w:hint="eastAsia"/>
                <w:b/>
                <w:sz w:val="24"/>
              </w:rPr>
              <w:t>3、</w:t>
            </w:r>
            <w:r>
              <w:rPr>
                <w:b/>
                <w:sz w:val="24"/>
              </w:rPr>
              <w:t>水环境</w:t>
            </w:r>
          </w:p>
          <w:p w14:paraId="303E5A47">
            <w:pPr>
              <w:spacing w:line="360" w:lineRule="auto"/>
              <w:ind w:firstLine="480" w:firstLineChars="200"/>
              <w:rPr>
                <w:rFonts w:hint="eastAsia" w:ascii="宋体" w:hAnsi="宋体" w:cs="宋体"/>
                <w:sz w:val="24"/>
              </w:rPr>
            </w:pPr>
            <w:r>
              <w:rPr>
                <w:rFonts w:hint="eastAsia" w:ascii="宋体" w:hAnsi="宋体" w:cs="宋体"/>
                <w:sz w:val="24"/>
              </w:rPr>
              <w:t>本项目水环境保护目标见下表。</w:t>
            </w:r>
          </w:p>
          <w:p w14:paraId="631A2F8E">
            <w:pPr>
              <w:jc w:val="center"/>
              <w:rPr>
                <w:b/>
                <w:bCs/>
                <w:szCs w:val="21"/>
              </w:rPr>
            </w:pPr>
            <w:r>
              <w:rPr>
                <w:b/>
                <w:bCs/>
                <w:szCs w:val="21"/>
              </w:rPr>
              <w:t>表3-</w:t>
            </w:r>
            <w:r>
              <w:rPr>
                <w:rFonts w:hint="eastAsia"/>
                <w:b/>
                <w:bCs/>
                <w:szCs w:val="21"/>
              </w:rPr>
              <w:t>7</w:t>
            </w:r>
            <w:r>
              <w:rPr>
                <w:b/>
                <w:bCs/>
                <w:szCs w:val="21"/>
              </w:rPr>
              <w:t xml:space="preserve">  运营期水环境保护目标</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942"/>
              <w:gridCol w:w="1850"/>
              <w:gridCol w:w="804"/>
              <w:gridCol w:w="778"/>
              <w:gridCol w:w="2910"/>
            </w:tblGrid>
            <w:tr w14:paraId="07B9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Align w:val="center"/>
                </w:tcPr>
                <w:p w14:paraId="7E9F4BA6">
                  <w:pPr>
                    <w:jc w:val="center"/>
                    <w:rPr>
                      <w:b/>
                      <w:bCs/>
                      <w:szCs w:val="21"/>
                    </w:rPr>
                  </w:pPr>
                  <w:r>
                    <w:rPr>
                      <w:b/>
                      <w:bCs/>
                      <w:szCs w:val="21"/>
                    </w:rPr>
                    <w:t>环境要素</w:t>
                  </w:r>
                </w:p>
              </w:tc>
              <w:tc>
                <w:tcPr>
                  <w:tcW w:w="560" w:type="pct"/>
                  <w:vAlign w:val="center"/>
                </w:tcPr>
                <w:p w14:paraId="4026232E">
                  <w:pPr>
                    <w:jc w:val="center"/>
                    <w:rPr>
                      <w:b/>
                      <w:bCs/>
                      <w:szCs w:val="21"/>
                    </w:rPr>
                  </w:pPr>
                  <w:r>
                    <w:rPr>
                      <w:b/>
                      <w:bCs/>
                      <w:szCs w:val="21"/>
                    </w:rPr>
                    <w:t>名称</w:t>
                  </w:r>
                </w:p>
              </w:tc>
              <w:tc>
                <w:tcPr>
                  <w:tcW w:w="1100" w:type="pct"/>
                  <w:vAlign w:val="center"/>
                </w:tcPr>
                <w:p w14:paraId="12206991">
                  <w:pPr>
                    <w:jc w:val="center"/>
                    <w:rPr>
                      <w:b/>
                      <w:bCs/>
                      <w:szCs w:val="21"/>
                    </w:rPr>
                  </w:pPr>
                  <w:r>
                    <w:rPr>
                      <w:b/>
                      <w:bCs/>
                      <w:szCs w:val="21"/>
                    </w:rPr>
                    <w:t>方位</w:t>
                  </w:r>
                </w:p>
              </w:tc>
              <w:tc>
                <w:tcPr>
                  <w:tcW w:w="478" w:type="pct"/>
                  <w:vAlign w:val="center"/>
                </w:tcPr>
                <w:p w14:paraId="007E8897">
                  <w:pPr>
                    <w:jc w:val="center"/>
                    <w:rPr>
                      <w:b/>
                      <w:bCs/>
                      <w:szCs w:val="21"/>
                    </w:rPr>
                  </w:pPr>
                  <w:r>
                    <w:rPr>
                      <w:b/>
                      <w:bCs/>
                      <w:szCs w:val="21"/>
                    </w:rPr>
                    <w:t>距离</w:t>
                  </w:r>
                </w:p>
              </w:tc>
              <w:tc>
                <w:tcPr>
                  <w:tcW w:w="462" w:type="pct"/>
                  <w:vAlign w:val="center"/>
                </w:tcPr>
                <w:p w14:paraId="114AC314">
                  <w:pPr>
                    <w:jc w:val="center"/>
                    <w:rPr>
                      <w:b/>
                      <w:bCs/>
                      <w:szCs w:val="21"/>
                    </w:rPr>
                  </w:pPr>
                  <w:r>
                    <w:rPr>
                      <w:b/>
                      <w:bCs/>
                      <w:szCs w:val="21"/>
                    </w:rPr>
                    <w:t>规模</w:t>
                  </w:r>
                </w:p>
              </w:tc>
              <w:tc>
                <w:tcPr>
                  <w:tcW w:w="1730" w:type="pct"/>
                  <w:vAlign w:val="center"/>
                </w:tcPr>
                <w:p w14:paraId="7C2A8EE9">
                  <w:pPr>
                    <w:jc w:val="center"/>
                    <w:rPr>
                      <w:b/>
                      <w:bCs/>
                      <w:szCs w:val="21"/>
                    </w:rPr>
                  </w:pPr>
                  <w:r>
                    <w:rPr>
                      <w:b/>
                      <w:bCs/>
                      <w:szCs w:val="21"/>
                    </w:rPr>
                    <w:t>保护要求</w:t>
                  </w:r>
                </w:p>
              </w:tc>
            </w:tr>
            <w:tr w14:paraId="6A2E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restart"/>
                  <w:vAlign w:val="center"/>
                </w:tcPr>
                <w:p w14:paraId="7061BFC4">
                  <w:pPr>
                    <w:jc w:val="center"/>
                    <w:rPr>
                      <w:szCs w:val="21"/>
                    </w:rPr>
                  </w:pPr>
                  <w:r>
                    <w:rPr>
                      <w:szCs w:val="21"/>
                    </w:rPr>
                    <w:t>地表水</w:t>
                  </w:r>
                </w:p>
              </w:tc>
              <w:tc>
                <w:tcPr>
                  <w:tcW w:w="560" w:type="pct"/>
                  <w:vAlign w:val="center"/>
                </w:tcPr>
                <w:p w14:paraId="7106C852">
                  <w:pPr>
                    <w:jc w:val="center"/>
                    <w:rPr>
                      <w:szCs w:val="21"/>
                    </w:rPr>
                  </w:pPr>
                  <w:r>
                    <w:rPr>
                      <w:rFonts w:hint="eastAsia"/>
                      <w:szCs w:val="21"/>
                    </w:rPr>
                    <w:t>州河</w:t>
                  </w:r>
                </w:p>
              </w:tc>
              <w:tc>
                <w:tcPr>
                  <w:tcW w:w="1100" w:type="pct"/>
                  <w:vAlign w:val="center"/>
                </w:tcPr>
                <w:p w14:paraId="2C3FF763">
                  <w:pPr>
                    <w:jc w:val="center"/>
                    <w:rPr>
                      <w:szCs w:val="21"/>
                    </w:rPr>
                  </w:pPr>
                  <w:r>
                    <w:rPr>
                      <w:szCs w:val="21"/>
                    </w:rPr>
                    <w:t>西侧</w:t>
                  </w:r>
                </w:p>
              </w:tc>
              <w:tc>
                <w:tcPr>
                  <w:tcW w:w="478" w:type="pct"/>
                  <w:vAlign w:val="center"/>
                </w:tcPr>
                <w:p w14:paraId="2D0265B6">
                  <w:pPr>
                    <w:jc w:val="center"/>
                    <w:rPr>
                      <w:szCs w:val="21"/>
                    </w:rPr>
                  </w:pPr>
                  <w:r>
                    <w:rPr>
                      <w:rFonts w:hint="eastAsia"/>
                      <w:szCs w:val="21"/>
                    </w:rPr>
                    <w:t>530m</w:t>
                  </w:r>
                </w:p>
              </w:tc>
              <w:tc>
                <w:tcPr>
                  <w:tcW w:w="462" w:type="pct"/>
                  <w:vAlign w:val="center"/>
                </w:tcPr>
                <w:p w14:paraId="5004BB4D">
                  <w:pPr>
                    <w:jc w:val="center"/>
                    <w:rPr>
                      <w:szCs w:val="21"/>
                    </w:rPr>
                  </w:pPr>
                  <w:r>
                    <w:rPr>
                      <w:rFonts w:hint="eastAsia"/>
                      <w:szCs w:val="21"/>
                    </w:rPr>
                    <w:t>大</w:t>
                  </w:r>
                  <w:r>
                    <w:rPr>
                      <w:szCs w:val="21"/>
                    </w:rPr>
                    <w:t>河</w:t>
                  </w:r>
                </w:p>
              </w:tc>
              <w:tc>
                <w:tcPr>
                  <w:tcW w:w="1730" w:type="pct"/>
                  <w:vAlign w:val="center"/>
                </w:tcPr>
                <w:p w14:paraId="60925E0D">
                  <w:pPr>
                    <w:jc w:val="center"/>
                    <w:rPr>
                      <w:szCs w:val="21"/>
                    </w:rPr>
                  </w:pPr>
                  <w:r>
                    <w:rPr>
                      <w:szCs w:val="21"/>
                    </w:rPr>
                    <w:t>《地表水环境质量标准》（GB3838-2002</w:t>
                  </w:r>
                  <w:r>
                    <w:rPr>
                      <w:rFonts w:hint="eastAsia"/>
                      <w:szCs w:val="21"/>
                    </w:rPr>
                    <w:t>）</w:t>
                  </w:r>
                  <w:r>
                    <w:rPr>
                      <w:szCs w:val="21"/>
                    </w:rPr>
                    <w:t>Ⅲ类标准</w:t>
                  </w:r>
                </w:p>
              </w:tc>
            </w:tr>
            <w:tr w14:paraId="5241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continue"/>
                  <w:vAlign w:val="center"/>
                </w:tcPr>
                <w:p w14:paraId="264D2DCA">
                  <w:pPr>
                    <w:jc w:val="center"/>
                    <w:rPr>
                      <w:szCs w:val="21"/>
                    </w:rPr>
                  </w:pPr>
                </w:p>
              </w:tc>
              <w:tc>
                <w:tcPr>
                  <w:tcW w:w="560" w:type="pct"/>
                  <w:vAlign w:val="center"/>
                </w:tcPr>
                <w:p w14:paraId="79E25813">
                  <w:pPr>
                    <w:widowControl/>
                    <w:jc w:val="center"/>
                    <w:rPr>
                      <w:szCs w:val="21"/>
                    </w:rPr>
                  </w:pPr>
                  <w:r>
                    <w:rPr>
                      <w:rFonts w:hint="eastAsia"/>
                      <w:szCs w:val="21"/>
                    </w:rPr>
                    <w:t>小河沟</w:t>
                  </w:r>
                </w:p>
              </w:tc>
              <w:tc>
                <w:tcPr>
                  <w:tcW w:w="1100" w:type="pct"/>
                  <w:vAlign w:val="center"/>
                </w:tcPr>
                <w:p w14:paraId="7B59CBDB">
                  <w:pPr>
                    <w:widowControl/>
                    <w:jc w:val="center"/>
                    <w:rPr>
                      <w:szCs w:val="21"/>
                    </w:rPr>
                  </w:pPr>
                  <w:r>
                    <w:rPr>
                      <w:rFonts w:hint="eastAsia"/>
                      <w:szCs w:val="21"/>
                    </w:rPr>
                    <w:t>西北侧</w:t>
                  </w:r>
                </w:p>
              </w:tc>
              <w:tc>
                <w:tcPr>
                  <w:tcW w:w="478" w:type="pct"/>
                  <w:vAlign w:val="center"/>
                </w:tcPr>
                <w:p w14:paraId="3EEE939C">
                  <w:pPr>
                    <w:jc w:val="center"/>
                    <w:rPr>
                      <w:szCs w:val="21"/>
                    </w:rPr>
                  </w:pPr>
                  <w:r>
                    <w:rPr>
                      <w:rFonts w:hint="eastAsia"/>
                      <w:szCs w:val="21"/>
                    </w:rPr>
                    <w:t>210m</w:t>
                  </w:r>
                </w:p>
              </w:tc>
              <w:tc>
                <w:tcPr>
                  <w:tcW w:w="462" w:type="pct"/>
                  <w:vAlign w:val="center"/>
                </w:tcPr>
                <w:p w14:paraId="61A195AC">
                  <w:pPr>
                    <w:jc w:val="center"/>
                    <w:rPr>
                      <w:szCs w:val="21"/>
                    </w:rPr>
                  </w:pPr>
                  <w:r>
                    <w:rPr>
                      <w:rFonts w:hint="eastAsia"/>
                      <w:szCs w:val="21"/>
                    </w:rPr>
                    <w:t>小河</w:t>
                  </w:r>
                </w:p>
              </w:tc>
              <w:tc>
                <w:tcPr>
                  <w:tcW w:w="1730" w:type="pct"/>
                  <w:vAlign w:val="center"/>
                </w:tcPr>
                <w:p w14:paraId="0EF7C4B3">
                  <w:pPr>
                    <w:jc w:val="center"/>
                    <w:rPr>
                      <w:szCs w:val="21"/>
                    </w:rPr>
                  </w:pPr>
                  <w:r>
                    <w:rPr>
                      <w:szCs w:val="21"/>
                    </w:rPr>
                    <w:t>《地表水环境质量标准》（GB3838-2002</w:t>
                  </w:r>
                  <w:r>
                    <w:rPr>
                      <w:rFonts w:hint="eastAsia"/>
                      <w:szCs w:val="21"/>
                    </w:rPr>
                    <w:t>）</w:t>
                  </w:r>
                  <w:r>
                    <w:rPr>
                      <w:szCs w:val="21"/>
                    </w:rPr>
                    <w:t>Ⅲ类标准</w:t>
                  </w:r>
                </w:p>
              </w:tc>
            </w:tr>
            <w:tr w14:paraId="5E16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Align w:val="center"/>
                </w:tcPr>
                <w:p w14:paraId="3E633B1F">
                  <w:pPr>
                    <w:jc w:val="center"/>
                    <w:rPr>
                      <w:szCs w:val="21"/>
                    </w:rPr>
                  </w:pPr>
                  <w:r>
                    <w:rPr>
                      <w:szCs w:val="21"/>
                    </w:rPr>
                    <w:t>地下水</w:t>
                  </w:r>
                </w:p>
              </w:tc>
              <w:tc>
                <w:tcPr>
                  <w:tcW w:w="2601" w:type="pct"/>
                  <w:gridSpan w:val="4"/>
                  <w:vAlign w:val="center"/>
                </w:tcPr>
                <w:p w14:paraId="7FDFF358">
                  <w:pPr>
                    <w:jc w:val="center"/>
                    <w:rPr>
                      <w:szCs w:val="21"/>
                    </w:rPr>
                  </w:pPr>
                  <w:r>
                    <w:rPr>
                      <w:szCs w:val="21"/>
                    </w:rPr>
                    <w:t>厂界外500m范围内无地下水集中式饮用水水源和热水、矿泉水、温泉等特殊地下水资源</w:t>
                  </w:r>
                </w:p>
              </w:tc>
              <w:tc>
                <w:tcPr>
                  <w:tcW w:w="1730" w:type="pct"/>
                  <w:vAlign w:val="center"/>
                </w:tcPr>
                <w:p w14:paraId="4D876410">
                  <w:pPr>
                    <w:jc w:val="center"/>
                    <w:rPr>
                      <w:szCs w:val="21"/>
                    </w:rPr>
                  </w:pPr>
                  <w:r>
                    <w:rPr>
                      <w:szCs w:val="21"/>
                    </w:rPr>
                    <w:t>《地下水质量标准》（GB/T14848-2017</w:t>
                  </w:r>
                  <w:r>
                    <w:rPr>
                      <w:rFonts w:hint="eastAsia"/>
                      <w:szCs w:val="21"/>
                    </w:rPr>
                    <w:t>）</w:t>
                  </w:r>
                  <w:r>
                    <w:rPr>
                      <w:szCs w:val="21"/>
                    </w:rPr>
                    <w:t>中</w:t>
                  </w:r>
                  <w:r>
                    <w:rPr>
                      <w:rFonts w:hint="eastAsia"/>
                      <w:szCs w:val="21"/>
                      <w:lang w:eastAsia="zh-CN"/>
                    </w:rPr>
                    <w:t>Ⅲ类</w:t>
                  </w:r>
                  <w:r>
                    <w:rPr>
                      <w:szCs w:val="21"/>
                    </w:rPr>
                    <w:t>标准</w:t>
                  </w:r>
                </w:p>
              </w:tc>
            </w:tr>
          </w:tbl>
          <w:p w14:paraId="25DD204E">
            <w:pPr>
              <w:spacing w:line="360" w:lineRule="auto"/>
              <w:ind w:firstLine="482" w:firstLineChars="200"/>
              <w:rPr>
                <w:b/>
                <w:sz w:val="24"/>
              </w:rPr>
            </w:pPr>
            <w:r>
              <w:rPr>
                <w:b/>
                <w:sz w:val="24"/>
              </w:rPr>
              <w:t>4、生态环境</w:t>
            </w:r>
          </w:p>
          <w:p w14:paraId="2F2D0BC1">
            <w:pPr>
              <w:widowControl/>
              <w:spacing w:line="360" w:lineRule="auto"/>
              <w:ind w:firstLine="480" w:firstLineChars="200"/>
              <w:jc w:val="left"/>
            </w:pPr>
            <w:r>
              <w:rPr>
                <w:rFonts w:hint="eastAsia"/>
                <w:color w:val="000000"/>
                <w:kern w:val="0"/>
                <w:sz w:val="24"/>
                <w:lang w:bidi="ar"/>
              </w:rPr>
              <w:t>本项目</w:t>
            </w:r>
            <w:r>
              <w:rPr>
                <w:color w:val="000000"/>
                <w:kern w:val="0"/>
                <w:sz w:val="24"/>
                <w:lang w:bidi="ar"/>
              </w:rPr>
              <w:t>用地不涉及自然保护区、风景名胜区、森林公园等生态敏感区，不在</w:t>
            </w:r>
            <w:r>
              <w:rPr>
                <w:rFonts w:hint="eastAsia"/>
                <w:color w:val="000000"/>
                <w:kern w:val="0"/>
                <w:sz w:val="24"/>
                <w:lang w:bidi="ar"/>
              </w:rPr>
              <w:t>通川区</w:t>
            </w:r>
            <w:r>
              <w:rPr>
                <w:color w:val="000000"/>
                <w:kern w:val="0"/>
                <w:sz w:val="24"/>
                <w:lang w:bidi="ar"/>
              </w:rPr>
              <w:t>生态保护红线范围内，也不涉及珍稀保护动植物及古树名木。</w:t>
            </w:r>
            <w:r>
              <w:rPr>
                <w:rFonts w:hint="eastAsia" w:ascii="宋体" w:hAnsi="宋体" w:cs="宋体"/>
                <w:color w:val="000000"/>
                <w:kern w:val="0"/>
                <w:sz w:val="24"/>
                <w:lang w:bidi="ar"/>
              </w:rPr>
              <w:t>根据调查，项目涉及子槽沟河段</w:t>
            </w:r>
            <w:r>
              <w:rPr>
                <w:rFonts w:hint="eastAsia"/>
                <w:color w:val="000000"/>
                <w:sz w:val="24"/>
              </w:rPr>
              <w:t>无珍稀水生物敏感区、鱼类三场（越冬场、产卵场、索饵场）天然集中分布区</w:t>
            </w:r>
            <w:r>
              <w:rPr>
                <w:rFonts w:hint="eastAsia"/>
                <w:color w:val="000000"/>
                <w:kern w:val="0"/>
                <w:sz w:val="24"/>
                <w:lang w:bidi="ar"/>
              </w:rPr>
              <w:t>。</w:t>
            </w:r>
          </w:p>
        </w:tc>
      </w:tr>
      <w:tr w14:paraId="12F8A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426" w:type="dxa"/>
            <w:tcMar>
              <w:left w:w="28" w:type="dxa"/>
              <w:right w:w="28" w:type="dxa"/>
            </w:tcMar>
            <w:vAlign w:val="center"/>
          </w:tcPr>
          <w:p w14:paraId="2D54F399">
            <w:pPr>
              <w:adjustRightInd w:val="0"/>
              <w:snapToGrid w:val="0"/>
              <w:jc w:val="center"/>
              <w:rPr>
                <w:rFonts w:hint="eastAsia" w:ascii="宋体" w:hAnsi="宋体" w:cs="宋体"/>
                <w:kern w:val="0"/>
                <w:szCs w:val="21"/>
              </w:rPr>
            </w:pPr>
            <w:r>
              <w:rPr>
                <w:rFonts w:hint="eastAsia" w:ascii="宋体" w:hAnsi="宋体" w:cs="宋体"/>
                <w:kern w:val="0"/>
                <w:szCs w:val="21"/>
              </w:rPr>
              <w:t>污染</w:t>
            </w:r>
          </w:p>
          <w:p w14:paraId="2F12043B">
            <w:pPr>
              <w:adjustRightInd w:val="0"/>
              <w:snapToGrid w:val="0"/>
              <w:jc w:val="center"/>
              <w:rPr>
                <w:rFonts w:hint="eastAsia" w:ascii="宋体" w:hAnsi="宋体" w:cs="宋体"/>
                <w:kern w:val="0"/>
                <w:szCs w:val="21"/>
              </w:rPr>
            </w:pPr>
            <w:r>
              <w:rPr>
                <w:rFonts w:hint="eastAsia" w:ascii="宋体" w:hAnsi="宋体" w:cs="宋体"/>
                <w:kern w:val="0"/>
                <w:szCs w:val="21"/>
              </w:rPr>
              <w:t>物排</w:t>
            </w:r>
          </w:p>
          <w:p w14:paraId="6139287E">
            <w:pPr>
              <w:adjustRightInd w:val="0"/>
              <w:snapToGrid w:val="0"/>
              <w:jc w:val="center"/>
              <w:rPr>
                <w:rFonts w:hint="eastAsia" w:ascii="宋体" w:hAnsi="宋体" w:cs="宋体"/>
                <w:kern w:val="0"/>
                <w:szCs w:val="21"/>
              </w:rPr>
            </w:pPr>
            <w:r>
              <w:rPr>
                <w:rFonts w:hint="eastAsia" w:ascii="宋体" w:hAnsi="宋体" w:cs="宋体"/>
                <w:kern w:val="0"/>
                <w:szCs w:val="21"/>
              </w:rPr>
              <w:t>放控</w:t>
            </w:r>
          </w:p>
          <w:p w14:paraId="68D35A8A">
            <w:pPr>
              <w:adjustRightInd w:val="0"/>
              <w:snapToGrid w:val="0"/>
              <w:jc w:val="center"/>
              <w:rPr>
                <w:rFonts w:hint="eastAsia" w:ascii="宋体" w:hAnsi="宋体" w:cs="宋体"/>
                <w:kern w:val="0"/>
                <w:szCs w:val="21"/>
              </w:rPr>
            </w:pPr>
            <w:r>
              <w:rPr>
                <w:rFonts w:hint="eastAsia" w:ascii="宋体" w:hAnsi="宋体" w:cs="宋体"/>
                <w:kern w:val="0"/>
                <w:szCs w:val="21"/>
              </w:rPr>
              <w:t>制标</w:t>
            </w:r>
          </w:p>
          <w:p w14:paraId="0F454823">
            <w:pPr>
              <w:adjustRightInd w:val="0"/>
              <w:snapToGrid w:val="0"/>
              <w:jc w:val="center"/>
              <w:rPr>
                <w:rFonts w:hint="eastAsia" w:ascii="宋体" w:hAnsi="宋体" w:cs="宋体"/>
                <w:kern w:val="0"/>
                <w:szCs w:val="21"/>
              </w:rPr>
            </w:pPr>
            <w:r>
              <w:rPr>
                <w:rFonts w:hint="eastAsia" w:ascii="宋体" w:hAnsi="宋体" w:cs="宋体"/>
                <w:kern w:val="0"/>
                <w:szCs w:val="21"/>
              </w:rPr>
              <w:t>准</w:t>
            </w:r>
          </w:p>
        </w:tc>
        <w:tc>
          <w:tcPr>
            <w:tcW w:w="8635" w:type="dxa"/>
          </w:tcPr>
          <w:p w14:paraId="6FED1EAF">
            <w:pPr>
              <w:adjustRightInd w:val="0"/>
              <w:snapToGrid w:val="0"/>
              <w:spacing w:before="120" w:beforeLines="50" w:line="360" w:lineRule="auto"/>
              <w:ind w:firstLine="482" w:firstLineChars="200"/>
              <w:rPr>
                <w:b/>
                <w:bCs/>
                <w:kern w:val="0"/>
                <w:sz w:val="24"/>
              </w:rPr>
            </w:pPr>
            <w:r>
              <w:rPr>
                <w:rFonts w:hint="eastAsia"/>
                <w:b/>
                <w:bCs/>
                <w:kern w:val="0"/>
                <w:sz w:val="24"/>
              </w:rPr>
              <w:t>1、</w:t>
            </w:r>
            <w:r>
              <w:rPr>
                <w:b/>
                <w:bCs/>
                <w:kern w:val="0"/>
                <w:sz w:val="24"/>
              </w:rPr>
              <w:t>大气污染物排放标准</w:t>
            </w:r>
          </w:p>
          <w:p w14:paraId="76BF13B6">
            <w:pPr>
              <w:spacing w:line="360" w:lineRule="auto"/>
              <w:ind w:firstLine="480" w:firstLineChars="200"/>
              <w:rPr>
                <w:sz w:val="24"/>
              </w:rPr>
            </w:pPr>
            <w:r>
              <w:rPr>
                <w:sz w:val="24"/>
              </w:rPr>
              <w:t>施工期扬尘执行《四川省施工场地扬尘排放标准》（DB51/2682-2020</w:t>
            </w:r>
            <w:r>
              <w:rPr>
                <w:rFonts w:hint="eastAsia"/>
                <w:sz w:val="24"/>
              </w:rPr>
              <w:t>）</w:t>
            </w:r>
            <w:r>
              <w:rPr>
                <w:sz w:val="24"/>
              </w:rPr>
              <w:t>，</w:t>
            </w:r>
            <w:r>
              <w:rPr>
                <w:rFonts w:hint="eastAsia"/>
                <w:sz w:val="24"/>
              </w:rPr>
              <w:t>运营期无废气排放。</w:t>
            </w:r>
          </w:p>
          <w:p w14:paraId="1B641BF0">
            <w:pPr>
              <w:jc w:val="center"/>
              <w:rPr>
                <w:b/>
                <w:bCs/>
                <w:szCs w:val="21"/>
              </w:rPr>
            </w:pPr>
            <w:r>
              <w:rPr>
                <w:b/>
                <w:bCs/>
                <w:szCs w:val="21"/>
              </w:rPr>
              <w:t>表3-</w:t>
            </w:r>
            <w:r>
              <w:rPr>
                <w:rFonts w:hint="eastAsia"/>
                <w:b/>
                <w:bCs/>
                <w:szCs w:val="21"/>
              </w:rPr>
              <w:t>8</w:t>
            </w:r>
            <w:r>
              <w:rPr>
                <w:b/>
                <w:bCs/>
                <w:szCs w:val="21"/>
              </w:rPr>
              <w:t xml:space="preserve">  施工场地扬尘排放限值</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97"/>
              <w:gridCol w:w="2883"/>
              <w:gridCol w:w="2425"/>
              <w:gridCol w:w="1253"/>
            </w:tblGrid>
            <w:tr w14:paraId="5EA0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87" w:type="pct"/>
                  <w:vAlign w:val="center"/>
                </w:tcPr>
                <w:p w14:paraId="6A90928A">
                  <w:pPr>
                    <w:jc w:val="center"/>
                    <w:rPr>
                      <w:b/>
                      <w:bCs/>
                      <w:szCs w:val="21"/>
                    </w:rPr>
                  </w:pPr>
                  <w:r>
                    <w:rPr>
                      <w:b/>
                      <w:bCs/>
                      <w:szCs w:val="21"/>
                    </w:rPr>
                    <w:t>序号</w:t>
                  </w:r>
                </w:p>
              </w:tc>
              <w:tc>
                <w:tcPr>
                  <w:tcW w:w="711" w:type="pct"/>
                  <w:vAlign w:val="center"/>
                </w:tcPr>
                <w:p w14:paraId="4752957E">
                  <w:pPr>
                    <w:jc w:val="center"/>
                    <w:rPr>
                      <w:b/>
                      <w:bCs/>
                      <w:szCs w:val="21"/>
                    </w:rPr>
                  </w:pPr>
                  <w:r>
                    <w:rPr>
                      <w:b/>
                      <w:bCs/>
                      <w:szCs w:val="21"/>
                    </w:rPr>
                    <w:t>污染物</w:t>
                  </w:r>
                </w:p>
              </w:tc>
              <w:tc>
                <w:tcPr>
                  <w:tcW w:w="1713" w:type="pct"/>
                  <w:vAlign w:val="center"/>
                </w:tcPr>
                <w:p w14:paraId="463DE90D">
                  <w:pPr>
                    <w:jc w:val="center"/>
                    <w:rPr>
                      <w:b/>
                      <w:bCs/>
                      <w:szCs w:val="21"/>
                    </w:rPr>
                  </w:pPr>
                  <w:r>
                    <w:rPr>
                      <w:b/>
                      <w:bCs/>
                      <w:szCs w:val="21"/>
                    </w:rPr>
                    <w:t>施工阶段</w:t>
                  </w:r>
                </w:p>
              </w:tc>
              <w:tc>
                <w:tcPr>
                  <w:tcW w:w="1441" w:type="pct"/>
                  <w:vAlign w:val="center"/>
                </w:tcPr>
                <w:p w14:paraId="50226F3D">
                  <w:pPr>
                    <w:jc w:val="center"/>
                    <w:rPr>
                      <w:b/>
                      <w:bCs/>
                      <w:szCs w:val="21"/>
                    </w:rPr>
                  </w:pPr>
                  <w:r>
                    <w:rPr>
                      <w:b/>
                      <w:bCs/>
                      <w:szCs w:val="21"/>
                    </w:rPr>
                    <w:t>监测点排放限值（mg/m</w:t>
                  </w:r>
                  <w:r>
                    <w:rPr>
                      <w:b/>
                      <w:bCs/>
                      <w:szCs w:val="21"/>
                      <w:vertAlign w:val="superscript"/>
                    </w:rPr>
                    <w:t>3</w:t>
                  </w:r>
                  <w:r>
                    <w:rPr>
                      <w:rFonts w:hint="eastAsia"/>
                      <w:b/>
                      <w:bCs/>
                      <w:szCs w:val="21"/>
                    </w:rPr>
                    <w:t>）</w:t>
                  </w:r>
                </w:p>
              </w:tc>
              <w:tc>
                <w:tcPr>
                  <w:tcW w:w="744" w:type="pct"/>
                  <w:vAlign w:val="center"/>
                </w:tcPr>
                <w:p w14:paraId="541256FE">
                  <w:pPr>
                    <w:jc w:val="center"/>
                    <w:rPr>
                      <w:b/>
                      <w:bCs/>
                      <w:szCs w:val="21"/>
                    </w:rPr>
                  </w:pPr>
                  <w:r>
                    <w:rPr>
                      <w:b/>
                      <w:bCs/>
                      <w:szCs w:val="21"/>
                    </w:rPr>
                    <w:t>监测时间</w:t>
                  </w:r>
                </w:p>
              </w:tc>
            </w:tr>
            <w:tr w14:paraId="5B55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restart"/>
                  <w:vAlign w:val="center"/>
                </w:tcPr>
                <w:p w14:paraId="43043D21">
                  <w:pPr>
                    <w:jc w:val="center"/>
                    <w:rPr>
                      <w:szCs w:val="21"/>
                    </w:rPr>
                  </w:pPr>
                  <w:r>
                    <w:rPr>
                      <w:szCs w:val="21"/>
                    </w:rPr>
                    <w:t>1</w:t>
                  </w:r>
                </w:p>
              </w:tc>
              <w:tc>
                <w:tcPr>
                  <w:tcW w:w="711" w:type="pct"/>
                  <w:vMerge w:val="restart"/>
                  <w:vAlign w:val="center"/>
                </w:tcPr>
                <w:p w14:paraId="14A9E0D3">
                  <w:pPr>
                    <w:jc w:val="center"/>
                    <w:rPr>
                      <w:szCs w:val="21"/>
                    </w:rPr>
                  </w:pPr>
                  <w:r>
                    <w:rPr>
                      <w:szCs w:val="21"/>
                    </w:rPr>
                    <w:t>总悬浮颗粒物（TSP</w:t>
                  </w:r>
                  <w:r>
                    <w:rPr>
                      <w:rFonts w:hint="eastAsia"/>
                      <w:szCs w:val="21"/>
                    </w:rPr>
                    <w:t>）</w:t>
                  </w:r>
                </w:p>
              </w:tc>
              <w:tc>
                <w:tcPr>
                  <w:tcW w:w="1713" w:type="pct"/>
                  <w:vAlign w:val="center"/>
                </w:tcPr>
                <w:p w14:paraId="5422BD37">
                  <w:pPr>
                    <w:jc w:val="center"/>
                    <w:rPr>
                      <w:szCs w:val="21"/>
                    </w:rPr>
                  </w:pPr>
                  <w:r>
                    <w:rPr>
                      <w:szCs w:val="21"/>
                    </w:rPr>
                    <w:t>拆除过程/土方开挖/土方回填</w:t>
                  </w:r>
                </w:p>
              </w:tc>
              <w:tc>
                <w:tcPr>
                  <w:tcW w:w="1441" w:type="pct"/>
                  <w:vAlign w:val="center"/>
                </w:tcPr>
                <w:p w14:paraId="53C1DA85">
                  <w:pPr>
                    <w:jc w:val="center"/>
                    <w:rPr>
                      <w:szCs w:val="21"/>
                    </w:rPr>
                  </w:pPr>
                  <w:r>
                    <w:rPr>
                      <w:szCs w:val="21"/>
                    </w:rPr>
                    <w:t>0.600</w:t>
                  </w:r>
                </w:p>
              </w:tc>
              <w:tc>
                <w:tcPr>
                  <w:tcW w:w="744" w:type="pct"/>
                  <w:vMerge w:val="restart"/>
                  <w:vAlign w:val="center"/>
                </w:tcPr>
                <w:p w14:paraId="4EE8FD9A">
                  <w:pPr>
                    <w:jc w:val="center"/>
                    <w:rPr>
                      <w:szCs w:val="21"/>
                    </w:rPr>
                  </w:pPr>
                  <w:r>
                    <w:rPr>
                      <w:szCs w:val="21"/>
                    </w:rPr>
                    <w:t>自监测起持续15min</w:t>
                  </w:r>
                </w:p>
              </w:tc>
            </w:tr>
            <w:tr w14:paraId="3110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continue"/>
                  <w:vAlign w:val="center"/>
                </w:tcPr>
                <w:p w14:paraId="07EF8541">
                  <w:pPr>
                    <w:jc w:val="center"/>
                    <w:rPr>
                      <w:szCs w:val="21"/>
                    </w:rPr>
                  </w:pPr>
                </w:p>
              </w:tc>
              <w:tc>
                <w:tcPr>
                  <w:tcW w:w="711" w:type="pct"/>
                  <w:vMerge w:val="continue"/>
                  <w:vAlign w:val="center"/>
                </w:tcPr>
                <w:p w14:paraId="0AD7C7B6">
                  <w:pPr>
                    <w:jc w:val="center"/>
                    <w:rPr>
                      <w:szCs w:val="21"/>
                    </w:rPr>
                  </w:pPr>
                </w:p>
              </w:tc>
              <w:tc>
                <w:tcPr>
                  <w:tcW w:w="1713" w:type="pct"/>
                  <w:vAlign w:val="center"/>
                </w:tcPr>
                <w:p w14:paraId="13155455">
                  <w:pPr>
                    <w:jc w:val="center"/>
                    <w:rPr>
                      <w:szCs w:val="21"/>
                    </w:rPr>
                  </w:pPr>
                  <w:r>
                    <w:rPr>
                      <w:szCs w:val="21"/>
                    </w:rPr>
                    <w:t>其他过程阶段</w:t>
                  </w:r>
                </w:p>
              </w:tc>
              <w:tc>
                <w:tcPr>
                  <w:tcW w:w="1441" w:type="pct"/>
                  <w:vAlign w:val="center"/>
                </w:tcPr>
                <w:p w14:paraId="3450F1BC">
                  <w:pPr>
                    <w:jc w:val="center"/>
                    <w:rPr>
                      <w:szCs w:val="21"/>
                    </w:rPr>
                  </w:pPr>
                  <w:r>
                    <w:rPr>
                      <w:szCs w:val="21"/>
                    </w:rPr>
                    <w:t>0.250</w:t>
                  </w:r>
                </w:p>
              </w:tc>
              <w:tc>
                <w:tcPr>
                  <w:tcW w:w="744" w:type="pct"/>
                  <w:vMerge w:val="continue"/>
                  <w:vAlign w:val="center"/>
                </w:tcPr>
                <w:p w14:paraId="20567D42">
                  <w:pPr>
                    <w:jc w:val="center"/>
                    <w:rPr>
                      <w:szCs w:val="21"/>
                    </w:rPr>
                  </w:pPr>
                </w:p>
              </w:tc>
            </w:tr>
          </w:tbl>
          <w:p w14:paraId="523B2248">
            <w:pPr>
              <w:adjustRightInd w:val="0"/>
              <w:snapToGrid w:val="0"/>
              <w:spacing w:before="120" w:beforeLines="50" w:line="360" w:lineRule="auto"/>
              <w:ind w:firstLine="480" w:firstLineChars="200"/>
              <w:rPr>
                <w:sz w:val="24"/>
              </w:rPr>
            </w:pPr>
            <w:r>
              <w:rPr>
                <w:rFonts w:hint="eastAsia"/>
                <w:sz w:val="24"/>
              </w:rPr>
              <w:t>项目营运期氨气、硫化氢排放执行《恶臭污染物排放标准》（GB 14554-93）表1、表2二级标准；颗粒物执行《大气污染物综合排放标准》（GB16297－1996）表2 二级标准。由于本项目站房高度为13.8m，排气筒设置高度为15m，根据《大气污染物综合排放标准》（GB16297－1996）中“7.1 排放速率标准值严格50%执行”，则运营期项目废气排放执行标准见下表。</w:t>
            </w:r>
          </w:p>
          <w:p w14:paraId="419EF813">
            <w:pPr>
              <w:jc w:val="center"/>
              <w:rPr>
                <w:b/>
                <w:bCs/>
                <w:szCs w:val="21"/>
              </w:rPr>
            </w:pPr>
            <w:r>
              <w:rPr>
                <w:rFonts w:hint="eastAsia"/>
                <w:b/>
                <w:bCs/>
                <w:szCs w:val="21"/>
              </w:rPr>
              <w:t>表3-9 营运期污染物排放标准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006"/>
              <w:gridCol w:w="1068"/>
              <w:gridCol w:w="829"/>
              <w:gridCol w:w="1189"/>
              <w:gridCol w:w="844"/>
              <w:gridCol w:w="1404"/>
              <w:gridCol w:w="2066"/>
            </w:tblGrid>
            <w:tr w14:paraId="1B80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89" w:hRule="atLeast"/>
                <w:jc w:val="center"/>
              </w:trPr>
              <w:tc>
                <w:tcPr>
                  <w:tcW w:w="598" w:type="pct"/>
                  <w:vMerge w:val="restart"/>
                  <w:vAlign w:val="center"/>
                </w:tcPr>
                <w:p w14:paraId="0A9FDB87">
                  <w:pPr>
                    <w:jc w:val="center"/>
                    <w:rPr>
                      <w:b/>
                      <w:bCs/>
                      <w:szCs w:val="21"/>
                    </w:rPr>
                  </w:pPr>
                  <w:r>
                    <w:rPr>
                      <w:b/>
                      <w:bCs/>
                      <w:szCs w:val="21"/>
                    </w:rPr>
                    <w:t>污染物</w:t>
                  </w:r>
                </w:p>
              </w:tc>
              <w:tc>
                <w:tcPr>
                  <w:tcW w:w="635" w:type="pct"/>
                  <w:vMerge w:val="restart"/>
                  <w:vAlign w:val="center"/>
                </w:tcPr>
                <w:p w14:paraId="31B58FBA">
                  <w:pPr>
                    <w:jc w:val="center"/>
                    <w:rPr>
                      <w:b/>
                      <w:bCs/>
                      <w:szCs w:val="21"/>
                    </w:rPr>
                  </w:pPr>
                  <w:r>
                    <w:rPr>
                      <w:rFonts w:hint="eastAsia"/>
                      <w:b/>
                      <w:bCs/>
                      <w:szCs w:val="21"/>
                    </w:rPr>
                    <w:t>最高允许</w:t>
                  </w:r>
                </w:p>
                <w:p w14:paraId="1D57A991">
                  <w:pPr>
                    <w:jc w:val="center"/>
                    <w:rPr>
                      <w:b/>
                      <w:bCs/>
                      <w:szCs w:val="21"/>
                    </w:rPr>
                  </w:pPr>
                  <w:r>
                    <w:rPr>
                      <w:rFonts w:hint="eastAsia"/>
                      <w:b/>
                      <w:bCs/>
                      <w:szCs w:val="21"/>
                    </w:rPr>
                    <w:t>排放浓度</w:t>
                  </w:r>
                </w:p>
                <w:p w14:paraId="4710CEBB">
                  <w:pPr>
                    <w:jc w:val="center"/>
                    <w:rPr>
                      <w:b/>
                      <w:bCs/>
                      <w:szCs w:val="21"/>
                    </w:rPr>
                  </w:pPr>
                  <w:r>
                    <w:rPr>
                      <w:rFonts w:hint="eastAsia"/>
                      <w:b/>
                      <w:bCs/>
                      <w:szCs w:val="21"/>
                      <w:lang w:eastAsia="zh-CN"/>
                    </w:rPr>
                    <w:t>(</w:t>
                  </w:r>
                  <w:r>
                    <w:rPr>
                      <w:rFonts w:hint="eastAsia"/>
                      <w:b/>
                      <w:bCs/>
                      <w:szCs w:val="21"/>
                    </w:rPr>
                    <w:t>mg/m</w:t>
                  </w:r>
                  <w:r>
                    <w:rPr>
                      <w:rFonts w:hint="eastAsia"/>
                      <w:b/>
                      <w:bCs/>
                      <w:szCs w:val="21"/>
                      <w:vertAlign w:val="superscript"/>
                    </w:rPr>
                    <w:t>3</w:t>
                  </w:r>
                  <w:r>
                    <w:rPr>
                      <w:rFonts w:hint="eastAsia"/>
                      <w:b/>
                      <w:bCs/>
                      <w:szCs w:val="21"/>
                      <w:vertAlign w:val="superscript"/>
                      <w:lang w:eastAsia="zh-CN"/>
                    </w:rPr>
                    <w:t>)</w:t>
                  </w:r>
                </w:p>
              </w:tc>
              <w:tc>
                <w:tcPr>
                  <w:tcW w:w="493" w:type="pct"/>
                  <w:vMerge w:val="restart"/>
                  <w:vAlign w:val="center"/>
                </w:tcPr>
                <w:p w14:paraId="6AD7B878">
                  <w:pPr>
                    <w:jc w:val="center"/>
                    <w:rPr>
                      <w:b/>
                      <w:bCs/>
                      <w:szCs w:val="21"/>
                    </w:rPr>
                  </w:pPr>
                  <w:r>
                    <w:rPr>
                      <w:rFonts w:hint="eastAsia"/>
                      <w:b/>
                      <w:bCs/>
                      <w:szCs w:val="21"/>
                    </w:rPr>
                    <w:t>排气筒高度（m）</w:t>
                  </w:r>
                </w:p>
              </w:tc>
              <w:tc>
                <w:tcPr>
                  <w:tcW w:w="707" w:type="pct"/>
                  <w:vMerge w:val="restart"/>
                  <w:vAlign w:val="center"/>
                </w:tcPr>
                <w:p w14:paraId="70CCB9F1">
                  <w:pPr>
                    <w:jc w:val="center"/>
                    <w:rPr>
                      <w:b/>
                      <w:bCs/>
                      <w:szCs w:val="21"/>
                    </w:rPr>
                  </w:pPr>
                  <w:r>
                    <w:rPr>
                      <w:rFonts w:hint="eastAsia"/>
                      <w:b/>
                      <w:bCs/>
                      <w:szCs w:val="21"/>
                    </w:rPr>
                    <w:t>最高允许排放速率（kg/h）</w:t>
                  </w:r>
                </w:p>
              </w:tc>
              <w:tc>
                <w:tcPr>
                  <w:tcW w:w="1336" w:type="pct"/>
                  <w:gridSpan w:val="2"/>
                  <w:vAlign w:val="center"/>
                </w:tcPr>
                <w:p w14:paraId="7906578C">
                  <w:pPr>
                    <w:jc w:val="center"/>
                    <w:rPr>
                      <w:b/>
                      <w:bCs/>
                      <w:szCs w:val="21"/>
                    </w:rPr>
                  </w:pPr>
                  <w:r>
                    <w:rPr>
                      <w:rFonts w:hint="eastAsia"/>
                      <w:b/>
                      <w:bCs/>
                      <w:szCs w:val="21"/>
                    </w:rPr>
                    <w:t>无组织排放监控浓度限值</w:t>
                  </w:r>
                </w:p>
              </w:tc>
              <w:tc>
                <w:tcPr>
                  <w:tcW w:w="1228" w:type="pct"/>
                  <w:vMerge w:val="restart"/>
                  <w:vAlign w:val="center"/>
                </w:tcPr>
                <w:p w14:paraId="03597F96">
                  <w:pPr>
                    <w:jc w:val="center"/>
                    <w:rPr>
                      <w:szCs w:val="21"/>
                    </w:rPr>
                  </w:pPr>
                  <w:r>
                    <w:rPr>
                      <w:szCs w:val="21"/>
                    </w:rPr>
                    <w:t>标准号</w:t>
                  </w:r>
                </w:p>
              </w:tc>
            </w:tr>
            <w:tr w14:paraId="1502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89" w:hRule="atLeast"/>
                <w:jc w:val="center"/>
              </w:trPr>
              <w:tc>
                <w:tcPr>
                  <w:tcW w:w="598" w:type="pct"/>
                  <w:vMerge w:val="continue"/>
                  <w:vAlign w:val="center"/>
                </w:tcPr>
                <w:p w14:paraId="2663F81C">
                  <w:pPr>
                    <w:jc w:val="center"/>
                    <w:rPr>
                      <w:b/>
                      <w:bCs/>
                      <w:szCs w:val="21"/>
                    </w:rPr>
                  </w:pPr>
                </w:p>
              </w:tc>
              <w:tc>
                <w:tcPr>
                  <w:tcW w:w="635" w:type="pct"/>
                  <w:vMerge w:val="continue"/>
                  <w:vAlign w:val="center"/>
                </w:tcPr>
                <w:p w14:paraId="643216F9">
                  <w:pPr>
                    <w:jc w:val="center"/>
                    <w:rPr>
                      <w:b/>
                      <w:bCs/>
                      <w:szCs w:val="21"/>
                    </w:rPr>
                  </w:pPr>
                </w:p>
              </w:tc>
              <w:tc>
                <w:tcPr>
                  <w:tcW w:w="493" w:type="pct"/>
                  <w:vMerge w:val="continue"/>
                  <w:vAlign w:val="center"/>
                </w:tcPr>
                <w:p w14:paraId="70A82F43">
                  <w:pPr>
                    <w:jc w:val="center"/>
                    <w:rPr>
                      <w:b/>
                      <w:bCs/>
                      <w:szCs w:val="21"/>
                    </w:rPr>
                  </w:pPr>
                </w:p>
              </w:tc>
              <w:tc>
                <w:tcPr>
                  <w:tcW w:w="707" w:type="pct"/>
                  <w:vMerge w:val="continue"/>
                  <w:vAlign w:val="center"/>
                </w:tcPr>
                <w:p w14:paraId="7F2A1140">
                  <w:pPr>
                    <w:jc w:val="center"/>
                    <w:rPr>
                      <w:b/>
                      <w:bCs/>
                      <w:szCs w:val="21"/>
                    </w:rPr>
                  </w:pPr>
                </w:p>
              </w:tc>
              <w:tc>
                <w:tcPr>
                  <w:tcW w:w="502" w:type="pct"/>
                  <w:vAlign w:val="center"/>
                </w:tcPr>
                <w:p w14:paraId="0BE4C475">
                  <w:pPr>
                    <w:jc w:val="center"/>
                    <w:rPr>
                      <w:b/>
                      <w:bCs/>
                      <w:szCs w:val="21"/>
                    </w:rPr>
                  </w:pPr>
                  <w:r>
                    <w:rPr>
                      <w:rFonts w:hint="eastAsia"/>
                      <w:b/>
                      <w:bCs/>
                      <w:szCs w:val="21"/>
                    </w:rPr>
                    <w:t>监控点</w:t>
                  </w:r>
                </w:p>
              </w:tc>
              <w:tc>
                <w:tcPr>
                  <w:tcW w:w="833" w:type="pct"/>
                  <w:vAlign w:val="center"/>
                </w:tcPr>
                <w:p w14:paraId="625167E3">
                  <w:pPr>
                    <w:jc w:val="center"/>
                    <w:rPr>
                      <w:b/>
                      <w:bCs/>
                      <w:szCs w:val="21"/>
                    </w:rPr>
                  </w:pPr>
                  <w:r>
                    <w:rPr>
                      <w:rFonts w:hint="eastAsia"/>
                      <w:b/>
                      <w:bCs/>
                      <w:szCs w:val="21"/>
                    </w:rPr>
                    <w:t>浓度（mg/m</w:t>
                  </w:r>
                  <w:r>
                    <w:rPr>
                      <w:rFonts w:hint="eastAsia"/>
                      <w:b/>
                      <w:bCs/>
                      <w:szCs w:val="21"/>
                      <w:vertAlign w:val="superscript"/>
                    </w:rPr>
                    <w:t>3</w:t>
                  </w:r>
                  <w:r>
                    <w:rPr>
                      <w:rFonts w:hint="eastAsia"/>
                      <w:b/>
                      <w:bCs/>
                      <w:szCs w:val="21"/>
                    </w:rPr>
                    <w:t>）</w:t>
                  </w:r>
                </w:p>
              </w:tc>
              <w:tc>
                <w:tcPr>
                  <w:tcW w:w="1228" w:type="pct"/>
                  <w:vMerge w:val="continue"/>
                  <w:vAlign w:val="center"/>
                </w:tcPr>
                <w:p w14:paraId="680B4FD2">
                  <w:pPr>
                    <w:jc w:val="center"/>
                    <w:rPr>
                      <w:szCs w:val="21"/>
                    </w:rPr>
                  </w:pPr>
                </w:p>
              </w:tc>
            </w:tr>
            <w:tr w14:paraId="6100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598" w:type="pct"/>
                  <w:vAlign w:val="center"/>
                </w:tcPr>
                <w:p w14:paraId="0CEFAD9B">
                  <w:pPr>
                    <w:jc w:val="center"/>
                    <w:rPr>
                      <w:szCs w:val="21"/>
                    </w:rPr>
                  </w:pPr>
                  <w:r>
                    <w:rPr>
                      <w:szCs w:val="21"/>
                    </w:rPr>
                    <w:t>氨</w:t>
                  </w:r>
                </w:p>
              </w:tc>
              <w:tc>
                <w:tcPr>
                  <w:tcW w:w="635" w:type="pct"/>
                  <w:vAlign w:val="center"/>
                </w:tcPr>
                <w:p w14:paraId="61E3DBC3">
                  <w:pPr>
                    <w:jc w:val="center"/>
                    <w:rPr>
                      <w:szCs w:val="21"/>
                    </w:rPr>
                  </w:pPr>
                  <w:r>
                    <w:rPr>
                      <w:rFonts w:hint="eastAsia"/>
                      <w:szCs w:val="21"/>
                    </w:rPr>
                    <w:t>/</w:t>
                  </w:r>
                </w:p>
              </w:tc>
              <w:tc>
                <w:tcPr>
                  <w:tcW w:w="493" w:type="pct"/>
                  <w:vAlign w:val="center"/>
                </w:tcPr>
                <w:p w14:paraId="7D72BA7A">
                  <w:pPr>
                    <w:jc w:val="center"/>
                    <w:rPr>
                      <w:szCs w:val="21"/>
                    </w:rPr>
                  </w:pPr>
                  <w:r>
                    <w:rPr>
                      <w:rFonts w:hint="eastAsia"/>
                      <w:szCs w:val="21"/>
                    </w:rPr>
                    <w:t>15</w:t>
                  </w:r>
                </w:p>
              </w:tc>
              <w:tc>
                <w:tcPr>
                  <w:tcW w:w="707" w:type="pct"/>
                  <w:vAlign w:val="center"/>
                </w:tcPr>
                <w:p w14:paraId="3568D714">
                  <w:pPr>
                    <w:jc w:val="center"/>
                    <w:rPr>
                      <w:szCs w:val="21"/>
                    </w:rPr>
                  </w:pPr>
                  <w:r>
                    <w:rPr>
                      <w:rFonts w:hint="eastAsia"/>
                      <w:szCs w:val="21"/>
                    </w:rPr>
                    <w:t>4.9</w:t>
                  </w:r>
                </w:p>
              </w:tc>
              <w:tc>
                <w:tcPr>
                  <w:tcW w:w="502" w:type="pct"/>
                  <w:vMerge w:val="restart"/>
                  <w:vAlign w:val="center"/>
                </w:tcPr>
                <w:p w14:paraId="120FDE61">
                  <w:pPr>
                    <w:jc w:val="center"/>
                    <w:rPr>
                      <w:szCs w:val="21"/>
                    </w:rPr>
                  </w:pPr>
                  <w:r>
                    <w:rPr>
                      <w:rFonts w:hint="eastAsia"/>
                      <w:szCs w:val="21"/>
                    </w:rPr>
                    <w:t>厂界标准值</w:t>
                  </w:r>
                </w:p>
              </w:tc>
              <w:tc>
                <w:tcPr>
                  <w:tcW w:w="833" w:type="pct"/>
                  <w:vAlign w:val="center"/>
                </w:tcPr>
                <w:p w14:paraId="05D2E6FD">
                  <w:pPr>
                    <w:jc w:val="center"/>
                    <w:rPr>
                      <w:szCs w:val="21"/>
                    </w:rPr>
                  </w:pPr>
                  <w:r>
                    <w:rPr>
                      <w:szCs w:val="21"/>
                    </w:rPr>
                    <w:t>1.5</w:t>
                  </w:r>
                </w:p>
              </w:tc>
              <w:tc>
                <w:tcPr>
                  <w:tcW w:w="1228" w:type="pct"/>
                  <w:vMerge w:val="restart"/>
                  <w:vAlign w:val="center"/>
                </w:tcPr>
                <w:p w14:paraId="06F430C9">
                  <w:pPr>
                    <w:jc w:val="center"/>
                    <w:rPr>
                      <w:szCs w:val="21"/>
                    </w:rPr>
                  </w:pPr>
                  <w:r>
                    <w:rPr>
                      <w:rFonts w:hint="eastAsia"/>
                      <w:szCs w:val="21"/>
                    </w:rPr>
                    <w:t>《恶臭污染物排放标准》（GB 14554-93）</w:t>
                  </w:r>
                </w:p>
              </w:tc>
            </w:tr>
            <w:tr w14:paraId="156C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598" w:type="pct"/>
                  <w:vAlign w:val="center"/>
                </w:tcPr>
                <w:p w14:paraId="613D7CBB">
                  <w:pPr>
                    <w:jc w:val="center"/>
                    <w:rPr>
                      <w:szCs w:val="21"/>
                    </w:rPr>
                  </w:pPr>
                  <w:r>
                    <w:rPr>
                      <w:szCs w:val="21"/>
                    </w:rPr>
                    <w:t>硫化氢</w:t>
                  </w:r>
                </w:p>
              </w:tc>
              <w:tc>
                <w:tcPr>
                  <w:tcW w:w="635" w:type="pct"/>
                  <w:vAlign w:val="center"/>
                </w:tcPr>
                <w:p w14:paraId="0EE6FB23">
                  <w:pPr>
                    <w:jc w:val="center"/>
                    <w:rPr>
                      <w:szCs w:val="21"/>
                    </w:rPr>
                  </w:pPr>
                  <w:r>
                    <w:rPr>
                      <w:rFonts w:hint="eastAsia"/>
                      <w:szCs w:val="21"/>
                    </w:rPr>
                    <w:t>/</w:t>
                  </w:r>
                </w:p>
              </w:tc>
              <w:tc>
                <w:tcPr>
                  <w:tcW w:w="493" w:type="pct"/>
                  <w:vAlign w:val="center"/>
                </w:tcPr>
                <w:p w14:paraId="4E3D2217">
                  <w:pPr>
                    <w:jc w:val="center"/>
                    <w:rPr>
                      <w:szCs w:val="21"/>
                    </w:rPr>
                  </w:pPr>
                  <w:r>
                    <w:rPr>
                      <w:rFonts w:hint="eastAsia"/>
                      <w:szCs w:val="21"/>
                    </w:rPr>
                    <w:t>15</w:t>
                  </w:r>
                </w:p>
              </w:tc>
              <w:tc>
                <w:tcPr>
                  <w:tcW w:w="707" w:type="pct"/>
                  <w:vAlign w:val="center"/>
                </w:tcPr>
                <w:p w14:paraId="1A51A4EC">
                  <w:pPr>
                    <w:jc w:val="center"/>
                    <w:rPr>
                      <w:szCs w:val="21"/>
                    </w:rPr>
                  </w:pPr>
                  <w:r>
                    <w:rPr>
                      <w:rFonts w:hint="eastAsia"/>
                      <w:szCs w:val="21"/>
                    </w:rPr>
                    <w:t>0.33</w:t>
                  </w:r>
                </w:p>
              </w:tc>
              <w:tc>
                <w:tcPr>
                  <w:tcW w:w="502" w:type="pct"/>
                  <w:vMerge w:val="continue"/>
                  <w:vAlign w:val="center"/>
                </w:tcPr>
                <w:p w14:paraId="4930C009">
                  <w:pPr>
                    <w:jc w:val="center"/>
                    <w:rPr>
                      <w:szCs w:val="21"/>
                    </w:rPr>
                  </w:pPr>
                </w:p>
              </w:tc>
              <w:tc>
                <w:tcPr>
                  <w:tcW w:w="833" w:type="pct"/>
                  <w:vAlign w:val="center"/>
                </w:tcPr>
                <w:p w14:paraId="6E43EBFD">
                  <w:pPr>
                    <w:jc w:val="center"/>
                    <w:rPr>
                      <w:szCs w:val="21"/>
                    </w:rPr>
                  </w:pPr>
                  <w:r>
                    <w:rPr>
                      <w:szCs w:val="21"/>
                    </w:rPr>
                    <w:t>0.06</w:t>
                  </w:r>
                </w:p>
              </w:tc>
              <w:tc>
                <w:tcPr>
                  <w:tcW w:w="1228" w:type="pct"/>
                  <w:vMerge w:val="continue"/>
                  <w:vAlign w:val="center"/>
                </w:tcPr>
                <w:p w14:paraId="3EC13721">
                  <w:pPr>
                    <w:jc w:val="center"/>
                    <w:rPr>
                      <w:szCs w:val="21"/>
                    </w:rPr>
                  </w:pPr>
                </w:p>
              </w:tc>
            </w:tr>
            <w:tr w14:paraId="50EA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598" w:type="pct"/>
                  <w:vAlign w:val="center"/>
                </w:tcPr>
                <w:p w14:paraId="0A33F7C2">
                  <w:pPr>
                    <w:jc w:val="center"/>
                    <w:rPr>
                      <w:szCs w:val="21"/>
                    </w:rPr>
                  </w:pPr>
                  <w:r>
                    <w:rPr>
                      <w:rFonts w:hint="eastAsia"/>
                      <w:szCs w:val="21"/>
                    </w:rPr>
                    <w:t>臭气浓度</w:t>
                  </w:r>
                </w:p>
              </w:tc>
              <w:tc>
                <w:tcPr>
                  <w:tcW w:w="635" w:type="pct"/>
                  <w:vAlign w:val="center"/>
                </w:tcPr>
                <w:p w14:paraId="06B48A66">
                  <w:pPr>
                    <w:jc w:val="center"/>
                    <w:rPr>
                      <w:szCs w:val="21"/>
                    </w:rPr>
                  </w:pPr>
                  <w:r>
                    <w:rPr>
                      <w:rFonts w:hint="eastAsia"/>
                      <w:szCs w:val="21"/>
                    </w:rPr>
                    <w:t>/</w:t>
                  </w:r>
                </w:p>
              </w:tc>
              <w:tc>
                <w:tcPr>
                  <w:tcW w:w="493" w:type="pct"/>
                  <w:vAlign w:val="center"/>
                </w:tcPr>
                <w:p w14:paraId="572E1204">
                  <w:pPr>
                    <w:jc w:val="center"/>
                    <w:rPr>
                      <w:szCs w:val="21"/>
                    </w:rPr>
                  </w:pPr>
                  <w:r>
                    <w:rPr>
                      <w:rFonts w:hint="eastAsia"/>
                      <w:szCs w:val="21"/>
                    </w:rPr>
                    <w:t>15</w:t>
                  </w:r>
                </w:p>
              </w:tc>
              <w:tc>
                <w:tcPr>
                  <w:tcW w:w="707" w:type="pct"/>
                  <w:vAlign w:val="center"/>
                </w:tcPr>
                <w:p w14:paraId="1D760EAE">
                  <w:pPr>
                    <w:jc w:val="center"/>
                    <w:rPr>
                      <w:szCs w:val="21"/>
                    </w:rPr>
                  </w:pPr>
                  <w:r>
                    <w:rPr>
                      <w:rFonts w:hint="eastAsia"/>
                      <w:szCs w:val="21"/>
                    </w:rPr>
                    <w:t>2000</w:t>
                  </w:r>
                </w:p>
                <w:p w14:paraId="551DD9EA">
                  <w:pPr>
                    <w:jc w:val="center"/>
                    <w:rPr>
                      <w:szCs w:val="21"/>
                    </w:rPr>
                  </w:pPr>
                  <w:r>
                    <w:rPr>
                      <w:rFonts w:hint="eastAsia"/>
                      <w:szCs w:val="21"/>
                    </w:rPr>
                    <w:t>（无量纲）</w:t>
                  </w:r>
                </w:p>
              </w:tc>
              <w:tc>
                <w:tcPr>
                  <w:tcW w:w="502" w:type="pct"/>
                  <w:vMerge w:val="continue"/>
                  <w:vAlign w:val="center"/>
                </w:tcPr>
                <w:p w14:paraId="753DC264">
                  <w:pPr>
                    <w:jc w:val="center"/>
                    <w:rPr>
                      <w:szCs w:val="21"/>
                    </w:rPr>
                  </w:pPr>
                </w:p>
              </w:tc>
              <w:tc>
                <w:tcPr>
                  <w:tcW w:w="833" w:type="pct"/>
                  <w:vAlign w:val="center"/>
                </w:tcPr>
                <w:p w14:paraId="5D57751B">
                  <w:pPr>
                    <w:jc w:val="center"/>
                    <w:rPr>
                      <w:szCs w:val="21"/>
                    </w:rPr>
                  </w:pPr>
                  <w:r>
                    <w:rPr>
                      <w:rFonts w:hint="eastAsia"/>
                      <w:szCs w:val="21"/>
                    </w:rPr>
                    <w:t>2</w:t>
                  </w:r>
                </w:p>
                <w:p w14:paraId="7F347388">
                  <w:pPr>
                    <w:jc w:val="center"/>
                    <w:rPr>
                      <w:szCs w:val="21"/>
                    </w:rPr>
                  </w:pPr>
                  <w:r>
                    <w:rPr>
                      <w:rFonts w:hint="eastAsia"/>
                      <w:szCs w:val="21"/>
                    </w:rPr>
                    <w:t>（无量纲）</w:t>
                  </w:r>
                </w:p>
              </w:tc>
              <w:tc>
                <w:tcPr>
                  <w:tcW w:w="1228" w:type="pct"/>
                  <w:vMerge w:val="continue"/>
                  <w:vAlign w:val="center"/>
                </w:tcPr>
                <w:p w14:paraId="1A4129BC">
                  <w:pPr>
                    <w:jc w:val="center"/>
                    <w:rPr>
                      <w:szCs w:val="21"/>
                    </w:rPr>
                  </w:pPr>
                </w:p>
              </w:tc>
            </w:tr>
            <w:tr w14:paraId="2F42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jc w:val="center"/>
              </w:trPr>
              <w:tc>
                <w:tcPr>
                  <w:tcW w:w="598" w:type="pct"/>
                  <w:vAlign w:val="center"/>
                </w:tcPr>
                <w:p w14:paraId="5C828F75">
                  <w:pPr>
                    <w:jc w:val="center"/>
                    <w:rPr>
                      <w:szCs w:val="21"/>
                    </w:rPr>
                  </w:pPr>
                  <w:r>
                    <w:rPr>
                      <w:rFonts w:hint="eastAsia"/>
                      <w:szCs w:val="21"/>
                    </w:rPr>
                    <w:t>颗粒物</w:t>
                  </w:r>
                </w:p>
              </w:tc>
              <w:tc>
                <w:tcPr>
                  <w:tcW w:w="635" w:type="pct"/>
                  <w:vAlign w:val="center"/>
                </w:tcPr>
                <w:p w14:paraId="17C66D79">
                  <w:pPr>
                    <w:jc w:val="center"/>
                    <w:rPr>
                      <w:szCs w:val="21"/>
                    </w:rPr>
                  </w:pPr>
                  <w:r>
                    <w:rPr>
                      <w:rFonts w:hint="eastAsia"/>
                      <w:szCs w:val="21"/>
                    </w:rPr>
                    <w:t>120</w:t>
                  </w:r>
                </w:p>
              </w:tc>
              <w:tc>
                <w:tcPr>
                  <w:tcW w:w="493" w:type="pct"/>
                  <w:vAlign w:val="center"/>
                </w:tcPr>
                <w:p w14:paraId="32627900">
                  <w:pPr>
                    <w:jc w:val="center"/>
                    <w:rPr>
                      <w:szCs w:val="21"/>
                    </w:rPr>
                  </w:pPr>
                  <w:r>
                    <w:rPr>
                      <w:rFonts w:hint="eastAsia"/>
                      <w:szCs w:val="21"/>
                    </w:rPr>
                    <w:t>15</w:t>
                  </w:r>
                </w:p>
              </w:tc>
              <w:tc>
                <w:tcPr>
                  <w:tcW w:w="707" w:type="pct"/>
                  <w:vAlign w:val="center"/>
                </w:tcPr>
                <w:p w14:paraId="06C8B7C4">
                  <w:pPr>
                    <w:jc w:val="center"/>
                    <w:rPr>
                      <w:szCs w:val="21"/>
                    </w:rPr>
                  </w:pPr>
                  <w:r>
                    <w:rPr>
                      <w:rFonts w:hint="eastAsia"/>
                      <w:szCs w:val="21"/>
                    </w:rPr>
                    <w:t>1.75</w:t>
                  </w:r>
                </w:p>
                <w:p w14:paraId="5D3E879C">
                  <w:pPr>
                    <w:jc w:val="center"/>
                    <w:rPr>
                      <w:szCs w:val="21"/>
                    </w:rPr>
                  </w:pPr>
                  <w:r>
                    <w:rPr>
                      <w:rFonts w:hint="eastAsia"/>
                      <w:szCs w:val="21"/>
                    </w:rPr>
                    <w:t>（从严50%）</w:t>
                  </w:r>
                </w:p>
              </w:tc>
              <w:tc>
                <w:tcPr>
                  <w:tcW w:w="502" w:type="pct"/>
                  <w:vMerge w:val="continue"/>
                  <w:vAlign w:val="center"/>
                </w:tcPr>
                <w:p w14:paraId="42E5485C">
                  <w:pPr>
                    <w:jc w:val="center"/>
                    <w:rPr>
                      <w:szCs w:val="21"/>
                    </w:rPr>
                  </w:pPr>
                </w:p>
              </w:tc>
              <w:tc>
                <w:tcPr>
                  <w:tcW w:w="833" w:type="pct"/>
                  <w:vAlign w:val="center"/>
                </w:tcPr>
                <w:p w14:paraId="7115BF58">
                  <w:pPr>
                    <w:jc w:val="center"/>
                    <w:rPr>
                      <w:szCs w:val="21"/>
                    </w:rPr>
                  </w:pPr>
                  <w:r>
                    <w:rPr>
                      <w:rFonts w:hint="eastAsia"/>
                      <w:szCs w:val="21"/>
                    </w:rPr>
                    <w:t>1.0</w:t>
                  </w:r>
                </w:p>
              </w:tc>
              <w:tc>
                <w:tcPr>
                  <w:tcW w:w="1228" w:type="pct"/>
                  <w:vAlign w:val="center"/>
                </w:tcPr>
                <w:p w14:paraId="6A5A8F92">
                  <w:pPr>
                    <w:jc w:val="center"/>
                    <w:rPr>
                      <w:szCs w:val="21"/>
                    </w:rPr>
                  </w:pPr>
                  <w:r>
                    <w:rPr>
                      <w:rFonts w:hint="eastAsia"/>
                      <w:szCs w:val="21"/>
                    </w:rPr>
                    <w:t>《大气污染物综合排放标准》（GB16297－1996）</w:t>
                  </w:r>
                </w:p>
              </w:tc>
            </w:tr>
          </w:tbl>
          <w:p w14:paraId="323C9B8A">
            <w:pPr>
              <w:adjustRightInd w:val="0"/>
              <w:snapToGrid w:val="0"/>
              <w:spacing w:before="120" w:beforeLines="50" w:line="360" w:lineRule="auto"/>
              <w:ind w:firstLine="482" w:firstLineChars="200"/>
              <w:rPr>
                <w:b/>
                <w:bCs/>
                <w:kern w:val="0"/>
                <w:sz w:val="24"/>
              </w:rPr>
            </w:pPr>
            <w:r>
              <w:rPr>
                <w:rFonts w:hint="eastAsia"/>
                <w:b/>
                <w:bCs/>
                <w:kern w:val="0"/>
                <w:sz w:val="24"/>
              </w:rPr>
              <w:t>2、水污染物排放标准</w:t>
            </w:r>
          </w:p>
          <w:p w14:paraId="5A27DB9E">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项目营运期产生的废水为渗滤液、生活污水、车辆及设备冲洗废水、除臭系统废水、地面清洁废水、初期雨水。其中生活污水、生产管理用房地面清洁废水经化粪池处理接管至市政污水管网，排入达州市第二城市生活污水处理厂；车辆及设备冲洗废水、除臭系统废水、渗滤液、车间地面清洁废水、初期雨水进入污水处理车间处理，处理后的废水满足达州市第二城市生活污水处理厂接管标准。</w:t>
            </w:r>
          </w:p>
          <w:p w14:paraId="4621181C">
            <w:pPr>
              <w:widowControl/>
              <w:spacing w:line="360" w:lineRule="auto"/>
              <w:ind w:firstLine="480" w:firstLineChars="200"/>
              <w:jc w:val="left"/>
              <w:rPr>
                <w:sz w:val="24"/>
              </w:rPr>
            </w:pPr>
            <w:r>
              <w:rPr>
                <w:rFonts w:hint="eastAsia" w:ascii="宋体" w:hAnsi="宋体" w:cs="宋体"/>
                <w:color w:val="000000"/>
                <w:kern w:val="0"/>
                <w:sz w:val="24"/>
                <w:lang w:bidi="ar"/>
              </w:rPr>
              <w:t>项目废水排放执行《污水综合排放标准》（</w:t>
            </w:r>
            <w:r>
              <w:rPr>
                <w:color w:val="000000"/>
                <w:kern w:val="0"/>
                <w:sz w:val="24"/>
                <w:lang w:bidi="ar"/>
              </w:rPr>
              <w:t>GB8978-1996</w:t>
            </w:r>
            <w:r>
              <w:rPr>
                <w:rFonts w:hint="eastAsia" w:ascii="宋体" w:hAnsi="宋体" w:cs="宋体"/>
                <w:color w:val="000000"/>
                <w:kern w:val="0"/>
                <w:sz w:val="24"/>
                <w:lang w:bidi="ar"/>
              </w:rPr>
              <w:t>）中三级排放标准，其中氨氮、总氮、总磷执行《污水排放城镇下水道水质标准》（</w:t>
            </w:r>
            <w:r>
              <w:rPr>
                <w:color w:val="000000"/>
                <w:kern w:val="0"/>
                <w:sz w:val="24"/>
                <w:lang w:bidi="ar"/>
              </w:rPr>
              <w:t>GB/T31962-2015</w:t>
            </w:r>
            <w:r>
              <w:rPr>
                <w:rFonts w:hint="eastAsia" w:ascii="宋体" w:hAnsi="宋体" w:cs="宋体"/>
                <w:color w:val="000000"/>
                <w:kern w:val="0"/>
                <w:sz w:val="24"/>
                <w:lang w:bidi="ar"/>
              </w:rPr>
              <w:t>）中</w:t>
            </w:r>
            <w:r>
              <w:rPr>
                <w:color w:val="000000"/>
                <w:kern w:val="0"/>
                <w:sz w:val="24"/>
                <w:lang w:bidi="ar"/>
              </w:rPr>
              <w:t>B</w:t>
            </w:r>
            <w:r>
              <w:rPr>
                <w:rFonts w:hint="eastAsia" w:ascii="宋体" w:hAnsi="宋体" w:cs="宋体"/>
                <w:color w:val="000000"/>
                <w:kern w:val="0"/>
                <w:sz w:val="24"/>
                <w:lang w:bidi="ar"/>
              </w:rPr>
              <w:t>等级标准。其最高允许标准排放浓度详见下表。</w:t>
            </w:r>
          </w:p>
          <w:p w14:paraId="7EA6D098">
            <w:pPr>
              <w:jc w:val="center"/>
              <w:rPr>
                <w:b/>
                <w:bCs/>
                <w:szCs w:val="21"/>
              </w:rPr>
            </w:pPr>
            <w:r>
              <w:rPr>
                <w:b/>
                <w:bCs/>
                <w:szCs w:val="21"/>
              </w:rPr>
              <w:t>表3-1</w:t>
            </w:r>
            <w:r>
              <w:rPr>
                <w:rFonts w:hint="eastAsia"/>
                <w:b/>
                <w:bCs/>
                <w:szCs w:val="21"/>
              </w:rPr>
              <w:t>0</w:t>
            </w:r>
            <w:r>
              <w:rPr>
                <w:b/>
                <w:bCs/>
                <w:szCs w:val="21"/>
              </w:rPr>
              <w:t xml:space="preserve">   污水综合排放标准   单位：mg/L</w:t>
            </w:r>
          </w:p>
          <w:tbl>
            <w:tblPr>
              <w:tblStyle w:val="27"/>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0"/>
              <w:gridCol w:w="552"/>
              <w:gridCol w:w="863"/>
              <w:gridCol w:w="757"/>
              <w:gridCol w:w="1325"/>
              <w:gridCol w:w="1348"/>
              <w:gridCol w:w="841"/>
              <w:gridCol w:w="542"/>
              <w:gridCol w:w="1086"/>
            </w:tblGrid>
            <w:tr w14:paraId="798CB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 w:hRule="atLeast"/>
                <w:jc w:val="center"/>
              </w:trPr>
              <w:tc>
                <w:tcPr>
                  <w:tcW w:w="643" w:type="pct"/>
                  <w:tcBorders>
                    <w:tl2br w:val="nil"/>
                    <w:tr2bl w:val="nil"/>
                  </w:tcBorders>
                  <w:vAlign w:val="center"/>
                </w:tcPr>
                <w:p w14:paraId="609D6309">
                  <w:pPr>
                    <w:adjustRightInd w:val="0"/>
                    <w:snapToGrid w:val="0"/>
                    <w:spacing w:line="300" w:lineRule="auto"/>
                    <w:jc w:val="center"/>
                    <w:rPr>
                      <w:b/>
                      <w:bCs/>
                      <w:szCs w:val="21"/>
                    </w:rPr>
                  </w:pPr>
                  <w:r>
                    <w:rPr>
                      <w:rFonts w:hint="eastAsia"/>
                      <w:b/>
                      <w:bCs/>
                      <w:szCs w:val="21"/>
                    </w:rPr>
                    <w:t>污染物</w:t>
                  </w:r>
                </w:p>
              </w:tc>
              <w:tc>
                <w:tcPr>
                  <w:tcW w:w="329" w:type="pct"/>
                  <w:tcBorders>
                    <w:tl2br w:val="nil"/>
                    <w:tr2bl w:val="nil"/>
                  </w:tcBorders>
                  <w:vAlign w:val="center"/>
                </w:tcPr>
                <w:p w14:paraId="10ED2804">
                  <w:pPr>
                    <w:adjustRightInd w:val="0"/>
                    <w:snapToGrid w:val="0"/>
                    <w:spacing w:line="300" w:lineRule="auto"/>
                    <w:jc w:val="center"/>
                    <w:rPr>
                      <w:b/>
                      <w:bCs/>
                      <w:szCs w:val="21"/>
                    </w:rPr>
                  </w:pPr>
                  <w:r>
                    <w:rPr>
                      <w:b/>
                      <w:bCs/>
                      <w:szCs w:val="21"/>
                    </w:rPr>
                    <w:t>pH</w:t>
                  </w:r>
                </w:p>
              </w:tc>
              <w:tc>
                <w:tcPr>
                  <w:tcW w:w="513" w:type="pct"/>
                  <w:tcBorders>
                    <w:tl2br w:val="nil"/>
                    <w:tr2bl w:val="nil"/>
                  </w:tcBorders>
                  <w:vAlign w:val="center"/>
                </w:tcPr>
                <w:p w14:paraId="7524C976">
                  <w:pPr>
                    <w:adjustRightInd w:val="0"/>
                    <w:snapToGrid w:val="0"/>
                    <w:spacing w:line="300" w:lineRule="auto"/>
                    <w:jc w:val="center"/>
                    <w:rPr>
                      <w:b/>
                      <w:bCs/>
                      <w:szCs w:val="21"/>
                    </w:rPr>
                  </w:pPr>
                  <w:r>
                    <w:rPr>
                      <w:b/>
                      <w:bCs/>
                      <w:szCs w:val="21"/>
                    </w:rPr>
                    <w:t>COD</w:t>
                  </w:r>
                  <w:r>
                    <w:rPr>
                      <w:b/>
                      <w:bCs/>
                      <w:szCs w:val="21"/>
                      <w:vertAlign w:val="subscript"/>
                    </w:rPr>
                    <w:t>Cr</w:t>
                  </w:r>
                </w:p>
              </w:tc>
              <w:tc>
                <w:tcPr>
                  <w:tcW w:w="451" w:type="pct"/>
                  <w:tcBorders>
                    <w:tl2br w:val="nil"/>
                    <w:tr2bl w:val="nil"/>
                  </w:tcBorders>
                  <w:vAlign w:val="center"/>
                </w:tcPr>
                <w:p w14:paraId="1F51B3EC">
                  <w:pPr>
                    <w:adjustRightInd w:val="0"/>
                    <w:snapToGrid w:val="0"/>
                    <w:spacing w:line="300" w:lineRule="auto"/>
                    <w:jc w:val="center"/>
                    <w:rPr>
                      <w:b/>
                      <w:bCs/>
                      <w:szCs w:val="21"/>
                    </w:rPr>
                  </w:pPr>
                  <w:r>
                    <w:rPr>
                      <w:b/>
                      <w:bCs/>
                      <w:szCs w:val="21"/>
                    </w:rPr>
                    <w:t>BOD</w:t>
                  </w:r>
                  <w:r>
                    <w:rPr>
                      <w:b/>
                      <w:bCs/>
                      <w:szCs w:val="21"/>
                      <w:vertAlign w:val="subscript"/>
                    </w:rPr>
                    <w:t>5</w:t>
                  </w:r>
                </w:p>
              </w:tc>
              <w:tc>
                <w:tcPr>
                  <w:tcW w:w="788" w:type="pct"/>
                  <w:tcBorders>
                    <w:tl2br w:val="nil"/>
                    <w:tr2bl w:val="nil"/>
                  </w:tcBorders>
                  <w:vAlign w:val="center"/>
                </w:tcPr>
                <w:p w14:paraId="1C70288C">
                  <w:pPr>
                    <w:adjustRightInd w:val="0"/>
                    <w:snapToGrid w:val="0"/>
                    <w:spacing w:line="300" w:lineRule="auto"/>
                    <w:jc w:val="center"/>
                    <w:rPr>
                      <w:b/>
                      <w:bCs/>
                      <w:szCs w:val="21"/>
                    </w:rPr>
                  </w:pPr>
                  <w:r>
                    <w:rPr>
                      <w:rFonts w:hint="eastAsia"/>
                      <w:b/>
                      <w:bCs/>
                      <w:szCs w:val="21"/>
                    </w:rPr>
                    <w:t>总磷</w:t>
                  </w:r>
                </w:p>
                <w:p w14:paraId="15D04519">
                  <w:pPr>
                    <w:adjustRightInd w:val="0"/>
                    <w:snapToGrid w:val="0"/>
                    <w:spacing w:line="300" w:lineRule="auto"/>
                    <w:jc w:val="center"/>
                    <w:rPr>
                      <w:b/>
                      <w:bCs/>
                      <w:szCs w:val="21"/>
                    </w:rPr>
                  </w:pPr>
                  <w:r>
                    <w:rPr>
                      <w:rFonts w:hint="eastAsia"/>
                      <w:b/>
                      <w:bCs/>
                      <w:szCs w:val="21"/>
                    </w:rPr>
                    <w:t>（以</w:t>
                  </w:r>
                  <w:r>
                    <w:rPr>
                      <w:b/>
                      <w:bCs/>
                      <w:szCs w:val="21"/>
                    </w:rPr>
                    <w:t>P</w:t>
                  </w:r>
                  <w:r>
                    <w:rPr>
                      <w:rFonts w:hint="eastAsia"/>
                      <w:b/>
                      <w:bCs/>
                      <w:szCs w:val="21"/>
                    </w:rPr>
                    <w:t>计）</w:t>
                  </w:r>
                </w:p>
              </w:tc>
              <w:tc>
                <w:tcPr>
                  <w:tcW w:w="802" w:type="pct"/>
                  <w:tcBorders>
                    <w:tl2br w:val="nil"/>
                    <w:tr2bl w:val="nil"/>
                  </w:tcBorders>
                  <w:vAlign w:val="center"/>
                </w:tcPr>
                <w:p w14:paraId="71F7996F">
                  <w:pPr>
                    <w:adjustRightInd w:val="0"/>
                    <w:snapToGrid w:val="0"/>
                    <w:spacing w:line="300" w:lineRule="auto"/>
                    <w:jc w:val="center"/>
                    <w:rPr>
                      <w:b/>
                      <w:bCs/>
                      <w:szCs w:val="21"/>
                    </w:rPr>
                  </w:pPr>
                  <w:r>
                    <w:rPr>
                      <w:rFonts w:hint="eastAsia"/>
                      <w:b/>
                      <w:bCs/>
                      <w:szCs w:val="21"/>
                    </w:rPr>
                    <w:t>总氮</w:t>
                  </w:r>
                </w:p>
                <w:p w14:paraId="42C630DC">
                  <w:pPr>
                    <w:adjustRightInd w:val="0"/>
                    <w:snapToGrid w:val="0"/>
                    <w:spacing w:line="300" w:lineRule="auto"/>
                    <w:jc w:val="center"/>
                    <w:rPr>
                      <w:b/>
                      <w:bCs/>
                      <w:szCs w:val="21"/>
                    </w:rPr>
                  </w:pPr>
                  <w:r>
                    <w:rPr>
                      <w:rFonts w:hint="eastAsia"/>
                      <w:b/>
                      <w:bCs/>
                      <w:szCs w:val="21"/>
                    </w:rPr>
                    <w:t>（以N计）</w:t>
                  </w:r>
                </w:p>
              </w:tc>
              <w:tc>
                <w:tcPr>
                  <w:tcW w:w="500" w:type="pct"/>
                  <w:tcBorders>
                    <w:tl2br w:val="nil"/>
                    <w:tr2bl w:val="nil"/>
                  </w:tcBorders>
                  <w:vAlign w:val="center"/>
                </w:tcPr>
                <w:p w14:paraId="484D3360">
                  <w:pPr>
                    <w:adjustRightInd w:val="0"/>
                    <w:snapToGrid w:val="0"/>
                    <w:spacing w:line="300" w:lineRule="auto"/>
                    <w:jc w:val="center"/>
                    <w:rPr>
                      <w:b/>
                      <w:bCs/>
                      <w:szCs w:val="21"/>
                    </w:rPr>
                  </w:pPr>
                  <w:r>
                    <w:rPr>
                      <w:b/>
                      <w:bCs/>
                      <w:szCs w:val="21"/>
                    </w:rPr>
                    <w:t>NH</w:t>
                  </w:r>
                  <w:r>
                    <w:rPr>
                      <w:b/>
                      <w:bCs/>
                      <w:szCs w:val="21"/>
                      <w:vertAlign w:val="subscript"/>
                    </w:rPr>
                    <w:t>3</w:t>
                  </w:r>
                  <w:r>
                    <w:rPr>
                      <w:b/>
                      <w:bCs/>
                      <w:szCs w:val="21"/>
                    </w:rPr>
                    <w:t>-N</w:t>
                  </w:r>
                </w:p>
              </w:tc>
              <w:tc>
                <w:tcPr>
                  <w:tcW w:w="323" w:type="pct"/>
                  <w:tcBorders>
                    <w:tl2br w:val="nil"/>
                    <w:tr2bl w:val="nil"/>
                  </w:tcBorders>
                  <w:vAlign w:val="center"/>
                </w:tcPr>
                <w:p w14:paraId="54B8C057">
                  <w:pPr>
                    <w:adjustRightInd w:val="0"/>
                    <w:snapToGrid w:val="0"/>
                    <w:spacing w:line="300" w:lineRule="auto"/>
                    <w:jc w:val="center"/>
                    <w:rPr>
                      <w:b/>
                      <w:bCs/>
                      <w:szCs w:val="21"/>
                    </w:rPr>
                  </w:pPr>
                  <w:r>
                    <w:rPr>
                      <w:b/>
                      <w:bCs/>
                      <w:szCs w:val="21"/>
                    </w:rPr>
                    <w:t>SS</w:t>
                  </w:r>
                </w:p>
              </w:tc>
              <w:tc>
                <w:tcPr>
                  <w:tcW w:w="646" w:type="pct"/>
                  <w:tcBorders>
                    <w:tl2br w:val="nil"/>
                    <w:tr2bl w:val="nil"/>
                  </w:tcBorders>
                  <w:vAlign w:val="center"/>
                </w:tcPr>
                <w:p w14:paraId="4EB7BAF9">
                  <w:pPr>
                    <w:adjustRightInd w:val="0"/>
                    <w:snapToGrid w:val="0"/>
                    <w:spacing w:line="300" w:lineRule="auto"/>
                    <w:jc w:val="center"/>
                    <w:rPr>
                      <w:b/>
                      <w:bCs/>
                      <w:szCs w:val="21"/>
                    </w:rPr>
                  </w:pPr>
                  <w:r>
                    <w:rPr>
                      <w:rFonts w:hint="eastAsia"/>
                      <w:b/>
                      <w:bCs/>
                      <w:szCs w:val="21"/>
                    </w:rPr>
                    <w:t>动植物油</w:t>
                  </w:r>
                </w:p>
              </w:tc>
            </w:tr>
            <w:tr w14:paraId="0E7E6C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 w:hRule="atLeast"/>
                <w:jc w:val="center"/>
              </w:trPr>
              <w:tc>
                <w:tcPr>
                  <w:tcW w:w="643" w:type="pct"/>
                  <w:tcBorders>
                    <w:tl2br w:val="nil"/>
                    <w:tr2bl w:val="nil"/>
                  </w:tcBorders>
                  <w:vAlign w:val="center"/>
                </w:tcPr>
                <w:p w14:paraId="261AED0D">
                  <w:pPr>
                    <w:adjustRightInd w:val="0"/>
                    <w:snapToGrid w:val="0"/>
                    <w:spacing w:line="300" w:lineRule="auto"/>
                    <w:jc w:val="center"/>
                    <w:rPr>
                      <w:szCs w:val="21"/>
                    </w:rPr>
                  </w:pPr>
                  <w:r>
                    <w:rPr>
                      <w:rFonts w:hint="eastAsia"/>
                      <w:szCs w:val="21"/>
                    </w:rPr>
                    <w:t>执行标准</w:t>
                  </w:r>
                </w:p>
              </w:tc>
              <w:tc>
                <w:tcPr>
                  <w:tcW w:w="329" w:type="pct"/>
                  <w:tcBorders>
                    <w:tl2br w:val="nil"/>
                    <w:tr2bl w:val="nil"/>
                  </w:tcBorders>
                  <w:vAlign w:val="center"/>
                </w:tcPr>
                <w:p w14:paraId="7204DC91">
                  <w:pPr>
                    <w:adjustRightInd w:val="0"/>
                    <w:snapToGrid w:val="0"/>
                    <w:spacing w:line="300" w:lineRule="auto"/>
                    <w:jc w:val="center"/>
                    <w:rPr>
                      <w:szCs w:val="21"/>
                    </w:rPr>
                  </w:pPr>
                  <w:r>
                    <w:rPr>
                      <w:szCs w:val="21"/>
                    </w:rPr>
                    <w:t>6~9</w:t>
                  </w:r>
                </w:p>
              </w:tc>
              <w:tc>
                <w:tcPr>
                  <w:tcW w:w="513" w:type="pct"/>
                  <w:tcBorders>
                    <w:tl2br w:val="nil"/>
                    <w:tr2bl w:val="nil"/>
                  </w:tcBorders>
                  <w:vAlign w:val="center"/>
                </w:tcPr>
                <w:p w14:paraId="3F8EA681">
                  <w:pPr>
                    <w:adjustRightInd w:val="0"/>
                    <w:snapToGrid w:val="0"/>
                    <w:spacing w:line="300" w:lineRule="auto"/>
                    <w:jc w:val="center"/>
                    <w:rPr>
                      <w:szCs w:val="21"/>
                    </w:rPr>
                  </w:pPr>
                  <w:r>
                    <w:rPr>
                      <w:szCs w:val="21"/>
                    </w:rPr>
                    <w:t>500</w:t>
                  </w:r>
                </w:p>
              </w:tc>
              <w:tc>
                <w:tcPr>
                  <w:tcW w:w="451" w:type="pct"/>
                  <w:tcBorders>
                    <w:tl2br w:val="nil"/>
                    <w:tr2bl w:val="nil"/>
                  </w:tcBorders>
                  <w:vAlign w:val="center"/>
                </w:tcPr>
                <w:p w14:paraId="5E967834">
                  <w:pPr>
                    <w:adjustRightInd w:val="0"/>
                    <w:snapToGrid w:val="0"/>
                    <w:spacing w:line="300" w:lineRule="auto"/>
                    <w:jc w:val="center"/>
                    <w:rPr>
                      <w:szCs w:val="21"/>
                    </w:rPr>
                  </w:pPr>
                  <w:r>
                    <w:rPr>
                      <w:szCs w:val="21"/>
                    </w:rPr>
                    <w:t>300</w:t>
                  </w:r>
                </w:p>
              </w:tc>
              <w:tc>
                <w:tcPr>
                  <w:tcW w:w="788" w:type="pct"/>
                  <w:tcBorders>
                    <w:tl2br w:val="nil"/>
                    <w:tr2bl w:val="nil"/>
                  </w:tcBorders>
                  <w:vAlign w:val="center"/>
                </w:tcPr>
                <w:p w14:paraId="4D8E5ED2">
                  <w:pPr>
                    <w:adjustRightInd w:val="0"/>
                    <w:snapToGrid w:val="0"/>
                    <w:spacing w:line="300" w:lineRule="auto"/>
                    <w:jc w:val="center"/>
                    <w:rPr>
                      <w:szCs w:val="21"/>
                    </w:rPr>
                  </w:pPr>
                  <w:r>
                    <w:rPr>
                      <w:rFonts w:hint="eastAsia"/>
                      <w:szCs w:val="21"/>
                    </w:rPr>
                    <w:t>8</w:t>
                  </w:r>
                </w:p>
              </w:tc>
              <w:tc>
                <w:tcPr>
                  <w:tcW w:w="802" w:type="pct"/>
                  <w:tcBorders>
                    <w:tl2br w:val="nil"/>
                    <w:tr2bl w:val="nil"/>
                  </w:tcBorders>
                  <w:vAlign w:val="center"/>
                </w:tcPr>
                <w:p w14:paraId="69D888C3">
                  <w:pPr>
                    <w:adjustRightInd w:val="0"/>
                    <w:snapToGrid w:val="0"/>
                    <w:spacing w:line="300" w:lineRule="auto"/>
                    <w:jc w:val="center"/>
                    <w:rPr>
                      <w:szCs w:val="21"/>
                    </w:rPr>
                  </w:pPr>
                  <w:r>
                    <w:rPr>
                      <w:rFonts w:hint="eastAsia"/>
                      <w:szCs w:val="21"/>
                    </w:rPr>
                    <w:t>70</w:t>
                  </w:r>
                </w:p>
              </w:tc>
              <w:tc>
                <w:tcPr>
                  <w:tcW w:w="500" w:type="pct"/>
                  <w:tcBorders>
                    <w:tl2br w:val="nil"/>
                    <w:tr2bl w:val="nil"/>
                  </w:tcBorders>
                  <w:vAlign w:val="center"/>
                </w:tcPr>
                <w:p w14:paraId="33037EF3">
                  <w:pPr>
                    <w:adjustRightInd w:val="0"/>
                    <w:snapToGrid w:val="0"/>
                    <w:spacing w:line="300" w:lineRule="auto"/>
                    <w:jc w:val="center"/>
                    <w:rPr>
                      <w:szCs w:val="21"/>
                    </w:rPr>
                  </w:pPr>
                  <w:r>
                    <w:rPr>
                      <w:rFonts w:hint="eastAsia"/>
                      <w:szCs w:val="21"/>
                    </w:rPr>
                    <w:t>45</w:t>
                  </w:r>
                </w:p>
              </w:tc>
              <w:tc>
                <w:tcPr>
                  <w:tcW w:w="323" w:type="pct"/>
                  <w:tcBorders>
                    <w:tl2br w:val="nil"/>
                    <w:tr2bl w:val="nil"/>
                  </w:tcBorders>
                  <w:vAlign w:val="center"/>
                </w:tcPr>
                <w:p w14:paraId="282A0F83">
                  <w:pPr>
                    <w:adjustRightInd w:val="0"/>
                    <w:snapToGrid w:val="0"/>
                    <w:spacing w:line="300" w:lineRule="auto"/>
                    <w:jc w:val="center"/>
                    <w:rPr>
                      <w:szCs w:val="21"/>
                    </w:rPr>
                  </w:pPr>
                  <w:r>
                    <w:rPr>
                      <w:szCs w:val="21"/>
                    </w:rPr>
                    <w:t>400</w:t>
                  </w:r>
                </w:p>
              </w:tc>
              <w:tc>
                <w:tcPr>
                  <w:tcW w:w="646" w:type="pct"/>
                  <w:tcBorders>
                    <w:tl2br w:val="nil"/>
                    <w:tr2bl w:val="nil"/>
                  </w:tcBorders>
                  <w:vAlign w:val="center"/>
                </w:tcPr>
                <w:p w14:paraId="70A1E942">
                  <w:pPr>
                    <w:adjustRightInd w:val="0"/>
                    <w:snapToGrid w:val="0"/>
                    <w:spacing w:line="300" w:lineRule="auto"/>
                    <w:jc w:val="center"/>
                    <w:rPr>
                      <w:szCs w:val="21"/>
                    </w:rPr>
                  </w:pPr>
                  <w:r>
                    <w:rPr>
                      <w:rFonts w:hint="eastAsia"/>
                      <w:szCs w:val="21"/>
                    </w:rPr>
                    <w:t>100</w:t>
                  </w:r>
                </w:p>
              </w:tc>
            </w:tr>
          </w:tbl>
          <w:p w14:paraId="23176CDD">
            <w:pPr>
              <w:widowControl/>
              <w:spacing w:before="120" w:beforeLines="50" w:line="360" w:lineRule="auto"/>
              <w:ind w:firstLine="482" w:firstLineChars="200"/>
              <w:jc w:val="left"/>
              <w:rPr>
                <w:b/>
                <w:bCs/>
                <w:sz w:val="24"/>
              </w:rPr>
            </w:pPr>
            <w:r>
              <w:rPr>
                <w:rFonts w:hint="eastAsia"/>
                <w:b/>
                <w:bCs/>
                <w:sz w:val="24"/>
              </w:rPr>
              <w:t>3、噪声排放标准</w:t>
            </w:r>
          </w:p>
          <w:p w14:paraId="54B815A1">
            <w:pPr>
              <w:adjustRightInd w:val="0"/>
              <w:snapToGrid w:val="0"/>
              <w:spacing w:line="360" w:lineRule="auto"/>
              <w:ind w:firstLine="480" w:firstLineChars="200"/>
              <w:rPr>
                <w:sz w:val="24"/>
              </w:rPr>
            </w:pPr>
            <w:r>
              <w:rPr>
                <w:rFonts w:hint="eastAsia"/>
                <w:sz w:val="24"/>
              </w:rPr>
              <w:t>施工期执行《</w:t>
            </w:r>
            <w:r>
              <w:rPr>
                <w:sz w:val="24"/>
              </w:rPr>
              <w:t>建筑施工场界环境噪声排放标准》（GB12523-2011）；根据《达州市人民政府办公室关于印发达州市中心城区声环境功能区划分方案的通知》的通知（达市府办规〔2023〕4号）并结合《声环境功能区划分技术规范》（GB/T15190-2014），</w:t>
            </w:r>
            <w:r>
              <w:rPr>
                <w:sz w:val="24"/>
                <w:highlight w:val="yellow"/>
              </w:rPr>
              <w:t>营运期执行《工业</w:t>
            </w:r>
            <w:r>
              <w:rPr>
                <w:rFonts w:hint="eastAsia"/>
                <w:sz w:val="24"/>
                <w:highlight w:val="yellow"/>
              </w:rPr>
              <w:t>企业厂界环境噪声排放标准》（</w:t>
            </w:r>
            <w:r>
              <w:rPr>
                <w:sz w:val="24"/>
                <w:highlight w:val="yellow"/>
              </w:rPr>
              <w:t>GB12348-2008</w:t>
            </w:r>
            <w:r>
              <w:rPr>
                <w:rFonts w:hint="eastAsia"/>
                <w:sz w:val="24"/>
                <w:highlight w:val="yellow"/>
              </w:rPr>
              <w:t>）中的2类声功能区标准</w:t>
            </w:r>
            <w:r>
              <w:rPr>
                <w:rStyle w:val="33"/>
                <w:rFonts w:hint="eastAsia"/>
                <w:kern w:val="0"/>
                <w:szCs w:val="20"/>
              </w:rPr>
              <w:t>限值</w:t>
            </w:r>
            <w:r>
              <w:rPr>
                <w:rFonts w:hint="eastAsia"/>
                <w:sz w:val="24"/>
              </w:rPr>
              <w:t>，标准值见下表。</w:t>
            </w:r>
          </w:p>
          <w:p w14:paraId="352295EF">
            <w:pPr>
              <w:jc w:val="center"/>
              <w:rPr>
                <w:b/>
                <w:bCs/>
                <w:szCs w:val="21"/>
              </w:rPr>
            </w:pPr>
            <w:r>
              <w:rPr>
                <w:rFonts w:hint="eastAsia"/>
                <w:b/>
                <w:bCs/>
                <w:szCs w:val="21"/>
              </w:rPr>
              <w:t>表3-11</w:t>
            </w:r>
            <w:r>
              <w:rPr>
                <w:b/>
                <w:bCs/>
                <w:szCs w:val="21"/>
              </w:rPr>
              <w:t xml:space="preserve">  </w:t>
            </w:r>
            <w:r>
              <w:rPr>
                <w:rFonts w:hint="eastAsia"/>
                <w:b/>
                <w:bCs/>
                <w:szCs w:val="21"/>
              </w:rPr>
              <w:t xml:space="preserve"> 环境噪声排放标准</w:t>
            </w:r>
            <w:r>
              <w:rPr>
                <w:b/>
                <w:bCs/>
                <w:szCs w:val="21"/>
              </w:rPr>
              <w:t xml:space="preserve">  </w:t>
            </w:r>
            <w:r>
              <w:rPr>
                <w:rFonts w:hint="eastAsia"/>
                <w:b/>
                <w:bCs/>
                <w:szCs w:val="21"/>
              </w:rPr>
              <w:t xml:space="preserve"> 单位：</w:t>
            </w:r>
            <w:r>
              <w:rPr>
                <w:b/>
                <w:bCs/>
                <w:szCs w:val="21"/>
              </w:rPr>
              <w:t>dB</w:t>
            </w:r>
            <w:r>
              <w:rPr>
                <w:rFonts w:hint="eastAsia"/>
                <w:b/>
                <w:bCs/>
                <w:szCs w:val="21"/>
              </w:rPr>
              <w:t>（</w:t>
            </w:r>
            <w:r>
              <w:rPr>
                <w:b/>
                <w:bCs/>
                <w:szCs w:val="21"/>
              </w:rPr>
              <w:t>A</w:t>
            </w:r>
            <w:r>
              <w:rPr>
                <w:rFonts w:hint="eastAsia"/>
                <w:b/>
                <w:bCs/>
                <w:szCs w:val="21"/>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6"/>
              <w:gridCol w:w="2702"/>
              <w:gridCol w:w="2701"/>
            </w:tblGrid>
            <w:tr w14:paraId="0557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vAlign w:val="center"/>
                </w:tcPr>
                <w:p w14:paraId="0ADEC081">
                  <w:pPr>
                    <w:jc w:val="center"/>
                    <w:rPr>
                      <w:b/>
                      <w:bCs/>
                      <w:szCs w:val="21"/>
                    </w:rPr>
                  </w:pPr>
                  <w:r>
                    <w:rPr>
                      <w:b/>
                      <w:bCs/>
                      <w:szCs w:val="21"/>
                    </w:rPr>
                    <w:t>项目</w:t>
                  </w:r>
                </w:p>
              </w:tc>
              <w:tc>
                <w:tcPr>
                  <w:tcW w:w="1606" w:type="pct"/>
                  <w:vAlign w:val="center"/>
                </w:tcPr>
                <w:p w14:paraId="1E8BBDB4">
                  <w:pPr>
                    <w:jc w:val="center"/>
                    <w:rPr>
                      <w:b/>
                      <w:bCs/>
                      <w:szCs w:val="21"/>
                    </w:rPr>
                  </w:pPr>
                  <w:r>
                    <w:rPr>
                      <w:b/>
                      <w:bCs/>
                      <w:szCs w:val="21"/>
                    </w:rPr>
                    <w:t>昼间</w:t>
                  </w:r>
                </w:p>
              </w:tc>
              <w:tc>
                <w:tcPr>
                  <w:tcW w:w="1606" w:type="pct"/>
                  <w:vAlign w:val="center"/>
                </w:tcPr>
                <w:p w14:paraId="71F955A4">
                  <w:pPr>
                    <w:jc w:val="center"/>
                    <w:rPr>
                      <w:b/>
                      <w:bCs/>
                      <w:szCs w:val="21"/>
                    </w:rPr>
                  </w:pPr>
                  <w:r>
                    <w:rPr>
                      <w:b/>
                      <w:bCs/>
                      <w:szCs w:val="21"/>
                    </w:rPr>
                    <w:t>夜间</w:t>
                  </w:r>
                </w:p>
              </w:tc>
            </w:tr>
            <w:tr w14:paraId="613D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vAlign w:val="center"/>
                </w:tcPr>
                <w:p w14:paraId="02CCA096">
                  <w:pPr>
                    <w:jc w:val="center"/>
                    <w:rPr>
                      <w:szCs w:val="21"/>
                    </w:rPr>
                  </w:pPr>
                  <w:r>
                    <w:rPr>
                      <w:szCs w:val="21"/>
                    </w:rPr>
                    <w:t>施工期排放限值〔dB（A</w:t>
                  </w:r>
                  <w:r>
                    <w:rPr>
                      <w:rFonts w:hint="eastAsia"/>
                      <w:szCs w:val="21"/>
                    </w:rPr>
                    <w:t>）</w:t>
                  </w:r>
                  <w:r>
                    <w:rPr>
                      <w:szCs w:val="21"/>
                    </w:rPr>
                    <w:t>〕</w:t>
                  </w:r>
                </w:p>
              </w:tc>
              <w:tc>
                <w:tcPr>
                  <w:tcW w:w="1606" w:type="pct"/>
                  <w:vAlign w:val="center"/>
                </w:tcPr>
                <w:p w14:paraId="7F394832">
                  <w:pPr>
                    <w:jc w:val="center"/>
                    <w:rPr>
                      <w:szCs w:val="21"/>
                    </w:rPr>
                  </w:pPr>
                  <w:r>
                    <w:rPr>
                      <w:szCs w:val="21"/>
                    </w:rPr>
                    <w:t>70</w:t>
                  </w:r>
                </w:p>
              </w:tc>
              <w:tc>
                <w:tcPr>
                  <w:tcW w:w="1606" w:type="pct"/>
                  <w:vAlign w:val="center"/>
                </w:tcPr>
                <w:p w14:paraId="53939EBA">
                  <w:pPr>
                    <w:jc w:val="center"/>
                    <w:rPr>
                      <w:szCs w:val="21"/>
                    </w:rPr>
                  </w:pPr>
                  <w:r>
                    <w:rPr>
                      <w:szCs w:val="21"/>
                    </w:rPr>
                    <w:t>55</w:t>
                  </w:r>
                </w:p>
              </w:tc>
            </w:tr>
            <w:tr w14:paraId="3741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pct"/>
                  <w:vAlign w:val="center"/>
                </w:tcPr>
                <w:p w14:paraId="001BDA22">
                  <w:pPr>
                    <w:jc w:val="center"/>
                    <w:rPr>
                      <w:szCs w:val="21"/>
                    </w:rPr>
                  </w:pPr>
                  <w:r>
                    <w:rPr>
                      <w:szCs w:val="21"/>
                    </w:rPr>
                    <w:t>运营期排放限值〔dB（A</w:t>
                  </w:r>
                  <w:r>
                    <w:rPr>
                      <w:rFonts w:hint="eastAsia"/>
                      <w:szCs w:val="21"/>
                    </w:rPr>
                    <w:t>）</w:t>
                  </w:r>
                  <w:r>
                    <w:rPr>
                      <w:szCs w:val="21"/>
                    </w:rPr>
                    <w:t>〕</w:t>
                  </w:r>
                </w:p>
              </w:tc>
              <w:tc>
                <w:tcPr>
                  <w:tcW w:w="1606" w:type="pct"/>
                  <w:vAlign w:val="center"/>
                </w:tcPr>
                <w:p w14:paraId="478BF330">
                  <w:pPr>
                    <w:jc w:val="center"/>
                    <w:rPr>
                      <w:szCs w:val="21"/>
                    </w:rPr>
                  </w:pPr>
                  <w:r>
                    <w:rPr>
                      <w:szCs w:val="21"/>
                    </w:rPr>
                    <w:t>60</w:t>
                  </w:r>
                </w:p>
              </w:tc>
              <w:tc>
                <w:tcPr>
                  <w:tcW w:w="1606" w:type="pct"/>
                  <w:vAlign w:val="center"/>
                </w:tcPr>
                <w:p w14:paraId="5EFD520D">
                  <w:pPr>
                    <w:jc w:val="center"/>
                    <w:rPr>
                      <w:szCs w:val="21"/>
                    </w:rPr>
                  </w:pPr>
                  <w:r>
                    <w:rPr>
                      <w:szCs w:val="21"/>
                    </w:rPr>
                    <w:t>50</w:t>
                  </w:r>
                </w:p>
              </w:tc>
            </w:tr>
          </w:tbl>
          <w:p w14:paraId="6DC63B1D">
            <w:pPr>
              <w:adjustRightInd w:val="0"/>
              <w:snapToGrid w:val="0"/>
              <w:spacing w:before="120" w:beforeLines="50" w:line="360" w:lineRule="auto"/>
              <w:ind w:firstLine="482" w:firstLineChars="200"/>
              <w:rPr>
                <w:b/>
                <w:bCs/>
                <w:kern w:val="0"/>
                <w:sz w:val="24"/>
              </w:rPr>
            </w:pPr>
            <w:r>
              <w:rPr>
                <w:rFonts w:hint="eastAsia"/>
                <w:b/>
                <w:bCs/>
                <w:kern w:val="0"/>
                <w:sz w:val="24"/>
              </w:rPr>
              <w:t>4、固体废物</w:t>
            </w:r>
          </w:p>
          <w:p w14:paraId="68D6C962">
            <w:pPr>
              <w:wordWrap w:val="0"/>
              <w:adjustRightInd w:val="0"/>
              <w:snapToGrid w:val="0"/>
              <w:spacing w:line="360" w:lineRule="auto"/>
              <w:ind w:firstLine="480" w:firstLineChars="200"/>
              <w:rPr>
                <w:rFonts w:hint="eastAsia" w:ascii="宋体" w:hAnsi="宋体" w:cs="宋体"/>
                <w:kern w:val="0"/>
                <w:szCs w:val="21"/>
              </w:rPr>
            </w:pPr>
            <w:r>
              <w:rPr>
                <w:sz w:val="24"/>
              </w:rPr>
              <w:t>一般固废</w:t>
            </w:r>
            <w:r>
              <w:rPr>
                <w:rFonts w:hint="eastAsia"/>
                <w:sz w:val="24"/>
              </w:rPr>
              <w:t>贮存参照执行</w:t>
            </w:r>
            <w:r>
              <w:rPr>
                <w:sz w:val="24"/>
              </w:rPr>
              <w:t>《一般工业固体废物贮存和填埋污染控制标准》（GB18599-2020</w:t>
            </w:r>
            <w:r>
              <w:rPr>
                <w:rFonts w:hint="eastAsia"/>
                <w:sz w:val="24"/>
              </w:rPr>
              <w:t>）相关规定，贮存过程应满足相应防渗漏、防雨淋、防扬尘等环境保护要求。危险废物贮存执行</w:t>
            </w:r>
            <w:r>
              <w:rPr>
                <w:sz w:val="24"/>
              </w:rPr>
              <w:t>《危险废物贮存污染物控制标准》</w:t>
            </w:r>
            <w:r>
              <w:rPr>
                <w:rFonts w:hint="eastAsia"/>
                <w:sz w:val="24"/>
              </w:rPr>
              <w:t>（</w:t>
            </w:r>
            <w:r>
              <w:rPr>
                <w:sz w:val="24"/>
              </w:rPr>
              <w:t>GB18597-20</w:t>
            </w:r>
            <w:r>
              <w:rPr>
                <w:rFonts w:hint="eastAsia"/>
                <w:sz w:val="24"/>
              </w:rPr>
              <w:t>23）中相关规定。</w:t>
            </w:r>
          </w:p>
        </w:tc>
      </w:tr>
      <w:tr w14:paraId="72740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6" w:type="dxa"/>
            <w:vAlign w:val="center"/>
          </w:tcPr>
          <w:p w14:paraId="6900E2BB">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620718A4">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45493D52">
            <w:pPr>
              <w:adjustRightInd w:val="0"/>
              <w:snapToGrid w:val="0"/>
              <w:jc w:val="center"/>
              <w:rPr>
                <w:rFonts w:hint="eastAsia" w:ascii="宋体" w:hAnsi="宋体" w:cs="宋体"/>
                <w:kern w:val="0"/>
                <w:szCs w:val="21"/>
              </w:rPr>
            </w:pPr>
            <w:r>
              <w:rPr>
                <w:rFonts w:hint="eastAsia" w:ascii="宋体" w:hAnsi="宋体" w:cs="宋体"/>
                <w:kern w:val="0"/>
                <w:szCs w:val="21"/>
              </w:rPr>
              <w:t>指标</w:t>
            </w:r>
          </w:p>
        </w:tc>
        <w:tc>
          <w:tcPr>
            <w:tcW w:w="8635" w:type="dxa"/>
          </w:tcPr>
          <w:p w14:paraId="25C2424A">
            <w:pPr>
              <w:wordWrap w:val="0"/>
              <w:adjustRightInd w:val="0"/>
              <w:snapToGrid w:val="0"/>
              <w:spacing w:line="360" w:lineRule="auto"/>
              <w:ind w:firstLine="480" w:firstLineChars="200"/>
              <w:rPr>
                <w:sz w:val="24"/>
              </w:rPr>
            </w:pPr>
            <w:r>
              <w:rPr>
                <w:rFonts w:hint="eastAsia"/>
                <w:sz w:val="24"/>
              </w:rPr>
              <w:t>根据《国务院关于印发</w:t>
            </w:r>
            <w:r>
              <w:rPr>
                <w:rFonts w:hint="eastAsia"/>
                <w:sz w:val="24"/>
                <w:lang w:eastAsia="zh-CN"/>
              </w:rPr>
              <w:t>〈</w:t>
            </w:r>
            <w:r>
              <w:rPr>
                <w:rFonts w:hint="eastAsia"/>
                <w:sz w:val="24"/>
              </w:rPr>
              <w:t>“十四五”节能减排综合工作方案</w:t>
            </w:r>
            <w:r>
              <w:rPr>
                <w:rFonts w:hint="eastAsia"/>
                <w:sz w:val="24"/>
                <w:lang w:eastAsia="zh-CN"/>
              </w:rPr>
              <w:t>〉的通知》</w:t>
            </w:r>
            <w:r>
              <w:rPr>
                <w:rFonts w:hint="eastAsia"/>
                <w:sz w:val="24"/>
              </w:rPr>
              <w:t>（国发</w:t>
            </w:r>
            <w:r>
              <w:rPr>
                <w:rFonts w:hint="eastAsia"/>
                <w:sz w:val="24"/>
                <w:lang w:eastAsia="zh-CN"/>
              </w:rPr>
              <w:t>〔2021〕33号</w:t>
            </w:r>
            <w:r>
              <w:rPr>
                <w:rFonts w:hint="eastAsia"/>
                <w:sz w:val="24"/>
              </w:rPr>
              <w:t>），目前国家对化学需氧量、氨氮、氮氧化物、挥发性有机物等四种主要污染物纳入排放总量控制计划管理。</w:t>
            </w:r>
          </w:p>
          <w:p w14:paraId="2875E002">
            <w:pPr>
              <w:spacing w:line="360" w:lineRule="auto"/>
              <w:ind w:firstLine="482" w:firstLineChars="200"/>
              <w:rPr>
                <w:sz w:val="24"/>
              </w:rPr>
            </w:pPr>
            <w:r>
              <w:rPr>
                <w:rFonts w:hint="eastAsia"/>
                <w:b/>
                <w:bCs/>
                <w:sz w:val="24"/>
              </w:rPr>
              <w:t>本项目废水排口</w:t>
            </w:r>
            <w:r>
              <w:rPr>
                <w:rFonts w:hint="eastAsia"/>
                <w:sz w:val="24"/>
              </w:rPr>
              <w:t>：</w:t>
            </w:r>
          </w:p>
          <w:p w14:paraId="4D1F7F5F">
            <w:pPr>
              <w:spacing w:line="360" w:lineRule="auto"/>
              <w:ind w:firstLine="480" w:firstLineChars="200"/>
              <w:rPr>
                <w:sz w:val="24"/>
              </w:rPr>
            </w:pPr>
            <w:r>
              <w:rPr>
                <w:rFonts w:hint="eastAsia"/>
                <w:sz w:val="24"/>
              </w:rPr>
              <w:t>生活废水、生产管理用房地面清洁废水最大排放量为194.11m³/a，生产废水（渗滤液、车间地面清洗废水、设备清洗废水、洗车废水）最大排放量为7834.25m³/a。按《污水综合排放标准》（GB8978-1996）及《污水排入城镇下水道水质标准》（GB/T 31962-2015）中B级标准限值（COD：500mg/L；NH</w:t>
            </w:r>
            <w:r>
              <w:rPr>
                <w:rFonts w:hint="eastAsia"/>
                <w:sz w:val="24"/>
                <w:vertAlign w:val="subscript"/>
              </w:rPr>
              <w:t>3</w:t>
            </w:r>
            <w:r>
              <w:rPr>
                <w:rFonts w:hint="eastAsia"/>
                <w:sz w:val="24"/>
              </w:rPr>
              <w:t>-N：45mg/L；TP：8mg/L）。</w:t>
            </w:r>
          </w:p>
          <w:p w14:paraId="4C6646C3">
            <w:pPr>
              <w:spacing w:line="360" w:lineRule="auto"/>
              <w:ind w:firstLine="480" w:firstLineChars="200"/>
              <w:rPr>
                <w:sz w:val="24"/>
              </w:rPr>
            </w:pPr>
            <w:r>
              <w:rPr>
                <w:rFonts w:hint="eastAsia"/>
                <w:sz w:val="24"/>
              </w:rPr>
              <w:t>COD=8028.36m³/a×500mg/L×10</w:t>
            </w:r>
            <w:r>
              <w:rPr>
                <w:rFonts w:hint="eastAsia"/>
                <w:sz w:val="24"/>
                <w:vertAlign w:val="superscript"/>
              </w:rPr>
              <w:t>-6</w:t>
            </w:r>
            <w:r>
              <w:rPr>
                <w:rFonts w:hint="eastAsia"/>
                <w:sz w:val="24"/>
              </w:rPr>
              <w:t>=4.014t/a</w:t>
            </w:r>
          </w:p>
          <w:p w14:paraId="0AB58C39">
            <w:pPr>
              <w:spacing w:line="360" w:lineRule="auto"/>
              <w:ind w:firstLine="480" w:firstLineChars="200"/>
              <w:rPr>
                <w:sz w:val="24"/>
              </w:rPr>
            </w:pPr>
            <w:r>
              <w:rPr>
                <w:rFonts w:hint="eastAsia"/>
                <w:sz w:val="24"/>
              </w:rPr>
              <w:t>NH</w:t>
            </w:r>
            <w:r>
              <w:rPr>
                <w:rFonts w:hint="eastAsia"/>
                <w:sz w:val="24"/>
                <w:vertAlign w:val="subscript"/>
              </w:rPr>
              <w:t>3</w:t>
            </w:r>
            <w:r>
              <w:rPr>
                <w:rFonts w:hint="eastAsia"/>
                <w:sz w:val="24"/>
              </w:rPr>
              <w:t>-N=8028.36m³/a×45mg/L×10</w:t>
            </w:r>
            <w:r>
              <w:rPr>
                <w:rFonts w:hint="eastAsia"/>
                <w:sz w:val="24"/>
                <w:vertAlign w:val="superscript"/>
              </w:rPr>
              <w:t>-6</w:t>
            </w:r>
            <w:r>
              <w:rPr>
                <w:rFonts w:hint="eastAsia"/>
                <w:sz w:val="24"/>
              </w:rPr>
              <w:t>=0.361t/a</w:t>
            </w:r>
          </w:p>
          <w:p w14:paraId="71D110F7">
            <w:pPr>
              <w:spacing w:line="360" w:lineRule="auto"/>
              <w:ind w:firstLine="480" w:firstLineChars="200"/>
              <w:rPr>
                <w:sz w:val="24"/>
              </w:rPr>
            </w:pPr>
            <w:r>
              <w:rPr>
                <w:rFonts w:hint="eastAsia"/>
                <w:sz w:val="24"/>
              </w:rPr>
              <w:t>TP=8028.36m³/a×8mg/L×10</w:t>
            </w:r>
            <w:r>
              <w:rPr>
                <w:rFonts w:hint="eastAsia"/>
                <w:sz w:val="24"/>
                <w:vertAlign w:val="superscript"/>
              </w:rPr>
              <w:t>-6</w:t>
            </w:r>
            <w:r>
              <w:rPr>
                <w:rFonts w:hint="eastAsia"/>
                <w:sz w:val="24"/>
              </w:rPr>
              <w:t>=0.0647t/a</w:t>
            </w:r>
          </w:p>
          <w:p w14:paraId="7C84BEA6">
            <w:pPr>
              <w:spacing w:line="360" w:lineRule="auto"/>
              <w:ind w:firstLine="482" w:firstLineChars="200"/>
              <w:rPr>
                <w:b/>
                <w:bCs/>
                <w:sz w:val="24"/>
              </w:rPr>
            </w:pPr>
            <w:r>
              <w:rPr>
                <w:rFonts w:hint="eastAsia"/>
                <w:b/>
                <w:bCs/>
                <w:sz w:val="24"/>
              </w:rPr>
              <w:t>达州市第二城市污水处理厂排口：</w:t>
            </w:r>
          </w:p>
          <w:p w14:paraId="0B92EE4E">
            <w:pPr>
              <w:spacing w:line="360" w:lineRule="auto"/>
              <w:ind w:firstLine="480" w:firstLineChars="200"/>
              <w:rPr>
                <w:sz w:val="24"/>
              </w:rPr>
            </w:pPr>
            <w:r>
              <w:rPr>
                <w:rFonts w:hint="eastAsia"/>
                <w:sz w:val="24"/>
              </w:rPr>
              <w:t>项目进入达州市第二城市污水处理厂的废水总量为8028.36m³/d，污水处理厂排口现行浓度按《城镇污水处理厂污染物排放标准》（GB18918-2002）中一级A 标（COD：50mg/L；NH</w:t>
            </w:r>
            <w:r>
              <w:rPr>
                <w:rFonts w:hint="eastAsia"/>
                <w:sz w:val="24"/>
                <w:vertAlign w:val="subscript"/>
              </w:rPr>
              <w:t>3</w:t>
            </w:r>
            <w:r>
              <w:rPr>
                <w:rFonts w:hint="eastAsia"/>
                <w:sz w:val="24"/>
              </w:rPr>
              <w:t>-N：5mg/L；TP：0.5mg/L）计算，则：</w:t>
            </w:r>
          </w:p>
          <w:p w14:paraId="1ECCCD87">
            <w:pPr>
              <w:spacing w:line="360" w:lineRule="auto"/>
              <w:ind w:firstLine="480" w:firstLineChars="200"/>
              <w:rPr>
                <w:sz w:val="24"/>
              </w:rPr>
            </w:pPr>
            <w:r>
              <w:rPr>
                <w:rFonts w:hint="eastAsia"/>
                <w:sz w:val="24"/>
              </w:rPr>
              <w:t>COD=8028.36m³/a×50mg/L×10</w:t>
            </w:r>
            <w:r>
              <w:rPr>
                <w:rFonts w:hint="eastAsia"/>
                <w:sz w:val="24"/>
                <w:vertAlign w:val="superscript"/>
              </w:rPr>
              <w:t>-6</w:t>
            </w:r>
            <w:r>
              <w:rPr>
                <w:rFonts w:hint="eastAsia"/>
                <w:sz w:val="24"/>
              </w:rPr>
              <w:t>=0.401t/a</w:t>
            </w:r>
          </w:p>
          <w:p w14:paraId="31F56772">
            <w:pPr>
              <w:spacing w:line="360" w:lineRule="auto"/>
              <w:ind w:firstLine="480" w:firstLineChars="200"/>
              <w:rPr>
                <w:sz w:val="24"/>
              </w:rPr>
            </w:pPr>
            <w:r>
              <w:rPr>
                <w:rFonts w:hint="eastAsia"/>
                <w:sz w:val="24"/>
              </w:rPr>
              <w:t>NH</w:t>
            </w:r>
            <w:r>
              <w:rPr>
                <w:rFonts w:hint="eastAsia"/>
                <w:sz w:val="24"/>
                <w:vertAlign w:val="subscript"/>
              </w:rPr>
              <w:t>3</w:t>
            </w:r>
            <w:r>
              <w:rPr>
                <w:rFonts w:hint="eastAsia"/>
                <w:sz w:val="24"/>
              </w:rPr>
              <w:t>-N=8028.36m³/a×5mg/L×10</w:t>
            </w:r>
            <w:r>
              <w:rPr>
                <w:rFonts w:hint="eastAsia"/>
                <w:sz w:val="24"/>
                <w:vertAlign w:val="superscript"/>
              </w:rPr>
              <w:t>-6</w:t>
            </w:r>
            <w:r>
              <w:rPr>
                <w:rFonts w:hint="eastAsia"/>
                <w:sz w:val="24"/>
              </w:rPr>
              <w:t>=0.04t/a</w:t>
            </w:r>
          </w:p>
          <w:p w14:paraId="2E8E4B1E">
            <w:pPr>
              <w:spacing w:line="360" w:lineRule="auto"/>
              <w:ind w:firstLine="480" w:firstLineChars="200"/>
              <w:rPr>
                <w:sz w:val="24"/>
              </w:rPr>
            </w:pPr>
            <w:r>
              <w:rPr>
                <w:rFonts w:hint="eastAsia"/>
                <w:sz w:val="24"/>
              </w:rPr>
              <w:t>TP=8028.36m³/a×0.5mg/L×10</w:t>
            </w:r>
            <w:r>
              <w:rPr>
                <w:rFonts w:hint="eastAsia"/>
                <w:sz w:val="24"/>
                <w:vertAlign w:val="superscript"/>
              </w:rPr>
              <w:t>-6</w:t>
            </w:r>
            <w:r>
              <w:rPr>
                <w:rFonts w:hint="eastAsia"/>
                <w:sz w:val="24"/>
              </w:rPr>
              <w:t>=0.004t/a</w:t>
            </w:r>
          </w:p>
          <w:p w14:paraId="23E49B69">
            <w:pPr>
              <w:widowControl/>
              <w:spacing w:line="360" w:lineRule="auto"/>
              <w:ind w:firstLine="480" w:firstLineChars="200"/>
              <w:jc w:val="left"/>
              <w:rPr>
                <w:sz w:val="24"/>
              </w:rPr>
            </w:pPr>
            <w:r>
              <w:rPr>
                <w:rFonts w:hint="eastAsia"/>
                <w:sz w:val="24"/>
              </w:rPr>
              <w:t>本项目总量控制指标纳入达州市第二城市污水处理厂总量指标考核，不另申请总量。</w:t>
            </w:r>
          </w:p>
          <w:p w14:paraId="142AD8FF">
            <w:pPr>
              <w:widowControl/>
              <w:spacing w:line="360" w:lineRule="auto"/>
              <w:ind w:firstLine="480" w:firstLineChars="200"/>
              <w:jc w:val="left"/>
              <w:rPr>
                <w:sz w:val="24"/>
              </w:rPr>
            </w:pPr>
            <w:r>
              <w:rPr>
                <w:rFonts w:hint="eastAsia"/>
                <w:sz w:val="24"/>
              </w:rPr>
              <w:t>本项目废气污染物主要为H</w:t>
            </w:r>
            <w:r>
              <w:rPr>
                <w:rFonts w:hint="eastAsia"/>
                <w:sz w:val="24"/>
                <w:vertAlign w:val="subscript"/>
              </w:rPr>
              <w:t>2</w:t>
            </w:r>
            <w:r>
              <w:rPr>
                <w:rFonts w:hint="eastAsia"/>
                <w:sz w:val="24"/>
              </w:rPr>
              <w:t>S，NH</w:t>
            </w:r>
            <w:r>
              <w:rPr>
                <w:rFonts w:hint="eastAsia"/>
                <w:sz w:val="24"/>
                <w:vertAlign w:val="subscript"/>
              </w:rPr>
              <w:t>3</w:t>
            </w:r>
            <w:r>
              <w:rPr>
                <w:rFonts w:hint="eastAsia"/>
                <w:sz w:val="24"/>
              </w:rPr>
              <w:t>，因此，本项目废气不纳入排放总量控制计划管理。</w:t>
            </w:r>
          </w:p>
          <w:p w14:paraId="4AD37DE9">
            <w:pPr>
              <w:adjustRightInd w:val="0"/>
              <w:snapToGrid w:val="0"/>
              <w:rPr>
                <w:rFonts w:hint="eastAsia" w:ascii="宋体" w:hAnsi="宋体" w:cs="宋体"/>
                <w:kern w:val="0"/>
                <w:szCs w:val="21"/>
              </w:rPr>
            </w:pPr>
          </w:p>
          <w:p w14:paraId="2E92343A">
            <w:pPr>
              <w:adjustRightInd w:val="0"/>
              <w:snapToGrid w:val="0"/>
              <w:rPr>
                <w:rFonts w:hint="eastAsia" w:ascii="宋体" w:hAnsi="宋体" w:cs="宋体"/>
                <w:kern w:val="0"/>
                <w:szCs w:val="21"/>
              </w:rPr>
            </w:pPr>
          </w:p>
          <w:p w14:paraId="39EA7415">
            <w:pPr>
              <w:adjustRightInd w:val="0"/>
              <w:snapToGrid w:val="0"/>
              <w:rPr>
                <w:rFonts w:hint="eastAsia" w:ascii="宋体" w:hAnsi="宋体" w:cs="宋体"/>
                <w:kern w:val="0"/>
                <w:szCs w:val="21"/>
              </w:rPr>
            </w:pPr>
          </w:p>
        </w:tc>
      </w:tr>
    </w:tbl>
    <w:p w14:paraId="68993145">
      <w:pPr>
        <w:pStyle w:val="24"/>
        <w:jc w:val="both"/>
        <w:outlineLvl w:val="0"/>
        <w:rPr>
          <w:rFonts w:hint="eastAsia"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14:paraId="710F6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dxa"/>
            <w:tcMar>
              <w:left w:w="28" w:type="dxa"/>
              <w:right w:w="28" w:type="dxa"/>
            </w:tcMar>
            <w:vAlign w:val="center"/>
          </w:tcPr>
          <w:p w14:paraId="58040C4A">
            <w:pPr>
              <w:pStyle w:val="24"/>
              <w:adjustRightInd w:val="0"/>
              <w:snapToGrid w:val="0"/>
              <w:spacing w:before="0" w:beforeAutospacing="0" w:after="0" w:afterAutospacing="0"/>
              <w:jc w:val="center"/>
              <w:rPr>
                <w:rFonts w:hint="eastAsia" w:cs="宋体"/>
                <w:kern w:val="2"/>
                <w:szCs w:val="24"/>
              </w:rPr>
            </w:pPr>
            <w:r>
              <w:rPr>
                <w:rFonts w:hint="eastAsia" w:cs="宋体"/>
                <w:kern w:val="2"/>
                <w:szCs w:val="24"/>
              </w:rPr>
              <w:t>施工</w:t>
            </w:r>
          </w:p>
          <w:p w14:paraId="2E586620">
            <w:pPr>
              <w:pStyle w:val="24"/>
              <w:adjustRightInd w:val="0"/>
              <w:snapToGrid w:val="0"/>
              <w:spacing w:before="0" w:beforeAutospacing="0" w:after="0" w:afterAutospacing="0"/>
              <w:jc w:val="center"/>
              <w:rPr>
                <w:rFonts w:hint="eastAsia" w:cs="宋体"/>
                <w:kern w:val="2"/>
                <w:szCs w:val="24"/>
              </w:rPr>
            </w:pPr>
            <w:r>
              <w:rPr>
                <w:rFonts w:hint="eastAsia" w:cs="宋体"/>
                <w:kern w:val="2"/>
                <w:szCs w:val="24"/>
              </w:rPr>
              <w:t>期环</w:t>
            </w:r>
          </w:p>
          <w:p w14:paraId="10529B0A">
            <w:pPr>
              <w:pStyle w:val="24"/>
              <w:adjustRightInd w:val="0"/>
              <w:snapToGrid w:val="0"/>
              <w:spacing w:before="0" w:beforeAutospacing="0" w:after="0" w:afterAutospacing="0"/>
              <w:jc w:val="center"/>
              <w:rPr>
                <w:rFonts w:hint="eastAsia" w:cs="宋体"/>
                <w:kern w:val="2"/>
                <w:szCs w:val="24"/>
              </w:rPr>
            </w:pPr>
            <w:r>
              <w:rPr>
                <w:rFonts w:hint="eastAsia" w:cs="宋体"/>
                <w:kern w:val="2"/>
                <w:szCs w:val="24"/>
              </w:rPr>
              <w:t>境保</w:t>
            </w:r>
          </w:p>
          <w:p w14:paraId="4C129810">
            <w:pPr>
              <w:pStyle w:val="24"/>
              <w:adjustRightInd w:val="0"/>
              <w:snapToGrid w:val="0"/>
              <w:spacing w:before="0" w:beforeAutospacing="0" w:after="0" w:afterAutospacing="0"/>
              <w:jc w:val="center"/>
              <w:rPr>
                <w:rFonts w:hint="eastAsia" w:cs="宋体"/>
                <w:kern w:val="2"/>
                <w:szCs w:val="24"/>
              </w:rPr>
            </w:pPr>
            <w:r>
              <w:rPr>
                <w:rFonts w:hint="eastAsia" w:cs="宋体"/>
                <w:kern w:val="2"/>
                <w:szCs w:val="24"/>
              </w:rPr>
              <w:t>护措</w:t>
            </w:r>
          </w:p>
          <w:p w14:paraId="006077F5">
            <w:pPr>
              <w:pStyle w:val="24"/>
              <w:adjustRightInd w:val="0"/>
              <w:snapToGrid w:val="0"/>
              <w:spacing w:before="0" w:beforeAutospacing="0" w:after="0" w:afterAutospacing="0"/>
              <w:jc w:val="center"/>
              <w:rPr>
                <w:rFonts w:hint="eastAsia" w:cs="宋体"/>
                <w:bCs/>
                <w:kern w:val="2"/>
                <w:sz w:val="21"/>
                <w:szCs w:val="21"/>
              </w:rPr>
            </w:pPr>
            <w:r>
              <w:rPr>
                <w:rFonts w:hint="eastAsia" w:cs="宋体"/>
                <w:kern w:val="2"/>
                <w:szCs w:val="24"/>
              </w:rPr>
              <w:t>施</w:t>
            </w:r>
          </w:p>
        </w:tc>
        <w:tc>
          <w:tcPr>
            <w:tcW w:w="8686" w:type="dxa"/>
          </w:tcPr>
          <w:p w14:paraId="0FE692D3">
            <w:pPr>
              <w:spacing w:before="120" w:beforeLines="50" w:line="360" w:lineRule="auto"/>
              <w:ind w:firstLine="482" w:firstLineChars="200"/>
              <w:rPr>
                <w:b/>
                <w:bCs/>
                <w:sz w:val="24"/>
              </w:rPr>
            </w:pPr>
            <w:r>
              <w:rPr>
                <w:rFonts w:hint="eastAsia"/>
                <w:b/>
                <w:bCs/>
                <w:sz w:val="24"/>
              </w:rPr>
              <w:t>项目施工期主要治理措施如下：</w:t>
            </w:r>
          </w:p>
          <w:p w14:paraId="1B9B7190">
            <w:pPr>
              <w:adjustRightInd w:val="0"/>
              <w:snapToGrid w:val="0"/>
              <w:spacing w:line="360" w:lineRule="auto"/>
              <w:ind w:firstLine="442" w:firstLineChars="200"/>
              <w:rPr>
                <w:b/>
                <w:spacing w:val="-10"/>
                <w:sz w:val="24"/>
              </w:rPr>
            </w:pPr>
            <w:r>
              <w:rPr>
                <w:rFonts w:hint="eastAsia"/>
                <w:b/>
                <w:spacing w:val="-10"/>
                <w:sz w:val="24"/>
              </w:rPr>
              <w:t>1、废气</w:t>
            </w:r>
          </w:p>
          <w:p w14:paraId="3560590B">
            <w:pPr>
              <w:widowControl/>
              <w:spacing w:line="360" w:lineRule="auto"/>
              <w:ind w:firstLine="480" w:firstLineChars="200"/>
              <w:jc w:val="left"/>
              <w:rPr>
                <w:color w:val="000000"/>
                <w:kern w:val="0"/>
                <w:sz w:val="24"/>
                <w:lang w:bidi="ar"/>
              </w:rPr>
            </w:pPr>
            <w:r>
              <w:rPr>
                <w:color w:val="000000"/>
                <w:kern w:val="0"/>
                <w:sz w:val="24"/>
                <w:lang w:bidi="ar"/>
              </w:rPr>
              <w:t>新建垃圾中转站主体</w:t>
            </w:r>
            <w:r>
              <w:rPr>
                <w:rFonts w:hint="eastAsia"/>
                <w:color w:val="000000"/>
                <w:kern w:val="0"/>
                <w:sz w:val="24"/>
                <w:lang w:bidi="ar"/>
              </w:rPr>
              <w:t>工程包括</w:t>
            </w:r>
            <w:r>
              <w:rPr>
                <w:color w:val="000000"/>
                <w:kern w:val="0"/>
                <w:sz w:val="24"/>
                <w:lang w:bidi="ar"/>
              </w:rPr>
              <w:t>站房及设备、称重系统、除臭系统、污水处理车间、转运车辆及其他配套服务系统等。因此施工期环境污染因素主要是废气、废水、噪声、固体废弃物等。</w:t>
            </w:r>
          </w:p>
          <w:p w14:paraId="4C44BBBC">
            <w:pPr>
              <w:widowControl/>
              <w:spacing w:line="360" w:lineRule="auto"/>
              <w:ind w:firstLine="480" w:firstLineChars="200"/>
              <w:jc w:val="left"/>
            </w:pPr>
            <w:r>
              <w:rPr>
                <w:color w:val="000000"/>
                <w:kern w:val="0"/>
                <w:sz w:val="24"/>
                <w:lang w:bidi="ar"/>
              </w:rPr>
              <w:t>废气主要来源于施工扬尘、施工机械及运输车辆产生的废气；废水主要是施工冲洗废水、工人生活污水；噪声主要是不同作业的机械产生的噪声和振动；固体废弃物主要是建筑垃圾和工人生活垃圾等。为使建设期间对周围环境的影响尽可能小，建议采取以下的</w:t>
            </w:r>
            <w:r>
              <w:rPr>
                <w:rFonts w:hint="eastAsia"/>
                <w:color w:val="000000"/>
                <w:kern w:val="0"/>
                <w:sz w:val="24"/>
                <w:lang w:eastAsia="zh-CN" w:bidi="ar"/>
              </w:rPr>
              <w:t>污染防治</w:t>
            </w:r>
            <w:r>
              <w:rPr>
                <w:color w:val="000000"/>
                <w:kern w:val="0"/>
                <w:sz w:val="24"/>
                <w:lang w:bidi="ar"/>
              </w:rPr>
              <w:t>措施</w:t>
            </w:r>
            <w:r>
              <w:rPr>
                <w:rFonts w:hint="eastAsia" w:ascii="宋体" w:hAnsi="宋体" w:cs="宋体"/>
                <w:color w:val="000000"/>
                <w:kern w:val="0"/>
                <w:sz w:val="24"/>
                <w:lang w:bidi="ar"/>
              </w:rPr>
              <w:t xml:space="preserve">。 </w:t>
            </w:r>
          </w:p>
          <w:p w14:paraId="03E2F2BE">
            <w:pPr>
              <w:widowControl/>
              <w:spacing w:line="360" w:lineRule="auto"/>
              <w:ind w:firstLine="482" w:firstLineChars="200"/>
              <w:jc w:val="left"/>
              <w:rPr>
                <w:b/>
                <w:bCs/>
                <w:color w:val="000000"/>
                <w:kern w:val="0"/>
                <w:sz w:val="24"/>
                <w:lang w:bidi="ar"/>
              </w:rPr>
            </w:pPr>
            <w:r>
              <w:rPr>
                <w:b/>
                <w:bCs/>
                <w:color w:val="000000"/>
                <w:kern w:val="0"/>
                <w:sz w:val="24"/>
                <w:lang w:bidi="ar"/>
              </w:rPr>
              <w:t>（1</w:t>
            </w:r>
            <w:r>
              <w:rPr>
                <w:rFonts w:hint="eastAsia"/>
                <w:b/>
                <w:bCs/>
                <w:color w:val="000000"/>
                <w:kern w:val="0"/>
                <w:sz w:val="24"/>
                <w:lang w:bidi="ar"/>
              </w:rPr>
              <w:t>）</w:t>
            </w:r>
            <w:r>
              <w:rPr>
                <w:b/>
                <w:bCs/>
                <w:color w:val="000000"/>
                <w:kern w:val="0"/>
                <w:sz w:val="24"/>
                <w:lang w:bidi="ar"/>
              </w:rPr>
              <w:t>施工扬尘</w:t>
            </w:r>
          </w:p>
          <w:p w14:paraId="34871587">
            <w:pPr>
              <w:widowControl/>
              <w:spacing w:line="360" w:lineRule="auto"/>
              <w:ind w:firstLine="480" w:firstLineChars="200"/>
              <w:jc w:val="left"/>
              <w:rPr>
                <w:color w:val="000000"/>
                <w:kern w:val="0"/>
                <w:sz w:val="24"/>
                <w:lang w:bidi="ar"/>
              </w:rPr>
            </w:pPr>
            <w:r>
              <w:rPr>
                <w:color w:val="000000"/>
                <w:kern w:val="0"/>
                <w:sz w:val="24"/>
                <w:lang w:bidi="ar"/>
              </w:rPr>
              <w:t>扬尘主要来源于以下几个方面</w:t>
            </w:r>
            <w:r>
              <w:rPr>
                <w:rFonts w:hint="eastAsia"/>
                <w:color w:val="000000"/>
                <w:kern w:val="0"/>
                <w:sz w:val="24"/>
                <w:lang w:bidi="ar"/>
              </w:rPr>
              <w:t>：</w:t>
            </w:r>
            <w:r>
              <w:rPr>
                <w:color w:val="000000"/>
                <w:kern w:val="0"/>
                <w:sz w:val="24"/>
                <w:lang w:bidi="ar"/>
              </w:rPr>
              <w:t>土方挖掘、堆放、清运、回填及场地平整过</w:t>
            </w:r>
            <w:r>
              <w:rPr>
                <w:rFonts w:hint="eastAsia"/>
                <w:color w:val="000000"/>
                <w:kern w:val="0"/>
                <w:sz w:val="24"/>
                <w:lang w:eastAsia="zh-CN" w:bidi="ar"/>
              </w:rPr>
              <w:t>程中</w:t>
            </w:r>
            <w:r>
              <w:rPr>
                <w:color w:val="000000"/>
                <w:kern w:val="0"/>
                <w:sz w:val="24"/>
                <w:lang w:bidi="ar"/>
              </w:rPr>
              <w:t>产生的粉尘；建筑材料如水泥、白灰、砂子等在其装卸、运输、堆放等过程中，因风力作用而产生的扬尘；搅拌车辆和运输车辆往来造成地面扬尘；施工垃圾在其堆放过程和清运过程中产</w:t>
            </w:r>
            <w:r>
              <w:rPr>
                <w:rFonts w:hint="eastAsia"/>
                <w:color w:val="000000"/>
                <w:kern w:val="0"/>
                <w:sz w:val="24"/>
                <w:lang w:eastAsia="zh-CN" w:bidi="ar"/>
              </w:rPr>
              <w:t>生的</w:t>
            </w:r>
            <w:r>
              <w:rPr>
                <w:color w:val="000000"/>
                <w:kern w:val="0"/>
                <w:sz w:val="24"/>
                <w:lang w:bidi="ar"/>
              </w:rPr>
              <w:t>扬尘。根据类比资料可知，施工及运输车辆引起的扬尘对路边30m范围内影响较大，路边的TSP浓度可达到10mg/m</w:t>
            </w:r>
            <w:r>
              <w:rPr>
                <w:color w:val="000000"/>
                <w:kern w:val="0"/>
                <w:sz w:val="24"/>
                <w:vertAlign w:val="superscript"/>
                <w:lang w:bidi="ar"/>
              </w:rPr>
              <w:t>3</w:t>
            </w:r>
            <w:r>
              <w:rPr>
                <w:color w:val="000000"/>
                <w:kern w:val="0"/>
                <w:sz w:val="24"/>
                <w:lang w:bidi="ar"/>
              </w:rPr>
              <w:t>以上，这些扬尘尽管是短期行为，但会对附近区域带来不利的影响。</w:t>
            </w:r>
          </w:p>
          <w:p w14:paraId="3D519FDB">
            <w:pPr>
              <w:widowControl/>
              <w:spacing w:line="360" w:lineRule="auto"/>
              <w:ind w:firstLine="480" w:firstLineChars="200"/>
              <w:jc w:val="left"/>
              <w:rPr>
                <w:color w:val="000000"/>
                <w:kern w:val="0"/>
                <w:sz w:val="24"/>
                <w:lang w:bidi="ar"/>
              </w:rPr>
            </w:pPr>
            <w:r>
              <w:rPr>
                <w:color w:val="000000"/>
                <w:kern w:val="0"/>
                <w:sz w:val="24"/>
                <w:lang w:bidi="ar"/>
              </w:rPr>
              <w:t>为减少施工扬尘的产生和排放，在施工过程中，施工单位必须严格按照《四川省人民政府关于印发四川省打赢蓝天保卫战等九个实施方案的通知》</w:t>
            </w:r>
            <w:r>
              <w:rPr>
                <w:rFonts w:hint="eastAsia"/>
                <w:color w:val="000000"/>
                <w:kern w:val="0"/>
                <w:sz w:val="24"/>
                <w:lang w:bidi="ar"/>
              </w:rPr>
              <w:t>（</w:t>
            </w:r>
            <w:r>
              <w:rPr>
                <w:color w:val="000000"/>
                <w:kern w:val="0"/>
                <w:sz w:val="24"/>
                <w:lang w:bidi="ar"/>
              </w:rPr>
              <w:t>川府发〔2019</w:t>
            </w:r>
            <w:r>
              <w:rPr>
                <w:rFonts w:hint="eastAsia" w:ascii="宋体" w:hAnsi="宋体" w:cs="宋体"/>
                <w:kern w:val="0"/>
                <w:sz w:val="24"/>
                <w:lang w:bidi="ar"/>
              </w:rPr>
              <w:t>〕</w:t>
            </w:r>
            <w:r>
              <w:rPr>
                <w:color w:val="000000"/>
                <w:kern w:val="0"/>
                <w:sz w:val="24"/>
                <w:lang w:bidi="ar"/>
              </w:rPr>
              <w:t>4号</w:t>
            </w:r>
            <w:r>
              <w:rPr>
                <w:rFonts w:hint="eastAsia"/>
                <w:color w:val="000000"/>
                <w:kern w:val="0"/>
                <w:sz w:val="24"/>
                <w:lang w:bidi="ar"/>
              </w:rPr>
              <w:t>）</w:t>
            </w:r>
            <w:r>
              <w:rPr>
                <w:color w:val="000000"/>
                <w:kern w:val="0"/>
                <w:sz w:val="24"/>
                <w:lang w:bidi="ar"/>
              </w:rPr>
              <w:t>中有关施工工地和道路扬尘污染防治规定，积极推行绿色施工，施工现场必须全封闭设置围墙，严禁敞开式作业，施工现场道路、作业区、生活区必须进行地面硬化</w:t>
            </w:r>
            <w:r>
              <w:rPr>
                <w:rFonts w:hint="eastAsia"/>
                <w:color w:val="000000"/>
                <w:kern w:val="0"/>
                <w:sz w:val="24"/>
                <w:lang w:bidi="ar"/>
              </w:rPr>
              <w:t>；</w:t>
            </w:r>
            <w:r>
              <w:rPr>
                <w:color w:val="000000"/>
                <w:kern w:val="0"/>
                <w:sz w:val="24"/>
                <w:lang w:bidi="ar"/>
              </w:rPr>
              <w:t>制定、完善和严格执行建设施工管理制度，全面推行现场标准化管理，</w:t>
            </w:r>
            <w:r>
              <w:rPr>
                <w:sz w:val="24"/>
              </w:rPr>
              <w:t>认真落实施工现场管理</w:t>
            </w:r>
            <w:r>
              <w:rPr>
                <w:color w:val="000000"/>
                <w:kern w:val="0"/>
                <w:sz w:val="24"/>
                <w:lang w:bidi="ar"/>
              </w:rPr>
              <w:t>“六必须”</w:t>
            </w:r>
            <w:r>
              <w:rPr>
                <w:rFonts w:hint="eastAsia"/>
                <w:color w:val="000000"/>
                <w:kern w:val="0"/>
                <w:sz w:val="24"/>
                <w:lang w:bidi="ar"/>
              </w:rPr>
              <w:t>（</w:t>
            </w:r>
            <w:r>
              <w:rPr>
                <w:color w:val="000000"/>
                <w:kern w:val="0"/>
                <w:sz w:val="24"/>
                <w:lang w:bidi="ar"/>
              </w:rPr>
              <w:t>必须围挡作业</w:t>
            </w:r>
            <w:r>
              <w:rPr>
                <w:rFonts w:hint="eastAsia"/>
                <w:color w:val="000000"/>
                <w:kern w:val="0"/>
                <w:sz w:val="24"/>
                <w:lang w:bidi="ar"/>
              </w:rPr>
              <w:t>；</w:t>
            </w:r>
            <w:r>
              <w:rPr>
                <w:color w:val="000000"/>
                <w:kern w:val="0"/>
                <w:sz w:val="24"/>
                <w:lang w:bidi="ar"/>
              </w:rPr>
              <w:t>必须硬化道路</w:t>
            </w:r>
            <w:r>
              <w:rPr>
                <w:rFonts w:hint="eastAsia"/>
                <w:color w:val="000000"/>
                <w:kern w:val="0"/>
                <w:sz w:val="24"/>
                <w:lang w:bidi="ar"/>
              </w:rPr>
              <w:t>；</w:t>
            </w:r>
            <w:r>
              <w:rPr>
                <w:color w:val="000000"/>
                <w:kern w:val="0"/>
                <w:sz w:val="24"/>
                <w:lang w:bidi="ar"/>
              </w:rPr>
              <w:t>必须设置冲洗设施</w:t>
            </w:r>
            <w:r>
              <w:rPr>
                <w:rFonts w:hint="eastAsia"/>
                <w:color w:val="000000"/>
                <w:kern w:val="0"/>
                <w:sz w:val="24"/>
                <w:lang w:bidi="ar"/>
              </w:rPr>
              <w:t>；</w:t>
            </w:r>
            <w:r>
              <w:rPr>
                <w:color w:val="000000"/>
                <w:kern w:val="0"/>
                <w:sz w:val="24"/>
                <w:lang w:bidi="ar"/>
              </w:rPr>
              <w:t>必须及时洒水作业</w:t>
            </w:r>
            <w:r>
              <w:rPr>
                <w:rFonts w:hint="eastAsia"/>
                <w:color w:val="000000"/>
                <w:kern w:val="0"/>
                <w:sz w:val="24"/>
                <w:lang w:bidi="ar"/>
              </w:rPr>
              <w:t>；</w:t>
            </w:r>
            <w:r>
              <w:rPr>
                <w:color w:val="000000"/>
                <w:kern w:val="0"/>
                <w:sz w:val="24"/>
                <w:lang w:bidi="ar"/>
              </w:rPr>
              <w:t>必须配齐保洁人员</w:t>
            </w:r>
            <w:r>
              <w:rPr>
                <w:rFonts w:hint="eastAsia"/>
                <w:color w:val="000000"/>
                <w:kern w:val="0"/>
                <w:sz w:val="24"/>
                <w:lang w:bidi="ar"/>
              </w:rPr>
              <w:t>；</w:t>
            </w:r>
            <w:r>
              <w:rPr>
                <w:color w:val="000000"/>
                <w:kern w:val="0"/>
                <w:sz w:val="24"/>
                <w:lang w:bidi="ar"/>
              </w:rPr>
              <w:t>必须及时清扫施工现场</w:t>
            </w:r>
            <w:r>
              <w:rPr>
                <w:rFonts w:hint="eastAsia"/>
                <w:color w:val="000000"/>
                <w:kern w:val="0"/>
                <w:sz w:val="24"/>
                <w:lang w:bidi="ar"/>
              </w:rPr>
              <w:t>）</w:t>
            </w:r>
            <w:r>
              <w:rPr>
                <w:color w:val="000000"/>
                <w:kern w:val="0"/>
                <w:sz w:val="24"/>
                <w:lang w:bidi="ar"/>
              </w:rPr>
              <w:t>、“六不准”</w:t>
            </w:r>
            <w:r>
              <w:rPr>
                <w:rFonts w:hint="eastAsia"/>
                <w:color w:val="000000"/>
                <w:kern w:val="0"/>
                <w:sz w:val="24"/>
                <w:lang w:bidi="ar"/>
              </w:rPr>
              <w:t>（</w:t>
            </w:r>
            <w:r>
              <w:rPr>
                <w:color w:val="000000"/>
                <w:kern w:val="0"/>
                <w:sz w:val="24"/>
                <w:lang w:bidi="ar"/>
              </w:rPr>
              <w:t>不准车辆带泥出门</w:t>
            </w:r>
            <w:r>
              <w:rPr>
                <w:rFonts w:hint="eastAsia"/>
                <w:color w:val="000000"/>
                <w:kern w:val="0"/>
                <w:sz w:val="24"/>
                <w:lang w:bidi="ar"/>
              </w:rPr>
              <w:t>；</w:t>
            </w:r>
            <w:r>
              <w:rPr>
                <w:color w:val="000000"/>
                <w:kern w:val="0"/>
                <w:sz w:val="24"/>
                <w:lang w:bidi="ar"/>
              </w:rPr>
              <w:t>不准运渣车辆冒载</w:t>
            </w:r>
            <w:r>
              <w:rPr>
                <w:rFonts w:hint="eastAsia"/>
                <w:color w:val="000000"/>
                <w:kern w:val="0"/>
                <w:sz w:val="24"/>
                <w:lang w:bidi="ar"/>
              </w:rPr>
              <w:t>；</w:t>
            </w:r>
            <w:r>
              <w:rPr>
                <w:color w:val="000000"/>
                <w:kern w:val="0"/>
                <w:sz w:val="24"/>
                <w:lang w:bidi="ar"/>
              </w:rPr>
              <w:t>不准高空抛洒建筑垃圾</w:t>
            </w:r>
            <w:r>
              <w:rPr>
                <w:rFonts w:hint="eastAsia"/>
                <w:color w:val="000000"/>
                <w:kern w:val="0"/>
                <w:sz w:val="24"/>
                <w:lang w:bidi="ar"/>
              </w:rPr>
              <w:t>；</w:t>
            </w:r>
            <w:r>
              <w:rPr>
                <w:color w:val="000000"/>
                <w:kern w:val="0"/>
                <w:sz w:val="24"/>
                <w:lang w:bidi="ar"/>
              </w:rPr>
              <w:t>不准现场搅拌混凝土</w:t>
            </w:r>
            <w:r>
              <w:rPr>
                <w:rFonts w:hint="eastAsia"/>
                <w:color w:val="000000"/>
                <w:kern w:val="0"/>
                <w:sz w:val="24"/>
                <w:lang w:bidi="ar"/>
              </w:rPr>
              <w:t>；</w:t>
            </w:r>
            <w:r>
              <w:rPr>
                <w:color w:val="000000"/>
                <w:kern w:val="0"/>
                <w:sz w:val="24"/>
                <w:lang w:bidi="ar"/>
              </w:rPr>
              <w:t>不准场地积水</w:t>
            </w:r>
            <w:r>
              <w:rPr>
                <w:rFonts w:hint="eastAsia"/>
                <w:color w:val="000000"/>
                <w:kern w:val="0"/>
                <w:sz w:val="24"/>
                <w:lang w:bidi="ar"/>
              </w:rPr>
              <w:t>；</w:t>
            </w:r>
            <w:r>
              <w:rPr>
                <w:color w:val="000000"/>
                <w:kern w:val="0"/>
                <w:sz w:val="24"/>
                <w:lang w:bidi="ar"/>
              </w:rPr>
              <w:t>不准现场焚烧废弃物</w:t>
            </w:r>
            <w:r>
              <w:rPr>
                <w:rFonts w:hint="eastAsia"/>
                <w:color w:val="000000"/>
                <w:kern w:val="0"/>
                <w:sz w:val="24"/>
                <w:lang w:bidi="ar"/>
              </w:rPr>
              <w:t>）</w:t>
            </w:r>
            <w:r>
              <w:rPr>
                <w:color w:val="000000"/>
                <w:kern w:val="0"/>
                <w:sz w:val="24"/>
                <w:lang w:bidi="ar"/>
              </w:rPr>
              <w:t>，加强建设工地监督检查，督促责任单位落实降尘、压尘和抑尘措施。为此，施工单位应根据本项目分阶段建设的特殊性采取以下扬尘治理措施</w:t>
            </w:r>
            <w:r>
              <w:rPr>
                <w:rFonts w:hint="eastAsia"/>
                <w:color w:val="000000"/>
                <w:kern w:val="0"/>
                <w:sz w:val="24"/>
                <w:lang w:bidi="ar"/>
              </w:rPr>
              <w:t>：</w:t>
            </w:r>
          </w:p>
          <w:p w14:paraId="7F6E56CB">
            <w:pPr>
              <w:widowControl/>
              <w:spacing w:line="360" w:lineRule="auto"/>
              <w:ind w:firstLine="480" w:firstLineChars="200"/>
              <w:jc w:val="left"/>
              <w:rPr>
                <w:color w:val="000000"/>
                <w:kern w:val="0"/>
                <w:sz w:val="24"/>
                <w:lang w:bidi="ar"/>
              </w:rPr>
            </w:pPr>
            <w:r>
              <w:rPr>
                <w:rFonts w:hint="eastAsia"/>
                <w:color w:val="000000"/>
                <w:kern w:val="0"/>
                <w:sz w:val="24"/>
                <w:lang w:bidi="ar"/>
              </w:rPr>
              <w:t>①</w:t>
            </w:r>
            <w:r>
              <w:rPr>
                <w:color w:val="000000"/>
                <w:kern w:val="0"/>
                <w:sz w:val="24"/>
                <w:lang w:bidi="ar"/>
              </w:rPr>
              <w:t>施工现场四周采用封闭的钢结构墙围挡，墙高2.</w:t>
            </w:r>
            <w:r>
              <w:rPr>
                <w:rFonts w:hint="eastAsia"/>
                <w:color w:val="000000"/>
                <w:kern w:val="0"/>
                <w:sz w:val="24"/>
                <w:lang w:bidi="ar"/>
              </w:rPr>
              <w:t>5</w:t>
            </w:r>
            <w:r>
              <w:rPr>
                <w:color w:val="000000"/>
                <w:kern w:val="0"/>
                <w:sz w:val="24"/>
                <w:lang w:bidi="ar"/>
              </w:rPr>
              <w:t>m，并在挡墙顶部安装高压喷雾装置</w:t>
            </w:r>
            <w:r>
              <w:rPr>
                <w:rFonts w:hint="eastAsia"/>
                <w:color w:val="000000"/>
                <w:kern w:val="0"/>
                <w:sz w:val="24"/>
                <w:lang w:bidi="ar"/>
              </w:rPr>
              <w:t>（</w:t>
            </w:r>
            <w:r>
              <w:rPr>
                <w:color w:val="000000"/>
                <w:kern w:val="0"/>
                <w:sz w:val="24"/>
                <w:lang w:bidi="ar"/>
              </w:rPr>
              <w:t>挡墙长度约2</w:t>
            </w:r>
            <w:r>
              <w:rPr>
                <w:rFonts w:hint="eastAsia"/>
                <w:color w:val="000000"/>
                <w:kern w:val="0"/>
                <w:sz w:val="24"/>
                <w:lang w:bidi="ar"/>
              </w:rPr>
              <w:t>2</w:t>
            </w:r>
            <w:r>
              <w:rPr>
                <w:color w:val="000000"/>
                <w:kern w:val="0"/>
                <w:sz w:val="24"/>
                <w:lang w:bidi="ar"/>
              </w:rPr>
              <w:t>00m，每隔2m安装一个高压喷雾头</w:t>
            </w:r>
            <w:r>
              <w:rPr>
                <w:rFonts w:hint="eastAsia"/>
                <w:color w:val="000000"/>
                <w:kern w:val="0"/>
                <w:sz w:val="24"/>
                <w:lang w:bidi="ar"/>
              </w:rPr>
              <w:t>）</w:t>
            </w:r>
            <w:r>
              <w:rPr>
                <w:color w:val="000000"/>
                <w:kern w:val="0"/>
                <w:sz w:val="24"/>
                <w:lang w:bidi="ar"/>
              </w:rPr>
              <w:t>，以减少结构和装修过程中的粉尘飞扬现象，降低粉尘向大气中的排放</w:t>
            </w:r>
            <w:r>
              <w:rPr>
                <w:rFonts w:hint="eastAsia"/>
                <w:color w:val="000000"/>
                <w:kern w:val="0"/>
                <w:sz w:val="24"/>
                <w:lang w:bidi="ar"/>
              </w:rPr>
              <w:t>；</w:t>
            </w:r>
            <w:r>
              <w:rPr>
                <w:color w:val="000000"/>
                <w:kern w:val="0"/>
                <w:sz w:val="24"/>
                <w:lang w:bidi="ar"/>
              </w:rPr>
              <w:t>挡墙在拆除前，先将脚手板上的垃圾清理干净，清理时应避免扬尘</w:t>
            </w:r>
            <w:r>
              <w:rPr>
                <w:rFonts w:hint="eastAsia"/>
                <w:color w:val="000000"/>
                <w:kern w:val="0"/>
                <w:sz w:val="24"/>
                <w:lang w:bidi="ar"/>
              </w:rPr>
              <w:t>。</w:t>
            </w:r>
          </w:p>
          <w:p w14:paraId="47049977">
            <w:pPr>
              <w:widowControl/>
              <w:spacing w:line="360" w:lineRule="auto"/>
              <w:ind w:firstLine="480" w:firstLineChars="200"/>
              <w:jc w:val="left"/>
              <w:rPr>
                <w:color w:val="000000"/>
                <w:kern w:val="0"/>
                <w:sz w:val="24"/>
                <w:lang w:bidi="ar"/>
              </w:rPr>
            </w:pPr>
            <w:r>
              <w:rPr>
                <w:rFonts w:hint="eastAsia"/>
                <w:color w:val="000000"/>
                <w:kern w:val="0"/>
                <w:sz w:val="24"/>
                <w:lang w:bidi="ar"/>
              </w:rPr>
              <w:t>②</w:t>
            </w:r>
            <w:r>
              <w:rPr>
                <w:color w:val="000000"/>
                <w:kern w:val="0"/>
                <w:sz w:val="24"/>
                <w:lang w:bidi="ar"/>
              </w:rPr>
              <w:t>要求施工单位文明施工，定期对地面洒水，并对散落在路面的渣土及时清除，清理阶段做到先洒水后清扫，避免产生扬尘对项目</w:t>
            </w:r>
            <w:r>
              <w:rPr>
                <w:rFonts w:hint="eastAsia"/>
                <w:color w:val="000000"/>
                <w:kern w:val="0"/>
                <w:sz w:val="24"/>
                <w:lang w:bidi="ar"/>
              </w:rPr>
              <w:t>较近的</w:t>
            </w:r>
            <w:r>
              <w:rPr>
                <w:sz w:val="24"/>
              </w:rPr>
              <w:t>南侧达县职高</w:t>
            </w:r>
            <w:r>
              <w:rPr>
                <w:rFonts w:hint="eastAsia"/>
                <w:sz w:val="24"/>
              </w:rPr>
              <w:t>、</w:t>
            </w:r>
            <w:r>
              <w:rPr>
                <w:sz w:val="24"/>
              </w:rPr>
              <w:t>东南侧</w:t>
            </w:r>
            <w:r>
              <w:rPr>
                <w:rFonts w:hint="eastAsia"/>
                <w:sz w:val="24"/>
              </w:rPr>
              <w:t>居民楼</w:t>
            </w:r>
            <w:r>
              <w:rPr>
                <w:color w:val="000000"/>
                <w:kern w:val="0"/>
                <w:sz w:val="24"/>
                <w:lang w:bidi="ar"/>
              </w:rPr>
              <w:t>造成影响</w:t>
            </w:r>
            <w:r>
              <w:rPr>
                <w:rFonts w:hint="eastAsia"/>
                <w:color w:val="000000"/>
                <w:kern w:val="0"/>
                <w:sz w:val="24"/>
                <w:lang w:bidi="ar"/>
              </w:rPr>
              <w:t>。</w:t>
            </w:r>
          </w:p>
          <w:p w14:paraId="16803D7B">
            <w:pPr>
              <w:widowControl/>
              <w:spacing w:line="360" w:lineRule="auto"/>
              <w:ind w:firstLine="480" w:firstLineChars="200"/>
              <w:jc w:val="left"/>
              <w:rPr>
                <w:color w:val="000000"/>
                <w:kern w:val="0"/>
                <w:sz w:val="24"/>
                <w:lang w:bidi="ar"/>
              </w:rPr>
            </w:pPr>
            <w:r>
              <w:rPr>
                <w:color w:val="000000"/>
                <w:kern w:val="0"/>
                <w:sz w:val="24"/>
                <w:lang w:bidi="ar"/>
              </w:rPr>
              <w:t>③</w:t>
            </w:r>
            <w:r>
              <w:rPr>
                <w:sz w:val="24"/>
              </w:rPr>
              <w:t>施工车辆实施限速管理，施工现场主要运输道路</w:t>
            </w:r>
            <w:r>
              <w:rPr>
                <w:color w:val="000000"/>
                <w:kern w:val="0"/>
                <w:sz w:val="24"/>
                <w:lang w:bidi="ar"/>
              </w:rPr>
              <w:t>采用硬化路面并进行洒水抑尘</w:t>
            </w:r>
            <w:r>
              <w:rPr>
                <w:sz w:val="24"/>
              </w:rPr>
              <w:t>；</w:t>
            </w:r>
            <w:r>
              <w:rPr>
                <w:color w:val="000000"/>
                <w:kern w:val="0"/>
                <w:sz w:val="24"/>
                <w:lang w:bidi="ar"/>
              </w:rPr>
              <w:t>工地出入口处设置</w:t>
            </w:r>
            <w:r>
              <w:rPr>
                <w:rFonts w:hint="eastAsia"/>
                <w:color w:val="000000"/>
                <w:kern w:val="0"/>
                <w:sz w:val="24"/>
                <w:lang w:bidi="ar"/>
              </w:rPr>
              <w:t>车辆冲洗平台</w:t>
            </w:r>
            <w:r>
              <w:rPr>
                <w:color w:val="000000"/>
                <w:kern w:val="0"/>
                <w:sz w:val="24"/>
                <w:lang w:bidi="ar"/>
              </w:rPr>
              <w:t>，</w:t>
            </w:r>
            <w:r>
              <w:rPr>
                <w:sz w:val="24"/>
              </w:rPr>
              <w:t>配套设置地面排水沟、沉淀池。</w:t>
            </w:r>
            <w:r>
              <w:rPr>
                <w:color w:val="000000"/>
                <w:kern w:val="0"/>
                <w:sz w:val="24"/>
                <w:lang w:bidi="ar"/>
              </w:rPr>
              <w:t>确保出入工地车轮不带泥</w:t>
            </w:r>
            <w:r>
              <w:rPr>
                <w:rFonts w:hint="eastAsia"/>
                <w:color w:val="000000"/>
                <w:kern w:val="0"/>
                <w:sz w:val="24"/>
                <w:lang w:bidi="ar"/>
              </w:rPr>
              <w:t>。</w:t>
            </w:r>
          </w:p>
          <w:p w14:paraId="50C34397">
            <w:pPr>
              <w:widowControl/>
              <w:spacing w:line="360" w:lineRule="auto"/>
              <w:ind w:firstLine="480" w:firstLineChars="200"/>
              <w:jc w:val="left"/>
              <w:rPr>
                <w:color w:val="000000"/>
                <w:kern w:val="0"/>
                <w:sz w:val="24"/>
                <w:lang w:bidi="ar"/>
              </w:rPr>
            </w:pPr>
            <w:r>
              <w:rPr>
                <w:rFonts w:hint="eastAsia"/>
                <w:color w:val="000000"/>
                <w:kern w:val="0"/>
                <w:sz w:val="24"/>
                <w:lang w:bidi="ar"/>
              </w:rPr>
              <w:t>④</w:t>
            </w:r>
            <w:r>
              <w:rPr>
                <w:color w:val="000000"/>
                <w:kern w:val="0"/>
                <w:sz w:val="24"/>
                <w:lang w:bidi="ar"/>
              </w:rPr>
              <w:t>施工过程中，楼上施工产生的建筑渣土不得在楼上向下倾倒，必须运送地面</w:t>
            </w:r>
            <w:r>
              <w:rPr>
                <w:rFonts w:hint="eastAsia"/>
                <w:color w:val="000000"/>
                <w:kern w:val="0"/>
                <w:sz w:val="24"/>
                <w:lang w:bidi="ar"/>
              </w:rPr>
              <w:t>；</w:t>
            </w:r>
            <w:r>
              <w:rPr>
                <w:color w:val="000000"/>
                <w:kern w:val="0"/>
                <w:sz w:val="24"/>
                <w:lang w:bidi="ar"/>
              </w:rPr>
              <w:t>加强施工现场及其周边环境卫生管理，禁止在风天进行渣土堆放作业，建材堆放地点要相对集中（尽量堆放于项目</w:t>
            </w:r>
            <w:r>
              <w:rPr>
                <w:rFonts w:hint="eastAsia"/>
                <w:color w:val="000000"/>
                <w:kern w:val="0"/>
                <w:sz w:val="24"/>
                <w:lang w:bidi="ar"/>
              </w:rPr>
              <w:t>北</w:t>
            </w:r>
            <w:r>
              <w:rPr>
                <w:color w:val="000000"/>
                <w:kern w:val="0"/>
                <w:sz w:val="24"/>
                <w:lang w:bidi="ar"/>
              </w:rPr>
              <w:t>侧，远离</w:t>
            </w:r>
            <w:r>
              <w:rPr>
                <w:sz w:val="24"/>
              </w:rPr>
              <w:t>南侧达县职高</w:t>
            </w:r>
            <w:r>
              <w:rPr>
                <w:rFonts w:hint="eastAsia"/>
                <w:sz w:val="24"/>
              </w:rPr>
              <w:t>、</w:t>
            </w:r>
            <w:r>
              <w:rPr>
                <w:sz w:val="24"/>
              </w:rPr>
              <w:t>东南侧</w:t>
            </w:r>
            <w:r>
              <w:rPr>
                <w:rFonts w:hint="eastAsia"/>
                <w:sz w:val="24"/>
              </w:rPr>
              <w:t>居民楼</w:t>
            </w:r>
            <w:r>
              <w:rPr>
                <w:rFonts w:hint="eastAsia"/>
                <w:color w:val="000000"/>
                <w:kern w:val="0"/>
                <w:sz w:val="24"/>
                <w:lang w:bidi="ar"/>
              </w:rPr>
              <w:t>）</w:t>
            </w:r>
            <w:r>
              <w:rPr>
                <w:color w:val="000000"/>
                <w:kern w:val="0"/>
                <w:sz w:val="24"/>
                <w:lang w:bidi="ar"/>
              </w:rPr>
              <w:t>，并加盖篷布等防尘措施，抑制扬尘量</w:t>
            </w:r>
            <w:r>
              <w:rPr>
                <w:rFonts w:hint="eastAsia"/>
                <w:color w:val="000000"/>
                <w:kern w:val="0"/>
                <w:sz w:val="24"/>
                <w:lang w:bidi="ar"/>
              </w:rPr>
              <w:t>；</w:t>
            </w:r>
            <w:r>
              <w:rPr>
                <w:color w:val="000000"/>
                <w:kern w:val="0"/>
                <w:sz w:val="24"/>
                <w:lang w:bidi="ar"/>
              </w:rPr>
              <w:t>开挖出的土石方应加强围栏，表面用毡布覆盖，并及时回填</w:t>
            </w:r>
            <w:r>
              <w:rPr>
                <w:rFonts w:hint="eastAsia"/>
                <w:color w:val="000000"/>
                <w:kern w:val="0"/>
                <w:sz w:val="24"/>
                <w:lang w:bidi="ar"/>
              </w:rPr>
              <w:t>。</w:t>
            </w:r>
          </w:p>
          <w:p w14:paraId="6E04E2A0">
            <w:pPr>
              <w:spacing w:line="360" w:lineRule="auto"/>
              <w:ind w:firstLine="480" w:firstLineChars="200"/>
              <w:rPr>
                <w:sz w:val="24"/>
              </w:rPr>
            </w:pPr>
            <w:r>
              <w:rPr>
                <w:sz w:val="24"/>
              </w:rPr>
              <w:t>④运输车辆采取密闭运输（使用防尘布覆盖</w:t>
            </w:r>
            <w:r>
              <w:rPr>
                <w:rFonts w:hint="eastAsia"/>
                <w:sz w:val="24"/>
              </w:rPr>
              <w:t>）</w:t>
            </w:r>
            <w:r>
              <w:rPr>
                <w:sz w:val="24"/>
              </w:rPr>
              <w:t>，装填时需进行压实，装填高度严禁超过车斗防护栏；车辆卸货时禁止直接倾倒、抛撒；施工期材料尽可能适量、适时采购，运至施工场地后，应尽快使用，禁止在施工场地长时间堆放。</w:t>
            </w:r>
          </w:p>
          <w:p w14:paraId="4C770E1C">
            <w:pPr>
              <w:spacing w:line="360" w:lineRule="auto"/>
              <w:ind w:firstLine="480" w:firstLineChars="200"/>
              <w:rPr>
                <w:rFonts w:hint="eastAsia" w:ascii="宋体" w:hAnsi="宋体" w:cs="宋体"/>
                <w:color w:val="000000"/>
                <w:kern w:val="0"/>
                <w:sz w:val="24"/>
                <w:lang w:bidi="ar"/>
              </w:rPr>
            </w:pPr>
            <w:r>
              <w:rPr>
                <w:rFonts w:hint="eastAsia"/>
                <w:sz w:val="24"/>
              </w:rPr>
              <w:t>⑤</w:t>
            </w:r>
            <w:r>
              <w:rPr>
                <w:sz w:val="24"/>
              </w:rPr>
              <w:t>尽可能</w:t>
            </w:r>
            <w:r>
              <w:rPr>
                <w:rFonts w:hint="eastAsia"/>
                <w:sz w:val="24"/>
                <w:lang w:eastAsia="zh-CN"/>
              </w:rPr>
              <w:t>地</w:t>
            </w:r>
            <w:r>
              <w:rPr>
                <w:sz w:val="24"/>
              </w:rPr>
              <w:t>加快施工进度安排，使项目挖、填方作业尽快完成。</w:t>
            </w:r>
          </w:p>
          <w:p w14:paraId="0E6516ED">
            <w:pPr>
              <w:adjustRightInd w:val="0"/>
              <w:snapToGrid w:val="0"/>
              <w:spacing w:line="360" w:lineRule="auto"/>
              <w:ind w:firstLine="480"/>
              <w:rPr>
                <w:sz w:val="24"/>
              </w:rPr>
            </w:pPr>
            <w:r>
              <w:rPr>
                <w:rFonts w:hint="eastAsia"/>
                <w:sz w:val="24"/>
              </w:rPr>
              <w:t>⑥</w:t>
            </w:r>
            <w:r>
              <w:rPr>
                <w:sz w:val="24"/>
              </w:rPr>
              <w:t>施工结束后，应尽快对裸露的地面进行硬化和绿化。</w:t>
            </w:r>
          </w:p>
          <w:p w14:paraId="572D31E7">
            <w:pPr>
              <w:spacing w:line="360" w:lineRule="auto"/>
              <w:ind w:firstLine="480" w:firstLineChars="200"/>
              <w:rPr>
                <w:sz w:val="24"/>
              </w:rPr>
            </w:pPr>
            <w:r>
              <w:rPr>
                <w:sz w:val="24"/>
              </w:rPr>
              <w:t>评价认为在项目施工期，对扬尘严格采取了上述防治措施后，其浓度可得到有效控制，可满足《四川省施工场地扬尘排放标准》（DB51/2682-2020</w:t>
            </w:r>
            <w:r>
              <w:rPr>
                <w:rFonts w:hint="eastAsia"/>
                <w:sz w:val="24"/>
              </w:rPr>
              <w:t>）</w:t>
            </w:r>
            <w:r>
              <w:rPr>
                <w:sz w:val="24"/>
              </w:rPr>
              <w:t>表1标准限值要求，实现达标排放。</w:t>
            </w:r>
          </w:p>
          <w:p w14:paraId="7BE04068">
            <w:pPr>
              <w:adjustRightInd w:val="0"/>
              <w:snapToGrid w:val="0"/>
              <w:spacing w:line="360" w:lineRule="auto"/>
              <w:ind w:firstLine="442" w:firstLineChars="200"/>
              <w:rPr>
                <w:b/>
                <w:spacing w:val="-10"/>
                <w:sz w:val="24"/>
              </w:rPr>
            </w:pPr>
            <w:r>
              <w:rPr>
                <w:rFonts w:hint="eastAsia"/>
                <w:b/>
                <w:spacing w:val="-10"/>
                <w:sz w:val="24"/>
              </w:rPr>
              <w:t>（2）机械尾气</w:t>
            </w:r>
          </w:p>
          <w:p w14:paraId="6513DFA6">
            <w:pPr>
              <w:spacing w:line="360" w:lineRule="auto"/>
              <w:ind w:firstLine="480" w:firstLineChars="200"/>
              <w:rPr>
                <w:sz w:val="24"/>
              </w:rPr>
            </w:pPr>
            <w:r>
              <w:rPr>
                <w:sz w:val="24"/>
              </w:rPr>
              <w:t>项目施工设备和建筑机械设备的运转，会排放一定量的CO、NO</w:t>
            </w:r>
            <w:r>
              <w:rPr>
                <w:sz w:val="24"/>
                <w:vertAlign w:val="subscript"/>
              </w:rPr>
              <w:t>x</w:t>
            </w:r>
            <w:r>
              <w:rPr>
                <w:sz w:val="24"/>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14:paraId="4677C589">
            <w:pPr>
              <w:adjustRightInd w:val="0"/>
              <w:snapToGrid w:val="0"/>
              <w:spacing w:line="360" w:lineRule="auto"/>
              <w:ind w:firstLine="442" w:firstLineChars="200"/>
              <w:rPr>
                <w:b/>
                <w:spacing w:val="-10"/>
                <w:sz w:val="24"/>
              </w:rPr>
            </w:pPr>
            <w:r>
              <w:rPr>
                <w:rFonts w:hint="eastAsia"/>
                <w:b/>
                <w:spacing w:val="-10"/>
                <w:sz w:val="24"/>
              </w:rPr>
              <w:t>（3）装修废气</w:t>
            </w:r>
          </w:p>
          <w:p w14:paraId="7BE1F7A0">
            <w:pPr>
              <w:spacing w:line="360" w:lineRule="auto"/>
              <w:ind w:firstLine="480" w:firstLineChars="200"/>
              <w:rPr>
                <w:b/>
                <w:spacing w:val="-10"/>
                <w:sz w:val="24"/>
              </w:rPr>
            </w:pPr>
            <w:r>
              <w:rPr>
                <w:sz w:val="24"/>
              </w:rPr>
              <w:t>装修废气主要来自房屋装修阶段，主要污染因子是涂料挥发废气，该废气的排放属无组织排放，由于装修阶段的装修废气排放周期短，且装修面积较少、作业点分散，故装修期间应加强通风换气。</w:t>
            </w:r>
            <w:r>
              <w:rPr>
                <w:bCs/>
                <w:sz w:val="24"/>
              </w:rPr>
              <w:t>环</w:t>
            </w:r>
            <w:r>
              <w:rPr>
                <w:sz w:val="24"/>
              </w:rPr>
              <w:t>评要求采用优质环保的装修材料，使用无污染性废气产生的材料、涂料，减少废气中有害物质的排放</w:t>
            </w:r>
            <w:r>
              <w:rPr>
                <w:rFonts w:hint="eastAsia"/>
                <w:sz w:val="24"/>
              </w:rPr>
              <w:t>。</w:t>
            </w:r>
          </w:p>
          <w:p w14:paraId="26E5B3AE">
            <w:pPr>
              <w:adjustRightInd w:val="0"/>
              <w:snapToGrid w:val="0"/>
              <w:spacing w:line="360" w:lineRule="auto"/>
              <w:ind w:firstLine="442" w:firstLineChars="200"/>
              <w:rPr>
                <w:bCs/>
                <w:spacing w:val="-10"/>
                <w:sz w:val="24"/>
              </w:rPr>
            </w:pPr>
            <w:r>
              <w:rPr>
                <w:b/>
                <w:spacing w:val="-10"/>
                <w:sz w:val="24"/>
              </w:rPr>
              <w:t>2、废水</w:t>
            </w:r>
          </w:p>
          <w:p w14:paraId="552AEC1B">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本项目施工期废水主要</w:t>
            </w:r>
            <w:r>
              <w:rPr>
                <w:rFonts w:hint="eastAsia" w:ascii="宋体" w:hAnsi="宋体" w:cs="宋体"/>
                <w:color w:val="000000"/>
                <w:kern w:val="0"/>
                <w:sz w:val="24"/>
                <w:lang w:eastAsia="zh-CN" w:bidi="ar"/>
              </w:rPr>
              <w:t>来自</w:t>
            </w:r>
            <w:r>
              <w:rPr>
                <w:rFonts w:hint="eastAsia" w:ascii="宋体" w:hAnsi="宋体" w:cs="宋体"/>
                <w:color w:val="000000"/>
                <w:kern w:val="0"/>
                <w:sz w:val="24"/>
                <w:lang w:bidi="ar"/>
              </w:rPr>
              <w:t>施工人员产生的生活污水、施工作业产生的施工废水、车辆冲洗废水。</w:t>
            </w:r>
          </w:p>
          <w:p w14:paraId="6AB0B61A">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（1）生活污水</w:t>
            </w:r>
          </w:p>
          <w:p w14:paraId="1846EBAC">
            <w:pPr>
              <w:widowControl/>
              <w:spacing w:line="360" w:lineRule="auto"/>
              <w:ind w:firstLine="480" w:firstLineChars="200"/>
              <w:jc w:val="left"/>
              <w:rPr>
                <w:sz w:val="24"/>
              </w:rPr>
            </w:pPr>
            <w:r>
              <w:rPr>
                <w:sz w:val="24"/>
              </w:rPr>
              <w:t>施工高峰期施工人员预计约</w:t>
            </w:r>
            <w:r>
              <w:rPr>
                <w:rFonts w:hint="eastAsia"/>
                <w:sz w:val="24"/>
              </w:rPr>
              <w:t>50</w:t>
            </w:r>
            <w:r>
              <w:rPr>
                <w:sz w:val="24"/>
              </w:rPr>
              <w:t>人，项目不设施工营地，施工人员均不在工地食宿，施工人员生活用水量按0.1m</w:t>
            </w:r>
            <w:r>
              <w:rPr>
                <w:sz w:val="24"/>
                <w:vertAlign w:val="superscript"/>
              </w:rPr>
              <w:t>3</w:t>
            </w:r>
            <w:r>
              <w:rPr>
                <w:sz w:val="24"/>
              </w:rPr>
              <w:t>/d，生活污水产生系数取0.85，则生活污水产生量为</w:t>
            </w:r>
            <w:r>
              <w:rPr>
                <w:rFonts w:hint="eastAsia"/>
                <w:sz w:val="24"/>
              </w:rPr>
              <w:t>4.25</w:t>
            </w:r>
            <w:r>
              <w:rPr>
                <w:sz w:val="24"/>
              </w:rPr>
              <w:t>m</w:t>
            </w:r>
            <w:r>
              <w:rPr>
                <w:sz w:val="24"/>
                <w:vertAlign w:val="superscript"/>
              </w:rPr>
              <w:t>3</w:t>
            </w:r>
            <w:r>
              <w:rPr>
                <w:sz w:val="24"/>
              </w:rPr>
              <w:t>/d，</w:t>
            </w:r>
            <w:r>
              <w:rPr>
                <w:rFonts w:hint="eastAsia"/>
                <w:sz w:val="24"/>
              </w:rPr>
              <w:t>生活污水</w:t>
            </w:r>
            <w:r>
              <w:rPr>
                <w:sz w:val="24"/>
              </w:rPr>
              <w:t>利用周边公共生活设施，由已建预处理池处理达《污水综合排放标准》</w:t>
            </w:r>
            <w:r>
              <w:rPr>
                <w:rFonts w:hint="eastAsia"/>
                <w:sz w:val="24"/>
              </w:rPr>
              <w:t>（</w:t>
            </w:r>
            <w:r>
              <w:rPr>
                <w:sz w:val="24"/>
              </w:rPr>
              <w:t>GB8978-1996</w:t>
            </w:r>
            <w:r>
              <w:rPr>
                <w:rFonts w:hint="eastAsia"/>
                <w:sz w:val="24"/>
              </w:rPr>
              <w:t>）</w:t>
            </w:r>
            <w:r>
              <w:rPr>
                <w:sz w:val="24"/>
              </w:rPr>
              <w:t>中三级标准后排入市政污水管网。</w:t>
            </w:r>
          </w:p>
          <w:p w14:paraId="73CBF25C">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（2）施工废水</w:t>
            </w:r>
          </w:p>
          <w:p w14:paraId="721D9B32">
            <w:pPr>
              <w:spacing w:line="360" w:lineRule="auto"/>
              <w:ind w:firstLine="480" w:firstLineChars="200"/>
              <w:rPr>
                <w:sz w:val="24"/>
              </w:rPr>
            </w:pPr>
            <w:r>
              <w:rPr>
                <w:sz w:val="24"/>
              </w:rPr>
              <w:t>经类比分析，项目施工期施工废水预计排放量为</w:t>
            </w:r>
            <w:r>
              <w:rPr>
                <w:rFonts w:hint="eastAsia"/>
                <w:sz w:val="24"/>
              </w:rPr>
              <w:t>10</w:t>
            </w:r>
            <w:r>
              <w:rPr>
                <w:sz w:val="24"/>
              </w:rPr>
              <w:t>m</w:t>
            </w:r>
            <w:r>
              <w:rPr>
                <w:sz w:val="24"/>
                <w:vertAlign w:val="superscript"/>
              </w:rPr>
              <w:t>3</w:t>
            </w:r>
            <w:r>
              <w:rPr>
                <w:sz w:val="24"/>
              </w:rPr>
              <w:t>/d，为防止施工废水对区域地表水环境造成影响，本环评要求建设单位应采取以下污染防治措施：</w:t>
            </w:r>
          </w:p>
          <w:p w14:paraId="74D7BD07">
            <w:pPr>
              <w:spacing w:line="360" w:lineRule="auto"/>
              <w:ind w:firstLine="480" w:firstLineChars="200"/>
              <w:rPr>
                <w:sz w:val="24"/>
              </w:rPr>
            </w:pPr>
            <w:r>
              <w:rPr>
                <w:rFonts w:hint="eastAsia"/>
                <w:sz w:val="24"/>
              </w:rPr>
              <w:t>①</w:t>
            </w:r>
            <w:r>
              <w:rPr>
                <w:sz w:val="24"/>
              </w:rPr>
              <w:t>施工场地设置排水沟（沟宽×深≥300×300mm，排水坡度应大于3%</w:t>
            </w:r>
            <w:r>
              <w:rPr>
                <w:rFonts w:hint="eastAsia"/>
                <w:sz w:val="24"/>
              </w:rPr>
              <w:t>）</w:t>
            </w:r>
            <w:r>
              <w:rPr>
                <w:sz w:val="24"/>
              </w:rPr>
              <w:t>和三级沉淀池（池体容积≥</w:t>
            </w:r>
            <w:r>
              <w:rPr>
                <w:rFonts w:hint="eastAsia"/>
                <w:sz w:val="24"/>
              </w:rPr>
              <w:t>5</w:t>
            </w:r>
            <w:r>
              <w:rPr>
                <w:sz w:val="24"/>
              </w:rPr>
              <w:t>m³</w:t>
            </w:r>
            <w:r>
              <w:rPr>
                <w:rFonts w:hint="eastAsia"/>
                <w:sz w:val="24"/>
              </w:rPr>
              <w:t>）</w:t>
            </w:r>
            <w:r>
              <w:rPr>
                <w:sz w:val="24"/>
              </w:rPr>
              <w:t>，</w:t>
            </w:r>
            <w:r>
              <w:rPr>
                <w:rFonts w:hint="eastAsia"/>
                <w:sz w:val="24"/>
              </w:rPr>
              <w:t>沉淀池位于施工场区东南侧入口处，</w:t>
            </w:r>
            <w:r>
              <w:rPr>
                <w:sz w:val="24"/>
              </w:rPr>
              <w:t>废水经沉淀处理后全部回用。</w:t>
            </w:r>
          </w:p>
          <w:p w14:paraId="137BBD17">
            <w:pPr>
              <w:spacing w:line="360" w:lineRule="auto"/>
              <w:ind w:firstLine="480" w:firstLineChars="200"/>
              <w:rPr>
                <w:sz w:val="24"/>
              </w:rPr>
            </w:pPr>
            <w:r>
              <w:rPr>
                <w:rFonts w:hint="eastAsia"/>
                <w:sz w:val="24"/>
              </w:rPr>
              <w:t>②</w:t>
            </w:r>
            <w:r>
              <w:rPr>
                <w:rFonts w:hint="eastAsia"/>
                <w:sz w:val="24"/>
                <w:lang w:eastAsia="zh-CN"/>
              </w:rPr>
              <w:t>强化</w:t>
            </w:r>
            <w:r>
              <w:rPr>
                <w:rFonts w:hint="eastAsia"/>
                <w:sz w:val="24"/>
              </w:rPr>
              <w:t>施工管理，严格避免超挖、禁止雨天开挖作业；场地内地下渗水等应收集后用作车辆冲洗、洒水降尘等。</w:t>
            </w:r>
          </w:p>
          <w:p w14:paraId="0D11E577">
            <w:pPr>
              <w:spacing w:line="360" w:lineRule="auto"/>
              <w:ind w:firstLine="480" w:firstLineChars="200"/>
              <w:rPr>
                <w:sz w:val="24"/>
              </w:rPr>
            </w:pPr>
            <w:r>
              <w:rPr>
                <w:rFonts w:hint="eastAsia"/>
                <w:sz w:val="24"/>
                <w:lang w:eastAsia="zh-CN"/>
              </w:rPr>
              <w:t>④</w:t>
            </w:r>
            <w:r>
              <w:rPr>
                <w:kern w:val="0"/>
                <w:sz w:val="24"/>
              </w:rPr>
              <w:t>严禁将施工弃渣、弃土、垃圾以及未经处理的废水、废液直接倾倒至</w:t>
            </w:r>
            <w:r>
              <w:rPr>
                <w:rFonts w:hint="eastAsia"/>
                <w:kern w:val="0"/>
                <w:sz w:val="24"/>
              </w:rPr>
              <w:t>地表水体</w:t>
            </w:r>
            <w:r>
              <w:rPr>
                <w:sz w:val="24"/>
              </w:rPr>
              <w:t>。</w:t>
            </w:r>
          </w:p>
          <w:p w14:paraId="029CAC00">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（3）车辆冲洗废水</w:t>
            </w:r>
          </w:p>
          <w:p w14:paraId="4F7F1E17">
            <w:pPr>
              <w:widowControl/>
              <w:spacing w:line="360" w:lineRule="auto"/>
              <w:ind w:firstLine="480" w:firstLineChars="200"/>
              <w:jc w:val="left"/>
              <w:rPr>
                <w:color w:val="000000"/>
                <w:kern w:val="0"/>
                <w:sz w:val="24"/>
                <w:lang w:bidi="ar"/>
              </w:rPr>
            </w:pPr>
            <w:r>
              <w:rPr>
                <w:color w:val="000000"/>
                <w:kern w:val="0"/>
                <w:sz w:val="24"/>
                <w:lang w:bidi="ar"/>
              </w:rPr>
              <w:t>施工作业使用的燃油动力机械在维护和冲洗时，将产生含少量SS污染物的废水。项目区进出口设置车辆冲洗平台，</w:t>
            </w:r>
            <w:r>
              <w:rPr>
                <w:sz w:val="24"/>
              </w:rPr>
              <w:t>车辆冲洗点配套修建隔油</w:t>
            </w:r>
            <w:r>
              <w:rPr>
                <w:rFonts w:hint="eastAsia"/>
                <w:sz w:val="24"/>
              </w:rPr>
              <w:t>沉淀</w:t>
            </w:r>
            <w:r>
              <w:rPr>
                <w:sz w:val="24"/>
              </w:rPr>
              <w:t>设施（池体容积≥1m</w:t>
            </w:r>
            <w:r>
              <w:rPr>
                <w:sz w:val="24"/>
                <w:vertAlign w:val="superscript"/>
              </w:rPr>
              <w:t>3</w:t>
            </w:r>
            <w:r>
              <w:rPr>
                <w:rFonts w:hint="eastAsia"/>
                <w:sz w:val="24"/>
              </w:rPr>
              <w:t>），</w:t>
            </w:r>
            <w:r>
              <w:rPr>
                <w:color w:val="000000"/>
                <w:kern w:val="0"/>
                <w:sz w:val="24"/>
                <w:lang w:bidi="ar"/>
              </w:rPr>
              <w:t>车辆冲洗废水经</w:t>
            </w:r>
            <w:r>
              <w:rPr>
                <w:rFonts w:hint="eastAsia"/>
                <w:color w:val="000000"/>
                <w:kern w:val="0"/>
                <w:sz w:val="24"/>
                <w:lang w:bidi="ar"/>
              </w:rPr>
              <w:t>隔油</w:t>
            </w:r>
            <w:r>
              <w:rPr>
                <w:color w:val="000000"/>
                <w:kern w:val="0"/>
                <w:sz w:val="24"/>
                <w:lang w:bidi="ar"/>
              </w:rPr>
              <w:t>沉淀处理后回用于车辆冲洗、</w:t>
            </w:r>
            <w:r>
              <w:rPr>
                <w:rFonts w:hint="eastAsia"/>
                <w:color w:val="000000"/>
                <w:kern w:val="0"/>
                <w:sz w:val="24"/>
                <w:lang w:bidi="ar"/>
              </w:rPr>
              <w:t>洒水降尘</w:t>
            </w:r>
            <w:r>
              <w:rPr>
                <w:color w:val="000000"/>
                <w:kern w:val="0"/>
                <w:sz w:val="24"/>
                <w:lang w:bidi="ar"/>
              </w:rPr>
              <w:t>，不外排。</w:t>
            </w:r>
          </w:p>
          <w:p w14:paraId="5AB24AFF">
            <w:pPr>
              <w:spacing w:line="360" w:lineRule="auto"/>
              <w:ind w:firstLine="480"/>
            </w:pPr>
            <w:r>
              <w:rPr>
                <w:bCs/>
                <w:kern w:val="0"/>
                <w:sz w:val="24"/>
              </w:rPr>
              <w:t>综上，采取上述污染防治措施后不会对项目周边水体产生不良影响。</w:t>
            </w:r>
            <w:r>
              <w:rPr>
                <w:sz w:val="24"/>
              </w:rPr>
              <w:t>其对环境的影响是可接受的。</w:t>
            </w:r>
          </w:p>
          <w:p w14:paraId="04F40609">
            <w:pPr>
              <w:adjustRightInd w:val="0"/>
              <w:snapToGrid w:val="0"/>
              <w:spacing w:line="360" w:lineRule="auto"/>
              <w:ind w:firstLine="442" w:firstLineChars="200"/>
              <w:rPr>
                <w:b/>
                <w:spacing w:val="-10"/>
                <w:sz w:val="24"/>
              </w:rPr>
            </w:pPr>
            <w:r>
              <w:rPr>
                <w:rFonts w:hint="eastAsia"/>
                <w:b/>
                <w:spacing w:val="-10"/>
                <w:sz w:val="24"/>
              </w:rPr>
              <w:t>3、噪声</w:t>
            </w:r>
          </w:p>
          <w:p w14:paraId="2098423E">
            <w:pPr>
              <w:spacing w:line="360" w:lineRule="auto"/>
              <w:ind w:firstLine="480"/>
              <w:rPr>
                <w:sz w:val="24"/>
              </w:rPr>
            </w:pPr>
            <w:r>
              <w:rPr>
                <w:sz w:val="24"/>
              </w:rPr>
              <w:t>施工期噪声主要来源于施工现场的各类机械设备噪声，不同施工阶段和不同施工机械发出的噪声水平是不同的，各机械设备的动力噪声源声级一般在</w:t>
            </w:r>
            <w:r>
              <w:rPr>
                <w:rFonts w:hint="eastAsia"/>
                <w:sz w:val="24"/>
              </w:rPr>
              <w:t>75</w:t>
            </w:r>
            <w:r>
              <w:rPr>
                <w:sz w:val="24"/>
              </w:rPr>
              <w:t>dB（A</w:t>
            </w:r>
            <w:r>
              <w:rPr>
                <w:rFonts w:hint="eastAsia"/>
                <w:sz w:val="24"/>
              </w:rPr>
              <w:t>）</w:t>
            </w:r>
            <w:r>
              <w:rPr>
                <w:sz w:val="24"/>
              </w:rPr>
              <w:t>以上，其在多台机械设备同时作业时，各台设备产生的噪声会产生叠加。</w:t>
            </w:r>
          </w:p>
          <w:p w14:paraId="0C31F621">
            <w:pPr>
              <w:jc w:val="center"/>
              <w:rPr>
                <w:b/>
                <w:bCs/>
                <w:szCs w:val="21"/>
              </w:rPr>
            </w:pPr>
            <w:r>
              <w:rPr>
                <w:rFonts w:hint="eastAsia"/>
                <w:b/>
                <w:bCs/>
                <w:szCs w:val="21"/>
              </w:rPr>
              <w:t>表4-1  主要噪声源状况单位：dB（A）</w:t>
            </w:r>
          </w:p>
          <w:tbl>
            <w:tblPr>
              <w:tblStyle w:val="70"/>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90"/>
              <w:gridCol w:w="1915"/>
              <w:gridCol w:w="1415"/>
              <w:gridCol w:w="1176"/>
              <w:gridCol w:w="1281"/>
              <w:gridCol w:w="1282"/>
            </w:tblGrid>
            <w:tr w14:paraId="7109A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21" w:type="pct"/>
                  <w:tcBorders>
                    <w:tl2br w:val="nil"/>
                    <w:tr2bl w:val="nil"/>
                  </w:tcBorders>
                  <w:vAlign w:val="center"/>
                </w:tcPr>
                <w:p w14:paraId="73BC0CE7">
                  <w:pPr>
                    <w:adjustRightInd w:val="0"/>
                    <w:snapToGrid w:val="0"/>
                    <w:spacing w:line="320" w:lineRule="exact"/>
                    <w:jc w:val="center"/>
                    <w:rPr>
                      <w:b/>
                      <w:bCs/>
                      <w:szCs w:val="21"/>
                    </w:rPr>
                  </w:pPr>
                  <w:r>
                    <w:rPr>
                      <w:rFonts w:hint="eastAsia"/>
                      <w:b/>
                      <w:bCs/>
                      <w:szCs w:val="21"/>
                    </w:rPr>
                    <w:t>施工阶段</w:t>
                  </w:r>
                </w:p>
              </w:tc>
              <w:tc>
                <w:tcPr>
                  <w:tcW w:w="1131" w:type="pct"/>
                  <w:tcBorders>
                    <w:tl2br w:val="nil"/>
                    <w:tr2bl w:val="nil"/>
                  </w:tcBorders>
                  <w:vAlign w:val="center"/>
                </w:tcPr>
                <w:p w14:paraId="1047ED9C">
                  <w:pPr>
                    <w:adjustRightInd w:val="0"/>
                    <w:snapToGrid w:val="0"/>
                    <w:spacing w:line="320" w:lineRule="exact"/>
                    <w:jc w:val="center"/>
                    <w:rPr>
                      <w:b/>
                      <w:bCs/>
                      <w:szCs w:val="21"/>
                    </w:rPr>
                  </w:pPr>
                  <w:r>
                    <w:rPr>
                      <w:rFonts w:hint="eastAsia"/>
                      <w:b/>
                      <w:bCs/>
                      <w:szCs w:val="21"/>
                    </w:rPr>
                    <w:t>声源</w:t>
                  </w:r>
                </w:p>
              </w:tc>
              <w:tc>
                <w:tcPr>
                  <w:tcW w:w="836" w:type="pct"/>
                  <w:tcBorders>
                    <w:tl2br w:val="nil"/>
                    <w:tr2bl w:val="nil"/>
                  </w:tcBorders>
                  <w:vAlign w:val="center"/>
                </w:tcPr>
                <w:p w14:paraId="32733E88">
                  <w:pPr>
                    <w:adjustRightInd w:val="0"/>
                    <w:snapToGrid w:val="0"/>
                    <w:spacing w:line="320" w:lineRule="exact"/>
                    <w:jc w:val="center"/>
                    <w:rPr>
                      <w:b/>
                      <w:bCs/>
                      <w:szCs w:val="21"/>
                    </w:rPr>
                  </w:pPr>
                  <w:r>
                    <w:rPr>
                      <w:rFonts w:hint="eastAsia"/>
                      <w:b/>
                      <w:bCs/>
                      <w:szCs w:val="21"/>
                    </w:rPr>
                    <w:t>声源强</w:t>
                  </w:r>
                </w:p>
              </w:tc>
              <w:tc>
                <w:tcPr>
                  <w:tcW w:w="695" w:type="pct"/>
                  <w:tcBorders>
                    <w:tl2br w:val="nil"/>
                    <w:tr2bl w:val="nil"/>
                  </w:tcBorders>
                  <w:vAlign w:val="center"/>
                </w:tcPr>
                <w:p w14:paraId="0A32BE7A">
                  <w:pPr>
                    <w:adjustRightInd w:val="0"/>
                    <w:snapToGrid w:val="0"/>
                    <w:spacing w:line="320" w:lineRule="exact"/>
                    <w:jc w:val="center"/>
                    <w:rPr>
                      <w:b/>
                      <w:bCs/>
                      <w:szCs w:val="21"/>
                    </w:rPr>
                  </w:pPr>
                  <w:r>
                    <w:rPr>
                      <w:rFonts w:hint="eastAsia"/>
                      <w:b/>
                      <w:bCs/>
                      <w:szCs w:val="21"/>
                    </w:rPr>
                    <w:t>施工阶段</w:t>
                  </w:r>
                </w:p>
              </w:tc>
              <w:tc>
                <w:tcPr>
                  <w:tcW w:w="757" w:type="pct"/>
                  <w:tcBorders>
                    <w:tl2br w:val="nil"/>
                    <w:tr2bl w:val="nil"/>
                  </w:tcBorders>
                  <w:vAlign w:val="center"/>
                </w:tcPr>
                <w:p w14:paraId="57C20458">
                  <w:pPr>
                    <w:adjustRightInd w:val="0"/>
                    <w:snapToGrid w:val="0"/>
                    <w:spacing w:line="320" w:lineRule="exact"/>
                    <w:jc w:val="center"/>
                    <w:rPr>
                      <w:b/>
                      <w:bCs/>
                      <w:szCs w:val="21"/>
                    </w:rPr>
                  </w:pPr>
                  <w:r>
                    <w:rPr>
                      <w:rFonts w:hint="eastAsia"/>
                      <w:b/>
                      <w:bCs/>
                      <w:szCs w:val="21"/>
                    </w:rPr>
                    <w:t>声源</w:t>
                  </w:r>
                </w:p>
              </w:tc>
              <w:tc>
                <w:tcPr>
                  <w:tcW w:w="757" w:type="pct"/>
                  <w:tcBorders>
                    <w:tl2br w:val="nil"/>
                    <w:tr2bl w:val="nil"/>
                  </w:tcBorders>
                  <w:vAlign w:val="center"/>
                </w:tcPr>
                <w:p w14:paraId="492D7C62">
                  <w:pPr>
                    <w:adjustRightInd w:val="0"/>
                    <w:snapToGrid w:val="0"/>
                    <w:spacing w:line="320" w:lineRule="exact"/>
                    <w:jc w:val="center"/>
                    <w:rPr>
                      <w:b/>
                      <w:bCs/>
                      <w:szCs w:val="21"/>
                    </w:rPr>
                  </w:pPr>
                  <w:r>
                    <w:rPr>
                      <w:rFonts w:hint="eastAsia"/>
                      <w:b/>
                      <w:bCs/>
                      <w:szCs w:val="21"/>
                    </w:rPr>
                    <w:t>声源强度</w:t>
                  </w:r>
                </w:p>
              </w:tc>
            </w:tr>
            <w:tr w14:paraId="6C44A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21" w:type="pct"/>
                  <w:vMerge w:val="restart"/>
                  <w:tcBorders>
                    <w:tl2br w:val="nil"/>
                    <w:tr2bl w:val="nil"/>
                  </w:tcBorders>
                  <w:vAlign w:val="center"/>
                </w:tcPr>
                <w:p w14:paraId="19A54B7B">
                  <w:pPr>
                    <w:adjustRightInd w:val="0"/>
                    <w:snapToGrid w:val="0"/>
                    <w:spacing w:line="320" w:lineRule="exact"/>
                    <w:jc w:val="center"/>
                    <w:rPr>
                      <w:szCs w:val="21"/>
                    </w:rPr>
                  </w:pPr>
                  <w:r>
                    <w:rPr>
                      <w:rFonts w:hint="eastAsia"/>
                      <w:szCs w:val="21"/>
                    </w:rPr>
                    <w:t>土石方阶段</w:t>
                  </w:r>
                </w:p>
              </w:tc>
              <w:tc>
                <w:tcPr>
                  <w:tcW w:w="1131" w:type="pct"/>
                  <w:tcBorders>
                    <w:tl2br w:val="nil"/>
                    <w:tr2bl w:val="nil"/>
                  </w:tcBorders>
                  <w:vAlign w:val="center"/>
                </w:tcPr>
                <w:p w14:paraId="754D74F0">
                  <w:pPr>
                    <w:adjustRightInd w:val="0"/>
                    <w:snapToGrid w:val="0"/>
                    <w:spacing w:line="320" w:lineRule="exact"/>
                    <w:jc w:val="center"/>
                    <w:rPr>
                      <w:szCs w:val="21"/>
                    </w:rPr>
                  </w:pPr>
                  <w:r>
                    <w:rPr>
                      <w:rFonts w:hint="eastAsia"/>
                      <w:szCs w:val="21"/>
                    </w:rPr>
                    <w:t>挖土机</w:t>
                  </w:r>
                </w:p>
              </w:tc>
              <w:tc>
                <w:tcPr>
                  <w:tcW w:w="836" w:type="pct"/>
                  <w:tcBorders>
                    <w:tl2br w:val="nil"/>
                    <w:tr2bl w:val="nil"/>
                  </w:tcBorders>
                  <w:vAlign w:val="center"/>
                </w:tcPr>
                <w:p w14:paraId="378C116D">
                  <w:pPr>
                    <w:adjustRightInd w:val="0"/>
                    <w:snapToGrid w:val="0"/>
                    <w:spacing w:line="320" w:lineRule="exact"/>
                    <w:jc w:val="center"/>
                    <w:rPr>
                      <w:szCs w:val="21"/>
                    </w:rPr>
                  </w:pPr>
                  <w:r>
                    <w:rPr>
                      <w:rFonts w:hint="eastAsia"/>
                      <w:szCs w:val="21"/>
                    </w:rPr>
                    <w:t>78~96</w:t>
                  </w:r>
                </w:p>
              </w:tc>
              <w:tc>
                <w:tcPr>
                  <w:tcW w:w="695" w:type="pct"/>
                  <w:vMerge w:val="restart"/>
                  <w:tcBorders>
                    <w:tl2br w:val="nil"/>
                    <w:tr2bl w:val="nil"/>
                  </w:tcBorders>
                  <w:vAlign w:val="center"/>
                </w:tcPr>
                <w:p w14:paraId="13854E5A">
                  <w:pPr>
                    <w:adjustRightInd w:val="0"/>
                    <w:snapToGrid w:val="0"/>
                    <w:spacing w:line="320" w:lineRule="exact"/>
                    <w:jc w:val="center"/>
                    <w:rPr>
                      <w:szCs w:val="21"/>
                    </w:rPr>
                  </w:pPr>
                  <w:r>
                    <w:rPr>
                      <w:rFonts w:hint="eastAsia"/>
                      <w:szCs w:val="21"/>
                    </w:rPr>
                    <w:t>安装阶段</w:t>
                  </w:r>
                </w:p>
              </w:tc>
              <w:tc>
                <w:tcPr>
                  <w:tcW w:w="757" w:type="pct"/>
                  <w:tcBorders>
                    <w:tl2br w:val="nil"/>
                    <w:tr2bl w:val="nil"/>
                  </w:tcBorders>
                  <w:vAlign w:val="center"/>
                </w:tcPr>
                <w:p w14:paraId="7C1B9EAB">
                  <w:pPr>
                    <w:adjustRightInd w:val="0"/>
                    <w:snapToGrid w:val="0"/>
                    <w:spacing w:line="320" w:lineRule="exact"/>
                    <w:jc w:val="center"/>
                    <w:rPr>
                      <w:szCs w:val="21"/>
                    </w:rPr>
                  </w:pPr>
                  <w:r>
                    <w:rPr>
                      <w:rFonts w:hint="eastAsia"/>
                      <w:szCs w:val="21"/>
                    </w:rPr>
                    <w:t>电钻</w:t>
                  </w:r>
                </w:p>
              </w:tc>
              <w:tc>
                <w:tcPr>
                  <w:tcW w:w="757" w:type="pct"/>
                  <w:tcBorders>
                    <w:tl2br w:val="nil"/>
                    <w:tr2bl w:val="nil"/>
                  </w:tcBorders>
                  <w:vAlign w:val="center"/>
                </w:tcPr>
                <w:p w14:paraId="4AA30D5E">
                  <w:pPr>
                    <w:adjustRightInd w:val="0"/>
                    <w:snapToGrid w:val="0"/>
                    <w:spacing w:line="320" w:lineRule="exact"/>
                    <w:jc w:val="center"/>
                    <w:rPr>
                      <w:szCs w:val="21"/>
                    </w:rPr>
                  </w:pPr>
                  <w:r>
                    <w:rPr>
                      <w:rFonts w:hint="eastAsia"/>
                      <w:szCs w:val="21"/>
                    </w:rPr>
                    <w:t>100~105</w:t>
                  </w:r>
                </w:p>
              </w:tc>
            </w:tr>
            <w:tr w14:paraId="68EED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21" w:type="pct"/>
                  <w:vMerge w:val="continue"/>
                  <w:tcBorders>
                    <w:tl2br w:val="nil"/>
                    <w:tr2bl w:val="nil"/>
                  </w:tcBorders>
                  <w:vAlign w:val="center"/>
                </w:tcPr>
                <w:p w14:paraId="204A8CA3">
                  <w:pPr>
                    <w:adjustRightInd w:val="0"/>
                    <w:snapToGrid w:val="0"/>
                    <w:spacing w:line="320" w:lineRule="exact"/>
                    <w:jc w:val="center"/>
                    <w:rPr>
                      <w:szCs w:val="21"/>
                    </w:rPr>
                  </w:pPr>
                </w:p>
              </w:tc>
              <w:tc>
                <w:tcPr>
                  <w:tcW w:w="1131" w:type="pct"/>
                  <w:tcBorders>
                    <w:tl2br w:val="nil"/>
                    <w:tr2bl w:val="nil"/>
                  </w:tcBorders>
                  <w:vAlign w:val="center"/>
                </w:tcPr>
                <w:p w14:paraId="6702102B">
                  <w:pPr>
                    <w:adjustRightInd w:val="0"/>
                    <w:snapToGrid w:val="0"/>
                    <w:spacing w:line="320" w:lineRule="exact"/>
                    <w:jc w:val="center"/>
                    <w:rPr>
                      <w:szCs w:val="21"/>
                    </w:rPr>
                  </w:pPr>
                  <w:r>
                    <w:rPr>
                      <w:rFonts w:hint="eastAsia"/>
                      <w:szCs w:val="21"/>
                    </w:rPr>
                    <w:t>空压机</w:t>
                  </w:r>
                </w:p>
              </w:tc>
              <w:tc>
                <w:tcPr>
                  <w:tcW w:w="836" w:type="pct"/>
                  <w:tcBorders>
                    <w:tl2br w:val="nil"/>
                    <w:tr2bl w:val="nil"/>
                  </w:tcBorders>
                  <w:vAlign w:val="center"/>
                </w:tcPr>
                <w:p w14:paraId="55334259">
                  <w:pPr>
                    <w:adjustRightInd w:val="0"/>
                    <w:snapToGrid w:val="0"/>
                    <w:spacing w:line="320" w:lineRule="exact"/>
                    <w:jc w:val="center"/>
                    <w:rPr>
                      <w:szCs w:val="21"/>
                    </w:rPr>
                  </w:pPr>
                  <w:r>
                    <w:rPr>
                      <w:rFonts w:hint="eastAsia"/>
                      <w:szCs w:val="21"/>
                    </w:rPr>
                    <w:t>75~85</w:t>
                  </w:r>
                </w:p>
              </w:tc>
              <w:tc>
                <w:tcPr>
                  <w:tcW w:w="695" w:type="pct"/>
                  <w:vMerge w:val="continue"/>
                  <w:tcBorders>
                    <w:tl2br w:val="nil"/>
                    <w:tr2bl w:val="nil"/>
                  </w:tcBorders>
                  <w:vAlign w:val="center"/>
                </w:tcPr>
                <w:p w14:paraId="2A852C6C">
                  <w:pPr>
                    <w:adjustRightInd w:val="0"/>
                    <w:snapToGrid w:val="0"/>
                    <w:spacing w:line="320" w:lineRule="exact"/>
                    <w:jc w:val="center"/>
                    <w:rPr>
                      <w:szCs w:val="21"/>
                    </w:rPr>
                  </w:pPr>
                </w:p>
              </w:tc>
              <w:tc>
                <w:tcPr>
                  <w:tcW w:w="757" w:type="pct"/>
                  <w:tcBorders>
                    <w:tl2br w:val="nil"/>
                    <w:tr2bl w:val="nil"/>
                  </w:tcBorders>
                  <w:vAlign w:val="center"/>
                </w:tcPr>
                <w:p w14:paraId="5205E7C7">
                  <w:pPr>
                    <w:adjustRightInd w:val="0"/>
                    <w:snapToGrid w:val="0"/>
                    <w:spacing w:line="320" w:lineRule="exact"/>
                    <w:jc w:val="center"/>
                    <w:rPr>
                      <w:szCs w:val="21"/>
                    </w:rPr>
                  </w:pPr>
                  <w:r>
                    <w:rPr>
                      <w:rFonts w:hint="eastAsia"/>
                      <w:szCs w:val="21"/>
                    </w:rPr>
                    <w:t>电锤</w:t>
                  </w:r>
                </w:p>
              </w:tc>
              <w:tc>
                <w:tcPr>
                  <w:tcW w:w="757" w:type="pct"/>
                  <w:tcBorders>
                    <w:tl2br w:val="nil"/>
                    <w:tr2bl w:val="nil"/>
                  </w:tcBorders>
                  <w:vAlign w:val="center"/>
                </w:tcPr>
                <w:p w14:paraId="47998E24">
                  <w:pPr>
                    <w:adjustRightInd w:val="0"/>
                    <w:snapToGrid w:val="0"/>
                    <w:spacing w:line="320" w:lineRule="exact"/>
                    <w:jc w:val="center"/>
                    <w:rPr>
                      <w:szCs w:val="21"/>
                    </w:rPr>
                  </w:pPr>
                  <w:r>
                    <w:rPr>
                      <w:rFonts w:hint="eastAsia"/>
                      <w:szCs w:val="21"/>
                    </w:rPr>
                    <w:t>100~105</w:t>
                  </w:r>
                </w:p>
              </w:tc>
            </w:tr>
            <w:tr w14:paraId="4A6D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21" w:type="pct"/>
                  <w:vMerge w:val="continue"/>
                  <w:tcBorders>
                    <w:tl2br w:val="nil"/>
                    <w:tr2bl w:val="nil"/>
                  </w:tcBorders>
                  <w:vAlign w:val="center"/>
                </w:tcPr>
                <w:p w14:paraId="2D5CADB1">
                  <w:pPr>
                    <w:adjustRightInd w:val="0"/>
                    <w:snapToGrid w:val="0"/>
                    <w:spacing w:line="320" w:lineRule="exact"/>
                    <w:jc w:val="center"/>
                    <w:rPr>
                      <w:szCs w:val="21"/>
                    </w:rPr>
                  </w:pPr>
                </w:p>
              </w:tc>
              <w:tc>
                <w:tcPr>
                  <w:tcW w:w="1131" w:type="pct"/>
                  <w:tcBorders>
                    <w:tl2br w:val="nil"/>
                    <w:tr2bl w:val="nil"/>
                  </w:tcBorders>
                  <w:vAlign w:val="center"/>
                </w:tcPr>
                <w:p w14:paraId="578026EE">
                  <w:pPr>
                    <w:adjustRightInd w:val="0"/>
                    <w:snapToGrid w:val="0"/>
                    <w:spacing w:line="320" w:lineRule="exact"/>
                    <w:jc w:val="center"/>
                    <w:rPr>
                      <w:szCs w:val="21"/>
                    </w:rPr>
                  </w:pPr>
                  <w:r>
                    <w:rPr>
                      <w:rFonts w:hint="eastAsia"/>
                      <w:szCs w:val="21"/>
                    </w:rPr>
                    <w:t>卷扬机</w:t>
                  </w:r>
                </w:p>
              </w:tc>
              <w:tc>
                <w:tcPr>
                  <w:tcW w:w="836" w:type="pct"/>
                  <w:tcBorders>
                    <w:tl2br w:val="nil"/>
                    <w:tr2bl w:val="nil"/>
                  </w:tcBorders>
                  <w:vAlign w:val="center"/>
                </w:tcPr>
                <w:p w14:paraId="6A626B2D">
                  <w:pPr>
                    <w:adjustRightInd w:val="0"/>
                    <w:snapToGrid w:val="0"/>
                    <w:spacing w:line="320" w:lineRule="exact"/>
                    <w:jc w:val="center"/>
                    <w:rPr>
                      <w:szCs w:val="21"/>
                    </w:rPr>
                  </w:pPr>
                  <w:r>
                    <w:rPr>
                      <w:rFonts w:hint="eastAsia"/>
                      <w:szCs w:val="21"/>
                    </w:rPr>
                    <w:t>90~105</w:t>
                  </w:r>
                </w:p>
              </w:tc>
              <w:tc>
                <w:tcPr>
                  <w:tcW w:w="695" w:type="pct"/>
                  <w:vMerge w:val="continue"/>
                  <w:tcBorders>
                    <w:tl2br w:val="nil"/>
                    <w:tr2bl w:val="nil"/>
                  </w:tcBorders>
                  <w:vAlign w:val="center"/>
                </w:tcPr>
                <w:p w14:paraId="5CB67AB5">
                  <w:pPr>
                    <w:adjustRightInd w:val="0"/>
                    <w:snapToGrid w:val="0"/>
                    <w:spacing w:line="320" w:lineRule="exact"/>
                    <w:jc w:val="center"/>
                    <w:rPr>
                      <w:szCs w:val="21"/>
                    </w:rPr>
                  </w:pPr>
                </w:p>
              </w:tc>
              <w:tc>
                <w:tcPr>
                  <w:tcW w:w="757" w:type="pct"/>
                  <w:tcBorders>
                    <w:tl2br w:val="nil"/>
                    <w:tr2bl w:val="nil"/>
                  </w:tcBorders>
                  <w:vAlign w:val="center"/>
                </w:tcPr>
                <w:p w14:paraId="5F8E5808">
                  <w:pPr>
                    <w:adjustRightInd w:val="0"/>
                    <w:snapToGrid w:val="0"/>
                    <w:spacing w:line="320" w:lineRule="exact"/>
                    <w:jc w:val="center"/>
                    <w:rPr>
                      <w:szCs w:val="21"/>
                    </w:rPr>
                  </w:pPr>
                  <w:r>
                    <w:rPr>
                      <w:rFonts w:hint="eastAsia"/>
                      <w:szCs w:val="21"/>
                    </w:rPr>
                    <w:t>手工钻</w:t>
                  </w:r>
                </w:p>
              </w:tc>
              <w:tc>
                <w:tcPr>
                  <w:tcW w:w="757" w:type="pct"/>
                  <w:tcBorders>
                    <w:tl2br w:val="nil"/>
                    <w:tr2bl w:val="nil"/>
                  </w:tcBorders>
                  <w:vAlign w:val="center"/>
                </w:tcPr>
                <w:p w14:paraId="72D4026B">
                  <w:pPr>
                    <w:adjustRightInd w:val="0"/>
                    <w:snapToGrid w:val="0"/>
                    <w:spacing w:line="320" w:lineRule="exact"/>
                    <w:jc w:val="center"/>
                    <w:rPr>
                      <w:szCs w:val="21"/>
                    </w:rPr>
                  </w:pPr>
                  <w:r>
                    <w:rPr>
                      <w:rFonts w:hint="eastAsia"/>
                      <w:szCs w:val="21"/>
                    </w:rPr>
                    <w:t>100~105</w:t>
                  </w:r>
                </w:p>
              </w:tc>
            </w:tr>
            <w:tr w14:paraId="71297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21" w:type="pct"/>
                  <w:vMerge w:val="restart"/>
                  <w:tcBorders>
                    <w:tl2br w:val="nil"/>
                    <w:tr2bl w:val="nil"/>
                  </w:tcBorders>
                  <w:vAlign w:val="center"/>
                </w:tcPr>
                <w:p w14:paraId="70C7774D">
                  <w:pPr>
                    <w:adjustRightInd w:val="0"/>
                    <w:snapToGrid w:val="0"/>
                    <w:spacing w:line="320" w:lineRule="exact"/>
                    <w:jc w:val="center"/>
                    <w:rPr>
                      <w:szCs w:val="21"/>
                    </w:rPr>
                  </w:pPr>
                  <w:r>
                    <w:rPr>
                      <w:rFonts w:hint="eastAsia"/>
                      <w:szCs w:val="21"/>
                    </w:rPr>
                    <w:t>基础及结构阶段</w:t>
                  </w:r>
                </w:p>
              </w:tc>
              <w:tc>
                <w:tcPr>
                  <w:tcW w:w="1131" w:type="pct"/>
                  <w:tcBorders>
                    <w:tl2br w:val="nil"/>
                    <w:tr2bl w:val="nil"/>
                  </w:tcBorders>
                  <w:vAlign w:val="center"/>
                </w:tcPr>
                <w:p w14:paraId="2F38B4EB">
                  <w:pPr>
                    <w:adjustRightInd w:val="0"/>
                    <w:snapToGrid w:val="0"/>
                    <w:spacing w:line="320" w:lineRule="exact"/>
                    <w:jc w:val="center"/>
                    <w:rPr>
                      <w:szCs w:val="21"/>
                    </w:rPr>
                  </w:pPr>
                  <w:r>
                    <w:rPr>
                      <w:rFonts w:hint="eastAsia"/>
                      <w:szCs w:val="21"/>
                    </w:rPr>
                    <w:t>振捣器</w:t>
                  </w:r>
                </w:p>
              </w:tc>
              <w:tc>
                <w:tcPr>
                  <w:tcW w:w="836" w:type="pct"/>
                  <w:tcBorders>
                    <w:tl2br w:val="nil"/>
                    <w:tr2bl w:val="nil"/>
                  </w:tcBorders>
                  <w:vAlign w:val="center"/>
                </w:tcPr>
                <w:p w14:paraId="2D815D3C">
                  <w:pPr>
                    <w:adjustRightInd w:val="0"/>
                    <w:snapToGrid w:val="0"/>
                    <w:spacing w:line="320" w:lineRule="exact"/>
                    <w:jc w:val="center"/>
                    <w:rPr>
                      <w:szCs w:val="21"/>
                    </w:rPr>
                  </w:pPr>
                  <w:r>
                    <w:rPr>
                      <w:rFonts w:hint="eastAsia"/>
                      <w:szCs w:val="21"/>
                    </w:rPr>
                    <w:t>100~105</w:t>
                  </w:r>
                </w:p>
              </w:tc>
              <w:tc>
                <w:tcPr>
                  <w:tcW w:w="695" w:type="pct"/>
                  <w:vMerge w:val="continue"/>
                  <w:tcBorders>
                    <w:tl2br w:val="nil"/>
                    <w:tr2bl w:val="nil"/>
                  </w:tcBorders>
                  <w:vAlign w:val="center"/>
                </w:tcPr>
                <w:p w14:paraId="56E293AC">
                  <w:pPr>
                    <w:adjustRightInd w:val="0"/>
                    <w:snapToGrid w:val="0"/>
                    <w:spacing w:line="320" w:lineRule="exact"/>
                    <w:jc w:val="center"/>
                    <w:rPr>
                      <w:szCs w:val="21"/>
                    </w:rPr>
                  </w:pPr>
                </w:p>
              </w:tc>
              <w:tc>
                <w:tcPr>
                  <w:tcW w:w="757" w:type="pct"/>
                  <w:vMerge w:val="restart"/>
                  <w:tcBorders>
                    <w:tl2br w:val="nil"/>
                    <w:tr2bl w:val="nil"/>
                  </w:tcBorders>
                  <w:vAlign w:val="center"/>
                </w:tcPr>
                <w:p w14:paraId="4D481542">
                  <w:pPr>
                    <w:adjustRightInd w:val="0"/>
                    <w:snapToGrid w:val="0"/>
                    <w:spacing w:line="320" w:lineRule="exact"/>
                    <w:jc w:val="center"/>
                    <w:rPr>
                      <w:szCs w:val="21"/>
                    </w:rPr>
                  </w:pPr>
                  <w:r>
                    <w:rPr>
                      <w:rFonts w:hint="eastAsia"/>
                      <w:szCs w:val="21"/>
                    </w:rPr>
                    <w:t>无齿锯</w:t>
                  </w:r>
                </w:p>
              </w:tc>
              <w:tc>
                <w:tcPr>
                  <w:tcW w:w="757" w:type="pct"/>
                  <w:vMerge w:val="restart"/>
                  <w:tcBorders>
                    <w:tl2br w:val="nil"/>
                    <w:tr2bl w:val="nil"/>
                  </w:tcBorders>
                  <w:vAlign w:val="center"/>
                </w:tcPr>
                <w:p w14:paraId="616474C5">
                  <w:pPr>
                    <w:adjustRightInd w:val="0"/>
                    <w:snapToGrid w:val="0"/>
                    <w:spacing w:line="320" w:lineRule="exact"/>
                    <w:jc w:val="center"/>
                    <w:rPr>
                      <w:szCs w:val="21"/>
                    </w:rPr>
                  </w:pPr>
                </w:p>
                <w:p w14:paraId="65E083B4">
                  <w:pPr>
                    <w:adjustRightInd w:val="0"/>
                    <w:snapToGrid w:val="0"/>
                    <w:spacing w:line="320" w:lineRule="exact"/>
                    <w:jc w:val="center"/>
                    <w:rPr>
                      <w:szCs w:val="21"/>
                    </w:rPr>
                  </w:pPr>
                  <w:r>
                    <w:rPr>
                      <w:rFonts w:hint="eastAsia"/>
                      <w:szCs w:val="21"/>
                    </w:rPr>
                    <w:t>105</w:t>
                  </w:r>
                </w:p>
              </w:tc>
            </w:tr>
            <w:tr w14:paraId="601F0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1" w:type="pct"/>
                  <w:vMerge w:val="continue"/>
                  <w:tcBorders>
                    <w:tl2br w:val="nil"/>
                    <w:tr2bl w:val="nil"/>
                  </w:tcBorders>
                  <w:vAlign w:val="center"/>
                </w:tcPr>
                <w:p w14:paraId="5FD12917">
                  <w:pPr>
                    <w:adjustRightInd w:val="0"/>
                    <w:snapToGrid w:val="0"/>
                    <w:spacing w:line="320" w:lineRule="exact"/>
                    <w:jc w:val="center"/>
                    <w:rPr>
                      <w:szCs w:val="21"/>
                    </w:rPr>
                  </w:pPr>
                </w:p>
              </w:tc>
              <w:tc>
                <w:tcPr>
                  <w:tcW w:w="1131" w:type="pct"/>
                  <w:tcBorders>
                    <w:tl2br w:val="nil"/>
                    <w:tr2bl w:val="nil"/>
                  </w:tcBorders>
                  <w:vAlign w:val="center"/>
                </w:tcPr>
                <w:p w14:paraId="76224D84">
                  <w:pPr>
                    <w:adjustRightInd w:val="0"/>
                    <w:snapToGrid w:val="0"/>
                    <w:spacing w:line="320" w:lineRule="exact"/>
                    <w:jc w:val="center"/>
                    <w:rPr>
                      <w:szCs w:val="21"/>
                    </w:rPr>
                  </w:pPr>
                  <w:r>
                    <w:rPr>
                      <w:rFonts w:hint="eastAsia"/>
                      <w:szCs w:val="21"/>
                    </w:rPr>
                    <w:t>电锯</w:t>
                  </w:r>
                </w:p>
              </w:tc>
              <w:tc>
                <w:tcPr>
                  <w:tcW w:w="836" w:type="pct"/>
                  <w:tcBorders>
                    <w:tl2br w:val="nil"/>
                    <w:tr2bl w:val="nil"/>
                  </w:tcBorders>
                  <w:vAlign w:val="center"/>
                </w:tcPr>
                <w:p w14:paraId="1D04ABF4">
                  <w:pPr>
                    <w:adjustRightInd w:val="0"/>
                    <w:snapToGrid w:val="0"/>
                    <w:spacing w:line="320" w:lineRule="exact"/>
                    <w:jc w:val="center"/>
                    <w:rPr>
                      <w:szCs w:val="21"/>
                    </w:rPr>
                  </w:pPr>
                  <w:r>
                    <w:rPr>
                      <w:rFonts w:hint="eastAsia"/>
                      <w:szCs w:val="21"/>
                    </w:rPr>
                    <w:t>100~105</w:t>
                  </w:r>
                </w:p>
              </w:tc>
              <w:tc>
                <w:tcPr>
                  <w:tcW w:w="695" w:type="pct"/>
                  <w:vMerge w:val="continue"/>
                  <w:tcBorders>
                    <w:tl2br w:val="nil"/>
                    <w:tr2bl w:val="nil"/>
                  </w:tcBorders>
                  <w:vAlign w:val="center"/>
                </w:tcPr>
                <w:p w14:paraId="574571CD">
                  <w:pPr>
                    <w:adjustRightInd w:val="0"/>
                    <w:snapToGrid w:val="0"/>
                    <w:spacing w:line="320" w:lineRule="exact"/>
                    <w:jc w:val="center"/>
                    <w:rPr>
                      <w:szCs w:val="21"/>
                    </w:rPr>
                  </w:pPr>
                </w:p>
              </w:tc>
              <w:tc>
                <w:tcPr>
                  <w:tcW w:w="757" w:type="pct"/>
                  <w:vMerge w:val="continue"/>
                  <w:tcBorders>
                    <w:tl2br w:val="nil"/>
                    <w:tr2bl w:val="nil"/>
                  </w:tcBorders>
                  <w:vAlign w:val="center"/>
                </w:tcPr>
                <w:p w14:paraId="1E2BAE3A">
                  <w:pPr>
                    <w:adjustRightInd w:val="0"/>
                    <w:snapToGrid w:val="0"/>
                    <w:spacing w:line="320" w:lineRule="exact"/>
                    <w:jc w:val="center"/>
                    <w:rPr>
                      <w:szCs w:val="21"/>
                    </w:rPr>
                  </w:pPr>
                </w:p>
              </w:tc>
              <w:tc>
                <w:tcPr>
                  <w:tcW w:w="757" w:type="pct"/>
                  <w:vMerge w:val="continue"/>
                  <w:tcBorders>
                    <w:tl2br w:val="nil"/>
                    <w:tr2bl w:val="nil"/>
                  </w:tcBorders>
                  <w:vAlign w:val="center"/>
                </w:tcPr>
                <w:p w14:paraId="0CC79800">
                  <w:pPr>
                    <w:adjustRightInd w:val="0"/>
                    <w:snapToGrid w:val="0"/>
                    <w:spacing w:line="320" w:lineRule="exact"/>
                    <w:jc w:val="center"/>
                    <w:rPr>
                      <w:szCs w:val="21"/>
                    </w:rPr>
                  </w:pPr>
                </w:p>
              </w:tc>
            </w:tr>
            <w:tr w14:paraId="544E9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821" w:type="pct"/>
                  <w:vMerge w:val="continue"/>
                  <w:tcBorders>
                    <w:tl2br w:val="nil"/>
                    <w:tr2bl w:val="nil"/>
                  </w:tcBorders>
                  <w:vAlign w:val="center"/>
                </w:tcPr>
                <w:p w14:paraId="20C03084">
                  <w:pPr>
                    <w:adjustRightInd w:val="0"/>
                    <w:snapToGrid w:val="0"/>
                    <w:spacing w:line="320" w:lineRule="exact"/>
                    <w:jc w:val="center"/>
                    <w:rPr>
                      <w:szCs w:val="21"/>
                    </w:rPr>
                  </w:pPr>
                </w:p>
              </w:tc>
              <w:tc>
                <w:tcPr>
                  <w:tcW w:w="1131" w:type="pct"/>
                  <w:tcBorders>
                    <w:tl2br w:val="nil"/>
                    <w:tr2bl w:val="nil"/>
                  </w:tcBorders>
                  <w:vAlign w:val="center"/>
                </w:tcPr>
                <w:p w14:paraId="0811F972">
                  <w:pPr>
                    <w:adjustRightInd w:val="0"/>
                    <w:snapToGrid w:val="0"/>
                    <w:spacing w:line="320" w:lineRule="exact"/>
                    <w:jc w:val="center"/>
                    <w:rPr>
                      <w:szCs w:val="21"/>
                    </w:rPr>
                  </w:pPr>
                  <w:r>
                    <w:rPr>
                      <w:rFonts w:hint="eastAsia"/>
                      <w:szCs w:val="21"/>
                    </w:rPr>
                    <w:t>电焊机</w:t>
                  </w:r>
                </w:p>
              </w:tc>
              <w:tc>
                <w:tcPr>
                  <w:tcW w:w="836" w:type="pct"/>
                  <w:tcBorders>
                    <w:tl2br w:val="nil"/>
                    <w:tr2bl w:val="nil"/>
                  </w:tcBorders>
                  <w:vAlign w:val="center"/>
                </w:tcPr>
                <w:p w14:paraId="349B3473">
                  <w:pPr>
                    <w:adjustRightInd w:val="0"/>
                    <w:snapToGrid w:val="0"/>
                    <w:spacing w:line="320" w:lineRule="exact"/>
                    <w:jc w:val="center"/>
                    <w:rPr>
                      <w:szCs w:val="21"/>
                    </w:rPr>
                  </w:pPr>
                  <w:r>
                    <w:rPr>
                      <w:rFonts w:hint="eastAsia"/>
                      <w:szCs w:val="21"/>
                    </w:rPr>
                    <w:t>90~95</w:t>
                  </w:r>
                </w:p>
              </w:tc>
              <w:tc>
                <w:tcPr>
                  <w:tcW w:w="695" w:type="pct"/>
                  <w:vMerge w:val="continue"/>
                  <w:tcBorders>
                    <w:tl2br w:val="nil"/>
                    <w:tr2bl w:val="nil"/>
                  </w:tcBorders>
                  <w:vAlign w:val="center"/>
                </w:tcPr>
                <w:p w14:paraId="4137F5CC">
                  <w:pPr>
                    <w:adjustRightInd w:val="0"/>
                    <w:snapToGrid w:val="0"/>
                    <w:spacing w:line="320" w:lineRule="exact"/>
                    <w:jc w:val="center"/>
                    <w:rPr>
                      <w:szCs w:val="21"/>
                    </w:rPr>
                  </w:pPr>
                </w:p>
              </w:tc>
              <w:tc>
                <w:tcPr>
                  <w:tcW w:w="757" w:type="pct"/>
                  <w:vMerge w:val="continue"/>
                  <w:tcBorders>
                    <w:tl2br w:val="nil"/>
                    <w:tr2bl w:val="nil"/>
                  </w:tcBorders>
                  <w:vAlign w:val="center"/>
                </w:tcPr>
                <w:p w14:paraId="1ADD5AAB">
                  <w:pPr>
                    <w:adjustRightInd w:val="0"/>
                    <w:snapToGrid w:val="0"/>
                    <w:spacing w:line="320" w:lineRule="exact"/>
                    <w:jc w:val="center"/>
                    <w:rPr>
                      <w:szCs w:val="21"/>
                    </w:rPr>
                  </w:pPr>
                </w:p>
              </w:tc>
              <w:tc>
                <w:tcPr>
                  <w:tcW w:w="757" w:type="pct"/>
                  <w:vMerge w:val="continue"/>
                  <w:tcBorders>
                    <w:tl2br w:val="nil"/>
                    <w:tr2bl w:val="nil"/>
                  </w:tcBorders>
                  <w:vAlign w:val="center"/>
                </w:tcPr>
                <w:p w14:paraId="38EC1781">
                  <w:pPr>
                    <w:adjustRightInd w:val="0"/>
                    <w:snapToGrid w:val="0"/>
                    <w:spacing w:line="320" w:lineRule="exact"/>
                    <w:jc w:val="center"/>
                    <w:rPr>
                      <w:szCs w:val="21"/>
                    </w:rPr>
                  </w:pPr>
                </w:p>
              </w:tc>
            </w:tr>
          </w:tbl>
          <w:p w14:paraId="652AC2DF">
            <w:pPr>
              <w:spacing w:line="360" w:lineRule="auto"/>
              <w:ind w:firstLine="480"/>
              <w:rPr>
                <w:sz w:val="24"/>
              </w:rPr>
            </w:pPr>
            <w:r>
              <w:rPr>
                <w:sz w:val="24"/>
              </w:rPr>
              <w:t>根据工程所在区域环境现状，为实现施工场界噪声达标排放，降低施工噪声对周围环境的影响，施工单位需严格按照相关要求文明施工，采取以下噪声防治措施：</w:t>
            </w:r>
          </w:p>
          <w:p w14:paraId="3482C00D">
            <w:pPr>
              <w:spacing w:line="360" w:lineRule="auto"/>
              <w:ind w:firstLine="480" w:firstLineChars="200"/>
              <w:rPr>
                <w:sz w:val="24"/>
              </w:rPr>
            </w:pPr>
            <w:r>
              <w:rPr>
                <w:sz w:val="24"/>
              </w:rPr>
              <w:t>①选用符合国家标准的低噪声设备，定期加强对设备的维修保养，避免由于设备非正常工作而产生噪声污染。</w:t>
            </w:r>
          </w:p>
          <w:p w14:paraId="170E80CD">
            <w:pPr>
              <w:spacing w:line="360" w:lineRule="auto"/>
              <w:ind w:firstLine="480" w:firstLineChars="200"/>
              <w:rPr>
                <w:sz w:val="24"/>
              </w:rPr>
            </w:pPr>
            <w:r>
              <w:rPr>
                <w:sz w:val="24"/>
              </w:rPr>
              <w:t>②合理安排施工时序和施工时间，禁止夜间（22:00~6:00</w:t>
            </w:r>
            <w:r>
              <w:rPr>
                <w:rFonts w:hint="eastAsia"/>
                <w:sz w:val="24"/>
              </w:rPr>
              <w:t>）</w:t>
            </w:r>
            <w:r>
              <w:rPr>
                <w:sz w:val="24"/>
              </w:rPr>
              <w:t>施工，如夜间需进行施工工艺要求必须连续作业的强噪声施工，须事先征得周围居民同意，向当地管理部门申报。</w:t>
            </w:r>
          </w:p>
          <w:p w14:paraId="226FF64A">
            <w:pPr>
              <w:spacing w:line="360" w:lineRule="auto"/>
              <w:ind w:firstLine="480" w:firstLineChars="200"/>
              <w:rPr>
                <w:b/>
                <w:sz w:val="24"/>
              </w:rPr>
            </w:pPr>
            <w:r>
              <w:rPr>
                <w:sz w:val="24"/>
              </w:rPr>
              <w:t>③加强管理，文明施工。装卸、搬运木材、模具、钢材等严禁抛掷，材料运输车辆进场要专人指挥，厂内运输车辆实施限速、禁止鸣笛。施工监理单位应做好噪声控制措施，确保施工场界噪声达标排放。</w:t>
            </w:r>
          </w:p>
          <w:p w14:paraId="3C48491A">
            <w:pPr>
              <w:spacing w:line="360" w:lineRule="auto"/>
              <w:ind w:firstLine="480" w:firstLineChars="200"/>
              <w:rPr>
                <w:sz w:val="24"/>
              </w:rPr>
            </w:pPr>
            <w:r>
              <w:rPr>
                <w:sz w:val="24"/>
              </w:rPr>
              <w:t>④施工运输车辆应按照有关部门同意的运输路线</w:t>
            </w:r>
            <w:r>
              <w:rPr>
                <w:rFonts w:hint="eastAsia"/>
                <w:sz w:val="24"/>
                <w:lang w:eastAsia="zh-CN"/>
              </w:rPr>
              <w:t>进行</w:t>
            </w:r>
            <w:r>
              <w:rPr>
                <w:sz w:val="24"/>
              </w:rPr>
              <w:t>，运输时间应避开居民进出高峰期，同时严格限速、限载管理，禁止鸣笛。</w:t>
            </w:r>
          </w:p>
          <w:p w14:paraId="3C294A94">
            <w:pPr>
              <w:spacing w:line="360" w:lineRule="auto"/>
              <w:ind w:firstLine="480" w:firstLineChars="200"/>
              <w:rPr>
                <w:b/>
                <w:sz w:val="24"/>
              </w:rPr>
            </w:pPr>
            <w:r>
              <w:rPr>
                <w:sz w:val="24"/>
              </w:rPr>
              <w:t>⑤合理布置施工总平面。施工期高噪声尽量设备布置在场地中央，有效利用距离的衰减，确保场界达标排放。</w:t>
            </w:r>
          </w:p>
          <w:p w14:paraId="171EEB55">
            <w:pPr>
              <w:spacing w:line="360" w:lineRule="auto"/>
              <w:ind w:firstLine="480"/>
              <w:rPr>
                <w:sz w:val="24"/>
              </w:rPr>
            </w:pPr>
            <w:r>
              <w:rPr>
                <w:sz w:val="24"/>
              </w:rPr>
              <w:t>⑥施工前应进行公示，施工单位应在现场张贴通告和投诉电话，建设单位在接到投诉电话后及时与当地环保部门联系，及时处理各种环境纠纷。</w:t>
            </w:r>
          </w:p>
          <w:p w14:paraId="1836CE02">
            <w:pPr>
              <w:spacing w:line="360" w:lineRule="auto"/>
              <w:ind w:firstLine="480" w:firstLineChars="200"/>
              <w:rPr>
                <w:sz w:val="24"/>
              </w:rPr>
            </w:pPr>
            <w:r>
              <w:rPr>
                <w:rFonts w:hint="eastAsia"/>
                <w:sz w:val="24"/>
              </w:rPr>
              <w:t>⑦双考期间禁止施工，严格执行地方政府关于双考期间保障考生良好作息环境。</w:t>
            </w:r>
          </w:p>
          <w:p w14:paraId="0989EA10">
            <w:pPr>
              <w:spacing w:line="360" w:lineRule="auto"/>
              <w:ind w:firstLine="425"/>
            </w:pPr>
            <w:r>
              <w:rPr>
                <w:sz w:val="24"/>
              </w:rPr>
              <w:t>施工期经过采取上述噪声治理措施后，场界噪声可以满足《建筑施工场界环境噪声排放标准》（GB12523-2011</w:t>
            </w:r>
            <w:r>
              <w:rPr>
                <w:rFonts w:hint="eastAsia"/>
                <w:sz w:val="24"/>
              </w:rPr>
              <w:t>）</w:t>
            </w:r>
            <w:r>
              <w:rPr>
                <w:sz w:val="24"/>
              </w:rPr>
              <w:t>标准的要求，实现达标排放。</w:t>
            </w:r>
          </w:p>
          <w:p w14:paraId="0AE5184B">
            <w:pPr>
              <w:adjustRightInd w:val="0"/>
              <w:snapToGrid w:val="0"/>
              <w:spacing w:line="360" w:lineRule="auto"/>
              <w:ind w:firstLine="442" w:firstLineChars="200"/>
              <w:rPr>
                <w:b/>
                <w:spacing w:val="-10"/>
                <w:sz w:val="24"/>
              </w:rPr>
            </w:pPr>
            <w:r>
              <w:rPr>
                <w:rFonts w:hint="eastAsia"/>
                <w:b/>
                <w:spacing w:val="-10"/>
                <w:sz w:val="24"/>
              </w:rPr>
              <w:t>4、固废</w:t>
            </w:r>
          </w:p>
          <w:p w14:paraId="11E1BCBB">
            <w:pPr>
              <w:spacing w:line="360" w:lineRule="auto"/>
              <w:ind w:firstLine="480" w:firstLineChars="200"/>
              <w:rPr>
                <w:sz w:val="24"/>
              </w:rPr>
            </w:pPr>
            <w:r>
              <w:rPr>
                <w:rFonts w:hint="eastAsia" w:ascii="宋体" w:hAnsi="宋体" w:cs="宋体"/>
                <w:color w:val="000000"/>
                <w:kern w:val="0"/>
                <w:sz w:val="24"/>
                <w:lang w:bidi="ar"/>
              </w:rPr>
              <w:t>本项目施工期间产生的固体废物主要有土方开挖产生的弃土、工程装修期间产生的建筑垃圾、施工人员产生的生活垃圾。</w:t>
            </w:r>
          </w:p>
          <w:p w14:paraId="1C12105A">
            <w:pPr>
              <w:spacing w:line="360" w:lineRule="auto"/>
              <w:ind w:firstLine="482" w:firstLineChars="200"/>
              <w:rPr>
                <w:b/>
                <w:sz w:val="24"/>
              </w:rPr>
            </w:pPr>
            <w:r>
              <w:rPr>
                <w:b/>
                <w:sz w:val="24"/>
              </w:rPr>
              <w:t>（1</w:t>
            </w:r>
            <w:r>
              <w:rPr>
                <w:rFonts w:hint="eastAsia"/>
                <w:b/>
                <w:sz w:val="24"/>
              </w:rPr>
              <w:t>）</w:t>
            </w:r>
            <w:r>
              <w:rPr>
                <w:b/>
                <w:sz w:val="24"/>
              </w:rPr>
              <w:t>土石方</w:t>
            </w:r>
          </w:p>
          <w:p w14:paraId="7C0A0BEE">
            <w:pPr>
              <w:widowControl/>
              <w:wordWrap w:val="0"/>
              <w:spacing w:line="360" w:lineRule="auto"/>
              <w:ind w:firstLine="456" w:firstLineChars="200"/>
              <w:jc w:val="left"/>
              <w:rPr>
                <w:sz w:val="24"/>
              </w:rPr>
            </w:pPr>
            <w:r>
              <w:rPr>
                <w:rFonts w:hint="eastAsia"/>
                <w:spacing w:val="-6"/>
                <w:sz w:val="24"/>
              </w:rPr>
              <w:t>本项目</w:t>
            </w:r>
            <w:r>
              <w:rPr>
                <w:spacing w:val="-6"/>
                <w:sz w:val="24"/>
              </w:rPr>
              <w:t>总计开挖土石方</w:t>
            </w:r>
            <w:r>
              <w:rPr>
                <w:rFonts w:hint="eastAsia"/>
                <w:spacing w:val="-6"/>
                <w:sz w:val="24"/>
              </w:rPr>
              <w:t>8554.84</w:t>
            </w:r>
            <w:r>
              <w:rPr>
                <w:sz w:val="24"/>
              </w:rPr>
              <w:t xml:space="preserve"> m</w:t>
            </w:r>
            <w:r>
              <w:rPr>
                <w:sz w:val="24"/>
                <w:vertAlign w:val="superscript"/>
              </w:rPr>
              <w:t>3</w:t>
            </w:r>
            <w:r>
              <w:rPr>
                <w:sz w:val="24"/>
              </w:rPr>
              <w:t>（自然方</w:t>
            </w:r>
            <w:r>
              <w:rPr>
                <w:rFonts w:hint="eastAsia"/>
                <w:sz w:val="24"/>
              </w:rPr>
              <w:t>，包括表土剥离）</w:t>
            </w:r>
            <w:r>
              <w:rPr>
                <w:sz w:val="24"/>
              </w:rPr>
              <w:t>，</w:t>
            </w:r>
            <w:r>
              <w:rPr>
                <w:spacing w:val="-12"/>
                <w:sz w:val="24"/>
              </w:rPr>
              <w:t>其中土方</w:t>
            </w:r>
            <w:r>
              <w:rPr>
                <w:rFonts w:hint="eastAsia"/>
                <w:spacing w:val="-12"/>
                <w:sz w:val="24"/>
              </w:rPr>
              <w:t>1710.968</w:t>
            </w:r>
            <w:r>
              <w:rPr>
                <w:sz w:val="24"/>
              </w:rPr>
              <w:t>m</w:t>
            </w:r>
            <w:r>
              <w:rPr>
                <w:sz w:val="24"/>
                <w:vertAlign w:val="superscript"/>
              </w:rPr>
              <w:t>3</w:t>
            </w:r>
            <w:r>
              <w:rPr>
                <w:sz w:val="24"/>
              </w:rPr>
              <w:t>（自然方</w:t>
            </w:r>
            <w:r>
              <w:rPr>
                <w:rFonts w:hint="eastAsia"/>
                <w:sz w:val="24"/>
              </w:rPr>
              <w:t>）</w:t>
            </w:r>
            <w:r>
              <w:rPr>
                <w:sz w:val="24"/>
              </w:rPr>
              <w:t>，</w:t>
            </w:r>
            <w:r>
              <w:rPr>
                <w:rFonts w:hint="eastAsia"/>
                <w:sz w:val="24"/>
              </w:rPr>
              <w:t>石方</w:t>
            </w:r>
            <w:r>
              <w:rPr>
                <w:rFonts w:hint="eastAsia"/>
                <w:spacing w:val="-20"/>
                <w:sz w:val="24"/>
              </w:rPr>
              <w:t>6843.872万</w:t>
            </w:r>
            <w:r>
              <w:rPr>
                <w:sz w:val="24"/>
              </w:rPr>
              <w:t>m</w:t>
            </w:r>
            <w:r>
              <w:rPr>
                <w:sz w:val="24"/>
                <w:vertAlign w:val="superscript"/>
              </w:rPr>
              <w:t>3</w:t>
            </w:r>
            <w:r>
              <w:rPr>
                <w:sz w:val="24"/>
              </w:rPr>
              <w:t>（自然方</w:t>
            </w:r>
            <w:r>
              <w:rPr>
                <w:rFonts w:hint="eastAsia"/>
                <w:sz w:val="24"/>
              </w:rPr>
              <w:t>）</w:t>
            </w:r>
            <w:r>
              <w:rPr>
                <w:sz w:val="24"/>
              </w:rPr>
              <w:t>；</w:t>
            </w:r>
            <w:r>
              <w:rPr>
                <w:spacing w:val="-6"/>
                <w:sz w:val="24"/>
              </w:rPr>
              <w:t>土石回填利用开挖料</w:t>
            </w:r>
            <w:r>
              <w:rPr>
                <w:rFonts w:hint="eastAsia"/>
                <w:spacing w:val="-6"/>
                <w:sz w:val="24"/>
              </w:rPr>
              <w:t>5735.46</w:t>
            </w:r>
            <w:r>
              <w:rPr>
                <w:sz w:val="24"/>
              </w:rPr>
              <w:t>m</w:t>
            </w:r>
            <w:r>
              <w:rPr>
                <w:sz w:val="24"/>
                <w:vertAlign w:val="superscript"/>
              </w:rPr>
              <w:t>3</w:t>
            </w:r>
            <w:r>
              <w:rPr>
                <w:sz w:val="24"/>
              </w:rPr>
              <w:t>（自然方</w:t>
            </w:r>
            <w:r>
              <w:rPr>
                <w:rFonts w:hint="eastAsia"/>
                <w:sz w:val="24"/>
              </w:rPr>
              <w:t>，包括表土回覆、</w:t>
            </w:r>
            <w:r>
              <w:rPr>
                <w:sz w:val="24"/>
              </w:rPr>
              <w:t>场地回填</w:t>
            </w:r>
            <w:r>
              <w:rPr>
                <w:rFonts w:hint="eastAsia"/>
                <w:sz w:val="24"/>
              </w:rPr>
              <w:t>），余方外运利用处置或运至政府指定弃土场</w:t>
            </w:r>
            <w:r>
              <w:rPr>
                <w:sz w:val="24"/>
              </w:rPr>
              <w:t>。</w:t>
            </w:r>
          </w:p>
          <w:p w14:paraId="2878B55B">
            <w:pPr>
              <w:widowControl/>
              <w:spacing w:line="360" w:lineRule="auto"/>
              <w:ind w:firstLine="482" w:firstLineChars="200"/>
              <w:jc w:val="left"/>
              <w:rPr>
                <w:b/>
                <w:bCs/>
                <w:color w:val="000000"/>
                <w:kern w:val="0"/>
                <w:sz w:val="24"/>
                <w:lang w:bidi="ar"/>
              </w:rPr>
            </w:pPr>
            <w:r>
              <w:rPr>
                <w:rFonts w:hint="eastAsia" w:ascii="宋体" w:hAnsi="宋体" w:cs="宋体"/>
                <w:b/>
                <w:bCs/>
                <w:color w:val="000000"/>
                <w:kern w:val="0"/>
                <w:sz w:val="24"/>
                <w:lang w:bidi="ar"/>
              </w:rPr>
              <w:t>（</w:t>
            </w:r>
            <w:r>
              <w:rPr>
                <w:rFonts w:hint="eastAsia"/>
                <w:b/>
                <w:bCs/>
                <w:color w:val="000000"/>
                <w:kern w:val="0"/>
                <w:sz w:val="24"/>
                <w:lang w:bidi="ar"/>
              </w:rPr>
              <w:t>2</w:t>
            </w:r>
            <w:r>
              <w:rPr>
                <w:rFonts w:hint="eastAsia" w:ascii="宋体" w:hAnsi="宋体" w:cs="宋体"/>
                <w:b/>
                <w:bCs/>
                <w:color w:val="000000"/>
                <w:kern w:val="0"/>
                <w:sz w:val="24"/>
                <w:lang w:bidi="ar"/>
              </w:rPr>
              <w:t>）</w:t>
            </w:r>
            <w:r>
              <w:rPr>
                <w:b/>
                <w:bCs/>
                <w:color w:val="000000"/>
                <w:kern w:val="0"/>
                <w:sz w:val="24"/>
                <w:lang w:bidi="ar"/>
              </w:rPr>
              <w:t>建筑垃圾</w:t>
            </w:r>
          </w:p>
          <w:p w14:paraId="39D21C55">
            <w:pPr>
              <w:spacing w:line="360" w:lineRule="auto"/>
              <w:ind w:firstLine="480" w:firstLineChars="200"/>
              <w:rPr>
                <w:sz w:val="24"/>
              </w:rPr>
            </w:pPr>
            <w:r>
              <w:rPr>
                <w:sz w:val="24"/>
              </w:rPr>
              <w:t>建</w:t>
            </w:r>
            <w:r>
              <w:rPr>
                <w:rFonts w:hint="eastAsia"/>
                <w:sz w:val="24"/>
                <w:lang w:eastAsia="zh-CN"/>
              </w:rPr>
              <w:t>筑</w:t>
            </w:r>
            <w:r>
              <w:rPr>
                <w:sz w:val="24"/>
              </w:rPr>
              <w:t>垃圾主要</w:t>
            </w:r>
            <w:r>
              <w:rPr>
                <w:rFonts w:hint="eastAsia"/>
                <w:sz w:val="24"/>
                <w:lang w:eastAsia="zh-CN"/>
              </w:rPr>
              <w:t>来自</w:t>
            </w:r>
            <w:r>
              <w:rPr>
                <w:sz w:val="24"/>
              </w:rPr>
              <w:t>施工作业，包括砂石、石块、碎砖瓦、废木料、废金属、废钢筋等。要求在施工现场设置建筑废弃物临时堆场（树立标示牌）并进行防雨、防泄漏处理。施工产生的废料首先考虑回收利用，通过分类集中收集后，对钢筋、金属、木材等</w:t>
            </w:r>
            <w:r>
              <w:rPr>
                <w:rFonts w:hint="eastAsia"/>
                <w:sz w:val="24"/>
                <w:lang w:eastAsia="zh-CN"/>
              </w:rPr>
              <w:t>下脚料</w:t>
            </w:r>
            <w:r>
              <w:rPr>
                <w:sz w:val="24"/>
              </w:rPr>
              <w:t>可分类回收，交废品收购站回收再利用；对不能回收的建筑废物不能随意倾倒，而应用编织袋</w:t>
            </w:r>
            <w:r>
              <w:rPr>
                <w:rFonts w:hint="eastAsia"/>
                <w:sz w:val="24"/>
              </w:rPr>
              <w:t>等容器</w:t>
            </w:r>
            <w:r>
              <w:rPr>
                <w:sz w:val="24"/>
              </w:rPr>
              <w:t>包装后清运到</w:t>
            </w:r>
            <w:r>
              <w:rPr>
                <w:rFonts w:hint="eastAsia"/>
                <w:sz w:val="24"/>
              </w:rPr>
              <w:t>政府指定的</w:t>
            </w:r>
            <w:r>
              <w:rPr>
                <w:sz w:val="24"/>
              </w:rPr>
              <w:t>建筑垃圾处置场。</w:t>
            </w:r>
          </w:p>
          <w:p w14:paraId="4C95AC2A">
            <w:pPr>
              <w:widowControl/>
              <w:spacing w:line="360" w:lineRule="auto"/>
              <w:ind w:firstLine="482" w:firstLineChars="200"/>
              <w:jc w:val="left"/>
              <w:rPr>
                <w:sz w:val="24"/>
              </w:rPr>
            </w:pPr>
            <w:r>
              <w:rPr>
                <w:rFonts w:hint="eastAsia" w:ascii="宋体" w:hAnsi="宋体" w:cs="宋体"/>
                <w:b/>
                <w:bCs/>
                <w:color w:val="000000"/>
                <w:kern w:val="0"/>
                <w:sz w:val="24"/>
                <w:lang w:bidi="ar"/>
              </w:rPr>
              <w:t>（3）生活垃圾</w:t>
            </w:r>
          </w:p>
          <w:p w14:paraId="24FAA572">
            <w:pPr>
              <w:widowControl/>
              <w:spacing w:line="360" w:lineRule="auto"/>
              <w:ind w:firstLine="480" w:firstLineChars="200"/>
              <w:jc w:val="left"/>
              <w:rPr>
                <w:sz w:val="24"/>
              </w:rPr>
            </w:pPr>
            <w:r>
              <w:rPr>
                <w:color w:val="000000"/>
                <w:kern w:val="0"/>
                <w:sz w:val="24"/>
                <w:lang w:bidi="ar"/>
              </w:rPr>
              <w:t xml:space="preserve">本项目施工期施工高峰期施工人员按50人计，生活垃圾按0.5kg/人•d计，日产生量约25 kg/d。 </w:t>
            </w:r>
            <w:r>
              <w:rPr>
                <w:sz w:val="24"/>
              </w:rPr>
              <w:t>生活垃圾经袋装收集后，由环卫部门统一运送到垃圾处理场集中处理。</w:t>
            </w:r>
          </w:p>
          <w:p w14:paraId="3EA9C641">
            <w:pPr>
              <w:spacing w:line="360" w:lineRule="auto"/>
              <w:ind w:firstLine="480" w:firstLineChars="200"/>
              <w:rPr>
                <w:bCs/>
                <w:sz w:val="24"/>
              </w:rPr>
            </w:pPr>
            <w:r>
              <w:rPr>
                <w:bCs/>
                <w:sz w:val="24"/>
              </w:rPr>
              <w:t>综上所述，本项目施工期在严格落实本环评提出的上述防治要求后，施工期产生的固体废物可实现资源化利用或无害化处置，不会造成二次污染。</w:t>
            </w:r>
          </w:p>
          <w:p w14:paraId="12277C2A">
            <w:pPr>
              <w:spacing w:line="360" w:lineRule="auto"/>
              <w:ind w:firstLine="482" w:firstLineChars="200"/>
              <w:rPr>
                <w:b/>
                <w:sz w:val="24"/>
              </w:rPr>
            </w:pPr>
            <w:r>
              <w:rPr>
                <w:b/>
                <w:sz w:val="24"/>
              </w:rPr>
              <w:t>5、生态环境影响分析</w:t>
            </w:r>
          </w:p>
          <w:p w14:paraId="0FD314DA">
            <w:pPr>
              <w:widowControl/>
              <w:spacing w:line="360" w:lineRule="auto"/>
              <w:ind w:firstLine="480" w:firstLineChars="200"/>
              <w:jc w:val="left"/>
              <w:rPr>
                <w:rFonts w:hint="eastAsia" w:ascii="宋体" w:hAnsi="宋体" w:cs="宋体"/>
                <w:color w:val="000000"/>
                <w:kern w:val="0"/>
                <w:sz w:val="24"/>
                <w:lang w:bidi="ar"/>
              </w:rPr>
            </w:pPr>
            <w:r>
              <w:rPr>
                <w:rFonts w:hint="eastAsia"/>
                <w:sz w:val="24"/>
              </w:rPr>
              <w:t>本项目位于达州市通川区西南职教园区内，</w:t>
            </w:r>
            <w:r>
              <w:rPr>
                <w:sz w:val="24"/>
              </w:rPr>
              <w:t>永久占地</w:t>
            </w:r>
            <w:r>
              <w:rPr>
                <w:rFonts w:hint="eastAsia"/>
                <w:sz w:val="24"/>
              </w:rPr>
              <w:t>6078.45m2</w:t>
            </w:r>
            <w:r>
              <w:rPr>
                <w:sz w:val="24"/>
              </w:rPr>
              <w:t>，</w:t>
            </w:r>
            <w:r>
              <w:rPr>
                <w:rFonts w:hint="eastAsia"/>
                <w:sz w:val="24"/>
              </w:rPr>
              <w:t>占地类型为规划的公共设施用地（环卫用地），现状用地类型</w:t>
            </w:r>
            <w:r>
              <w:rPr>
                <w:rFonts w:hint="eastAsia"/>
                <w:sz w:val="24"/>
                <w:lang w:eastAsia="zh-CN"/>
              </w:rPr>
              <w:t>为</w:t>
            </w:r>
            <w:r>
              <w:rPr>
                <w:rFonts w:hint="eastAsia"/>
                <w:sz w:val="24"/>
              </w:rPr>
              <w:t>水田、旱地及乔木林地。项目</w:t>
            </w:r>
            <w:r>
              <w:rPr>
                <w:sz w:val="24"/>
              </w:rPr>
              <w:t>建设期间的施工作业带、土料挖填方、</w:t>
            </w:r>
            <w:r>
              <w:rPr>
                <w:rFonts w:hint="eastAsia"/>
                <w:sz w:val="24"/>
              </w:rPr>
              <w:t>材料堆放</w:t>
            </w:r>
            <w:r>
              <w:rPr>
                <w:sz w:val="24"/>
              </w:rPr>
              <w:t>将破坏原有植被，造成一定的新增水土流失，对</w:t>
            </w:r>
            <w:r>
              <w:rPr>
                <w:rFonts w:hint="eastAsia"/>
                <w:sz w:val="24"/>
              </w:rPr>
              <w:t>项目</w:t>
            </w:r>
            <w:r>
              <w:rPr>
                <w:sz w:val="24"/>
              </w:rPr>
              <w:t>直接影响区生态环境有一定的不利影响。由于</w:t>
            </w:r>
            <w:r>
              <w:rPr>
                <w:rFonts w:hint="eastAsia"/>
                <w:sz w:val="24"/>
              </w:rPr>
              <w:t>项目</w:t>
            </w:r>
            <w:r>
              <w:rPr>
                <w:sz w:val="24"/>
              </w:rPr>
              <w:t>建设期短，不利影响很快就消失。施工结束后对破坏区域进行恢复和绿化。</w:t>
            </w:r>
          </w:p>
          <w:p w14:paraId="2FD3AE83">
            <w:pPr>
              <w:spacing w:line="360" w:lineRule="auto"/>
              <w:ind w:firstLine="482" w:firstLineChars="200"/>
              <w:rPr>
                <w:sz w:val="24"/>
              </w:rPr>
            </w:pPr>
            <w:r>
              <w:rPr>
                <w:b/>
                <w:bCs/>
                <w:sz w:val="24"/>
              </w:rPr>
              <w:t>陆生植物</w:t>
            </w:r>
            <w:r>
              <w:rPr>
                <w:rFonts w:hint="eastAsia"/>
                <w:b/>
                <w:bCs/>
                <w:sz w:val="24"/>
              </w:rPr>
              <w:t>：</w:t>
            </w:r>
            <w:r>
              <w:rPr>
                <w:sz w:val="24"/>
              </w:rPr>
              <w:t>经</w:t>
            </w:r>
            <w:r>
              <w:rPr>
                <w:rFonts w:hint="eastAsia"/>
                <w:sz w:val="24"/>
              </w:rPr>
              <w:t>调查</w:t>
            </w:r>
            <w:r>
              <w:rPr>
                <w:sz w:val="24"/>
              </w:rPr>
              <w:t>，评价范围内植被以农业栽培植被为主，零星分布有</w:t>
            </w:r>
            <w:r>
              <w:rPr>
                <w:spacing w:val="-2"/>
                <w:sz w:val="24"/>
              </w:rPr>
              <w:t>次生常绿针叶林</w:t>
            </w:r>
            <w:r>
              <w:rPr>
                <w:rFonts w:hint="eastAsia"/>
                <w:spacing w:val="-2"/>
                <w:sz w:val="24"/>
              </w:rPr>
              <w:t>、</w:t>
            </w:r>
            <w:r>
              <w:rPr>
                <w:spacing w:val="-2"/>
                <w:sz w:val="24"/>
              </w:rPr>
              <w:t>麻柳树、</w:t>
            </w:r>
            <w:r>
              <w:rPr>
                <w:sz w:val="24"/>
              </w:rPr>
              <w:t>柏树、竹子、灌木林等森林植被</w:t>
            </w:r>
            <w:r>
              <w:rPr>
                <w:rFonts w:hint="eastAsia"/>
                <w:sz w:val="24"/>
              </w:rPr>
              <w:t>，无</w:t>
            </w:r>
            <w:r>
              <w:rPr>
                <w:sz w:val="24"/>
              </w:rPr>
              <w:t>国家保护的珍稀植物分布。施工过程中，局部开挖和工程占地将导致植被遭到破坏，区域环境中绿地数量较施工前相对减少。</w:t>
            </w:r>
          </w:p>
          <w:p w14:paraId="66DA9DB8">
            <w:pPr>
              <w:spacing w:line="360" w:lineRule="auto"/>
              <w:ind w:firstLine="482" w:firstLineChars="200"/>
              <w:rPr>
                <w:sz w:val="24"/>
              </w:rPr>
            </w:pPr>
            <w:r>
              <w:rPr>
                <w:b/>
                <w:bCs/>
                <w:sz w:val="24"/>
              </w:rPr>
              <w:t>陆生动物</w:t>
            </w:r>
            <w:r>
              <w:rPr>
                <w:rFonts w:hint="eastAsia"/>
                <w:b/>
                <w:bCs/>
                <w:sz w:val="24"/>
              </w:rPr>
              <w:t>：</w:t>
            </w:r>
            <w:r>
              <w:rPr>
                <w:sz w:val="24"/>
              </w:rPr>
              <w:t>经</w:t>
            </w:r>
            <w:r>
              <w:rPr>
                <w:rFonts w:hint="eastAsia"/>
                <w:sz w:val="24"/>
              </w:rPr>
              <w:t>调查</w:t>
            </w:r>
            <w:r>
              <w:rPr>
                <w:sz w:val="24"/>
              </w:rPr>
              <w:t>，</w:t>
            </w:r>
            <w:r>
              <w:rPr>
                <w:rFonts w:hint="eastAsia"/>
                <w:sz w:val="24"/>
              </w:rPr>
              <w:t>评价范围内野生动物资源主要种类有</w:t>
            </w:r>
            <w:r>
              <w:rPr>
                <w:sz w:val="24"/>
              </w:rPr>
              <w:t>家燕、麻雀、八哥</w:t>
            </w:r>
            <w:r>
              <w:rPr>
                <w:rFonts w:hint="eastAsia"/>
                <w:sz w:val="24"/>
              </w:rPr>
              <w:t>、</w:t>
            </w:r>
            <w:r>
              <w:rPr>
                <w:sz w:val="24"/>
              </w:rPr>
              <w:t>壁虎、蛇</w:t>
            </w:r>
            <w:r>
              <w:rPr>
                <w:rFonts w:hint="eastAsia"/>
                <w:sz w:val="24"/>
              </w:rPr>
              <w:t>、鼠，无</w:t>
            </w:r>
            <w:r>
              <w:rPr>
                <w:sz w:val="24"/>
              </w:rPr>
              <w:t>国家级和省级保护的珍稀野生动物</w:t>
            </w:r>
            <w:r>
              <w:rPr>
                <w:rFonts w:hint="eastAsia"/>
                <w:sz w:val="24"/>
              </w:rPr>
              <w:t>分布。</w:t>
            </w:r>
            <w:r>
              <w:rPr>
                <w:sz w:val="24"/>
              </w:rPr>
              <w:t>工程建设开始后，随着工程的实施，将破坏施工区内现有野生动物的生存环境</w:t>
            </w:r>
            <w:r>
              <w:rPr>
                <w:rFonts w:hint="eastAsia"/>
                <w:sz w:val="24"/>
              </w:rPr>
              <w:t>，</w:t>
            </w:r>
            <w:r>
              <w:rPr>
                <w:sz w:val="24"/>
              </w:rPr>
              <w:t>使该区域的动物不得不迁移到适宜的环境中去栖息和繁衍，使该区域的动物数量呈减少趋势。</w:t>
            </w:r>
          </w:p>
          <w:p w14:paraId="6BE19CA5">
            <w:pPr>
              <w:pStyle w:val="15"/>
              <w:spacing w:after="0" w:line="360" w:lineRule="auto"/>
              <w:ind w:left="0" w:leftChars="0" w:firstLine="480" w:firstLineChars="200"/>
              <w:rPr>
                <w:sz w:val="24"/>
                <w:szCs w:val="24"/>
              </w:rPr>
            </w:pPr>
            <w:r>
              <w:rPr>
                <w:sz w:val="24"/>
                <w:szCs w:val="24"/>
              </w:rPr>
              <w:t>防治措施：</w:t>
            </w:r>
          </w:p>
          <w:p w14:paraId="494348FF">
            <w:pPr>
              <w:pStyle w:val="15"/>
              <w:spacing w:after="0" w:line="360" w:lineRule="auto"/>
              <w:ind w:left="0" w:leftChars="0" w:firstLine="480" w:firstLineChars="200"/>
              <w:rPr>
                <w:sz w:val="24"/>
                <w:szCs w:val="24"/>
              </w:rPr>
            </w:pPr>
            <w:r>
              <w:rPr>
                <w:sz w:val="24"/>
                <w:szCs w:val="24"/>
              </w:rPr>
              <w:t>①慎重、合理地选择工程建设的施工场地，明确施工范围，减少对红线外植被区域的占用，尽量避免对现有植被的破坏。</w:t>
            </w:r>
          </w:p>
          <w:p w14:paraId="35543D92">
            <w:pPr>
              <w:pStyle w:val="15"/>
              <w:spacing w:after="0" w:line="360" w:lineRule="auto"/>
              <w:ind w:left="0" w:leftChars="0" w:firstLine="480" w:firstLineChars="200"/>
              <w:rPr>
                <w:sz w:val="24"/>
                <w:szCs w:val="24"/>
              </w:rPr>
            </w:pPr>
            <w:r>
              <w:rPr>
                <w:sz w:val="24"/>
                <w:szCs w:val="24"/>
              </w:rPr>
              <w:t>②合理安排施工进度，尽量减少过多的施工区域，缩短临时占地使用时间，施工完毕立即恢复植被。</w:t>
            </w:r>
          </w:p>
          <w:p w14:paraId="7BCAE932">
            <w:pPr>
              <w:pStyle w:val="15"/>
              <w:spacing w:after="0" w:line="360" w:lineRule="auto"/>
              <w:ind w:left="0" w:leftChars="0" w:firstLine="480" w:firstLineChars="200"/>
              <w:rPr>
                <w:sz w:val="24"/>
                <w:szCs w:val="24"/>
              </w:rPr>
            </w:pPr>
            <w:r>
              <w:rPr>
                <w:sz w:val="24"/>
                <w:szCs w:val="24"/>
              </w:rPr>
              <w:t>③所有临时占用的土地，事后都应恢复绿化。</w:t>
            </w:r>
          </w:p>
          <w:p w14:paraId="3261173B">
            <w:pPr>
              <w:pStyle w:val="15"/>
              <w:spacing w:after="0" w:line="360" w:lineRule="auto"/>
              <w:ind w:left="0" w:leftChars="0" w:firstLine="480" w:firstLineChars="200"/>
              <w:rPr>
                <w:sz w:val="24"/>
                <w:szCs w:val="24"/>
              </w:rPr>
            </w:pPr>
            <w:r>
              <w:rPr>
                <w:sz w:val="24"/>
                <w:szCs w:val="24"/>
              </w:rPr>
              <w:t>④土堆表面利用毛毡覆盖，防风防水，临时用地周边设置导排沟，导排沟下游设置污水沉淀池，集中收集雨季冲刷废水，经沉淀后可作为施工用水回用。</w:t>
            </w:r>
          </w:p>
          <w:p w14:paraId="51C4F3D8">
            <w:pPr>
              <w:pStyle w:val="75"/>
              <w:ind w:firstLine="480"/>
              <w:rPr>
                <w:rFonts w:ascii="Times New Roman" w:hAnsi="Times New Roman"/>
                <w:color w:val="auto"/>
                <w:szCs w:val="24"/>
              </w:rPr>
            </w:pPr>
            <w:r>
              <w:rPr>
                <w:rFonts w:hint="eastAsia" w:ascii="Times New Roman" w:hAnsi="Times New Roman"/>
                <w:color w:val="auto"/>
                <w:szCs w:val="24"/>
              </w:rPr>
              <w:t>⑤</w:t>
            </w:r>
            <w:r>
              <w:rPr>
                <w:rFonts w:ascii="Times New Roman" w:hAnsi="Times New Roman"/>
                <w:color w:val="auto"/>
                <w:szCs w:val="24"/>
              </w:rPr>
              <w:t>加强施工人员环保意识的宣教工作，提高对保护施工区及周边区域生态环境的认识，使之自觉保护区域内的绿地。</w:t>
            </w:r>
          </w:p>
          <w:p w14:paraId="0BCB9544">
            <w:pPr>
              <w:pStyle w:val="75"/>
              <w:ind w:firstLine="480"/>
              <w:rPr>
                <w:rFonts w:ascii="Times New Roman" w:hAnsi="Times New Roman"/>
                <w:color w:val="auto"/>
                <w:szCs w:val="24"/>
              </w:rPr>
            </w:pPr>
            <w:r>
              <w:rPr>
                <w:rFonts w:hint="eastAsia" w:ascii="Times New Roman" w:hAnsi="Times New Roman"/>
                <w:color w:val="auto"/>
              </w:rPr>
              <w:t>⑥</w:t>
            </w:r>
            <w:r>
              <w:rPr>
                <w:rFonts w:ascii="Times New Roman" w:hAnsi="Times New Roman"/>
                <w:color w:val="auto"/>
              </w:rPr>
              <w:t>严格</w:t>
            </w:r>
            <w:r>
              <w:rPr>
                <w:rFonts w:hint="eastAsia" w:ascii="Times New Roman" w:hAnsi="Times New Roman"/>
                <w:color w:val="auto"/>
                <w:lang w:eastAsia="zh-CN"/>
              </w:rPr>
              <w:t>限制</w:t>
            </w:r>
            <w:r>
              <w:rPr>
                <w:rFonts w:ascii="Times New Roman" w:hAnsi="Times New Roman"/>
                <w:color w:val="auto"/>
              </w:rPr>
              <w:t>施工作业带宽度，禁止在施工作业带以外施工、加强野生动植物保护措施，禁止捕猎野生动物。</w:t>
            </w:r>
          </w:p>
          <w:p w14:paraId="1C2A057B">
            <w:pPr>
              <w:widowControl/>
              <w:spacing w:line="360" w:lineRule="auto"/>
              <w:ind w:firstLine="482" w:firstLineChars="200"/>
              <w:jc w:val="left"/>
              <w:rPr>
                <w:b/>
                <w:bCs/>
                <w:color w:val="000000"/>
                <w:kern w:val="0"/>
                <w:sz w:val="24"/>
                <w:lang w:bidi="ar"/>
              </w:rPr>
            </w:pPr>
            <w:r>
              <w:rPr>
                <w:b/>
                <w:bCs/>
                <w:color w:val="000000"/>
                <w:kern w:val="0"/>
                <w:sz w:val="24"/>
                <w:lang w:bidi="ar"/>
              </w:rPr>
              <w:t>6、水土流失影响分析</w:t>
            </w:r>
          </w:p>
          <w:p w14:paraId="132106DE">
            <w:pPr>
              <w:spacing w:line="360" w:lineRule="auto"/>
              <w:ind w:firstLine="480" w:firstLineChars="200"/>
              <w:rPr>
                <w:sz w:val="24"/>
              </w:rPr>
            </w:pPr>
            <w:r>
              <w:rPr>
                <w:sz w:val="24"/>
              </w:rPr>
              <w:t>本项目施工过程中，因改变表土结构，挖出的土石方因结构松散，如开挖期间遇暴雨，水土流失量将有所增大；在施工区域内，会因机具车辆碾压、施工人员的践踏和土石的堆放等因素会使土地原有植被受破坏，土壤裸露，极易被雨水冲刷，造成一定的水土流失。施工单位采取了以下措施防止水土流失：</w:t>
            </w:r>
          </w:p>
          <w:p w14:paraId="75113B8D">
            <w:pPr>
              <w:spacing w:line="360" w:lineRule="auto"/>
              <w:ind w:firstLine="480" w:firstLineChars="200"/>
              <w:rPr>
                <w:sz w:val="24"/>
              </w:rPr>
            </w:pPr>
            <w:r>
              <w:rPr>
                <w:sz w:val="24"/>
              </w:rPr>
              <w:t>①严格按照《中华人民共和国水土保持法》等有关法律法规以及当地有关部门的要求进行施工。</w:t>
            </w:r>
          </w:p>
          <w:p w14:paraId="31268650">
            <w:pPr>
              <w:spacing w:line="360" w:lineRule="auto"/>
              <w:ind w:firstLine="480" w:firstLineChars="200"/>
              <w:rPr>
                <w:sz w:val="24"/>
              </w:rPr>
            </w:pPr>
            <w:r>
              <w:rPr>
                <w:sz w:val="24"/>
              </w:rPr>
              <w:t>②根据对工程建设过程中扰动、破坏原地表面积的预测，工程开挖及施工临时设施占地将对原地表具有水土保持功能的设施构成破坏，按相关法律法规要求应予补偿。</w:t>
            </w:r>
          </w:p>
          <w:p w14:paraId="2DFB68BB">
            <w:pPr>
              <w:spacing w:line="360" w:lineRule="auto"/>
              <w:ind w:firstLine="480" w:firstLineChars="200"/>
              <w:rPr>
                <w:sz w:val="24"/>
              </w:rPr>
            </w:pPr>
            <w:r>
              <w:rPr>
                <w:sz w:val="24"/>
              </w:rPr>
              <w:t>③严格控制施工作业范围，合理安排施工进度，减少施工裸露面的暴露时间。</w:t>
            </w:r>
          </w:p>
          <w:p w14:paraId="20ED9438">
            <w:pPr>
              <w:spacing w:line="360" w:lineRule="auto"/>
              <w:ind w:firstLine="480" w:firstLineChars="200"/>
              <w:rPr>
                <w:sz w:val="24"/>
              </w:rPr>
            </w:pPr>
            <w:r>
              <w:rPr>
                <w:sz w:val="24"/>
              </w:rPr>
              <w:t>④为防止雨水、洪水径流对堆料场和渣（土</w:t>
            </w:r>
            <w:r>
              <w:rPr>
                <w:rFonts w:hint="eastAsia"/>
                <w:sz w:val="24"/>
              </w:rPr>
              <w:t>）</w:t>
            </w:r>
            <w:r>
              <w:rPr>
                <w:sz w:val="24"/>
              </w:rPr>
              <w:t>体的冲刷，需采用编织带或</w:t>
            </w:r>
            <w:r>
              <w:rPr>
                <w:rFonts w:hint="eastAsia"/>
                <w:sz w:val="24"/>
                <w:lang w:eastAsia="zh-CN"/>
              </w:rPr>
              <w:t>其他</w:t>
            </w:r>
            <w:r>
              <w:rPr>
                <w:sz w:val="24"/>
              </w:rPr>
              <w:t>遮盖</w:t>
            </w:r>
            <w:r>
              <w:rPr>
                <w:rFonts w:hint="eastAsia"/>
                <w:sz w:val="24"/>
                <w:lang w:eastAsia="zh-CN"/>
              </w:rPr>
              <w:t>物</w:t>
            </w:r>
            <w:r>
              <w:rPr>
                <w:sz w:val="24"/>
              </w:rPr>
              <w:t>对其行遮盖，以减少损失。</w:t>
            </w:r>
          </w:p>
          <w:p w14:paraId="555BEA5B">
            <w:pPr>
              <w:spacing w:line="360" w:lineRule="auto"/>
              <w:ind w:firstLine="480"/>
              <w:rPr>
                <w:sz w:val="24"/>
              </w:rPr>
            </w:pPr>
            <w:r>
              <w:rPr>
                <w:sz w:val="24"/>
              </w:rPr>
              <w:t>⑤避免雨季进行挖填方作业，土石方及时回填，回填后及时夯实覆土</w:t>
            </w:r>
            <w:r>
              <w:rPr>
                <w:rFonts w:hint="eastAsia"/>
                <w:sz w:val="24"/>
              </w:rPr>
              <w:t>，弃方及时清运</w:t>
            </w:r>
            <w:r>
              <w:rPr>
                <w:sz w:val="24"/>
              </w:rPr>
              <w:t>。</w:t>
            </w:r>
          </w:p>
          <w:p w14:paraId="423A7FDF">
            <w:pPr>
              <w:spacing w:line="360" w:lineRule="auto"/>
              <w:ind w:firstLine="480" w:firstLineChars="200"/>
              <w:rPr>
                <w:sz w:val="24"/>
              </w:rPr>
            </w:pPr>
            <w:r>
              <w:rPr>
                <w:sz w:val="24"/>
              </w:rPr>
              <w:t>⑥施工完成后，做好施工迹地的恢复工作。</w:t>
            </w:r>
          </w:p>
          <w:p w14:paraId="59486D8B">
            <w:pPr>
              <w:spacing w:line="360" w:lineRule="auto"/>
              <w:ind w:firstLine="480" w:firstLineChars="200"/>
              <w:rPr>
                <w:sz w:val="24"/>
              </w:rPr>
            </w:pPr>
            <w:r>
              <w:rPr>
                <w:sz w:val="24"/>
              </w:rPr>
              <w:t>⑦在施工作业带建排水沟，防止雨水冲刷场地，并在排水沟出口设沉淀池，使雨水经沉淀池沉清后回用，</w:t>
            </w:r>
            <w:r>
              <w:rPr>
                <w:rFonts w:hint="eastAsia"/>
                <w:sz w:val="24"/>
                <w:lang w:eastAsia="zh-CN"/>
              </w:rPr>
              <w:t>尽量</w:t>
            </w:r>
            <w:r>
              <w:rPr>
                <w:sz w:val="24"/>
              </w:rPr>
              <w:t>减少施工期水土流失。</w:t>
            </w:r>
          </w:p>
          <w:p w14:paraId="4A9F5E0A">
            <w:pPr>
              <w:pStyle w:val="75"/>
              <w:ind w:firstLine="480"/>
              <w:rPr>
                <w:rFonts w:ascii="Times New Roman" w:hAnsi="Times New Roman"/>
                <w:bCs/>
                <w:color w:val="auto"/>
              </w:rPr>
            </w:pPr>
            <w:r>
              <w:rPr>
                <w:rFonts w:ascii="Times New Roman" w:hAnsi="Times New Roman"/>
                <w:bCs/>
                <w:color w:val="auto"/>
              </w:rPr>
              <w:t>总体来讲，施工期生态破坏和水土流失是暂时的，随着主体工程竣工、植被的逐渐恢复，因工程施工而引起的生态破坏和水土流失会逐年减少。在此前提下，项目施工期</w:t>
            </w:r>
            <w:r>
              <w:rPr>
                <w:rFonts w:hint="eastAsia" w:ascii="Times New Roman" w:hAnsi="Times New Roman"/>
                <w:bCs/>
                <w:color w:val="auto"/>
                <w:lang w:eastAsia="zh-CN"/>
              </w:rPr>
              <w:t>对</w:t>
            </w:r>
            <w:r>
              <w:rPr>
                <w:rFonts w:ascii="Times New Roman" w:hAnsi="Times New Roman"/>
                <w:bCs/>
                <w:color w:val="auto"/>
              </w:rPr>
              <w:t>周边生态环境影响小，不会造成二次污染。</w:t>
            </w:r>
          </w:p>
          <w:p w14:paraId="5EE778BA">
            <w:pPr>
              <w:widowControl/>
              <w:spacing w:line="360" w:lineRule="auto"/>
              <w:ind w:firstLine="480" w:firstLineChars="200"/>
              <w:jc w:val="left"/>
              <w:rPr>
                <w:rFonts w:hint="eastAsia" w:ascii="宋体" w:hAnsi="宋体" w:cs="宋体"/>
                <w:bCs/>
                <w:spacing w:val="-10"/>
                <w:szCs w:val="21"/>
              </w:rPr>
            </w:pPr>
            <w:r>
              <w:rPr>
                <w:sz w:val="24"/>
              </w:rPr>
              <w:t>综上，项目施工期对环境产生的“三废”及噪声影响，均为短期的，项目监测后影响即可消除。建设单位和施工单位在施工过程中切实落实对施工产生的扬尘、</w:t>
            </w:r>
            <w:r>
              <w:rPr>
                <w:rFonts w:hint="eastAsia"/>
                <w:sz w:val="24"/>
              </w:rPr>
              <w:t>废水、</w:t>
            </w:r>
            <w:r>
              <w:rPr>
                <w:sz w:val="24"/>
              </w:rPr>
              <w:t>噪声、固体废物的管理和控制措施，施工期的负面环境影响得到有效控制。</w:t>
            </w:r>
          </w:p>
        </w:tc>
      </w:tr>
    </w:tbl>
    <w:p w14:paraId="7639BDB7">
      <w:pPr>
        <w:adjustRightInd w:val="0"/>
        <w:snapToGrid w:val="0"/>
        <w:jc w:val="center"/>
        <w:rPr>
          <w:rFonts w:hint="eastAsia" w:ascii="宋体" w:hAnsi="宋体" w:cs="宋体"/>
          <w:bCs/>
          <w:sz w:val="24"/>
        </w:rPr>
      </w:pPr>
      <w:r>
        <w:rPr>
          <w:rFonts w:hint="eastAsia" w:ascii="宋体" w:hAnsi="宋体" w:cs="宋体"/>
          <w:bCs/>
          <w:sz w:val="24"/>
        </w:rPr>
        <w:br w:type="page"/>
      </w: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8702"/>
      </w:tblGrid>
      <w:tr w14:paraId="41B52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8" w:hRule="atLeast"/>
          <w:jc w:val="center"/>
        </w:trPr>
        <w:tc>
          <w:tcPr>
            <w:tcW w:w="295" w:type="dxa"/>
            <w:tcMar>
              <w:left w:w="28" w:type="dxa"/>
              <w:right w:w="28" w:type="dxa"/>
            </w:tcMar>
            <w:vAlign w:val="center"/>
          </w:tcPr>
          <w:p w14:paraId="20300ECB">
            <w:pPr>
              <w:adjustRightInd w:val="0"/>
              <w:snapToGrid w:val="0"/>
              <w:jc w:val="center"/>
              <w:rPr>
                <w:rFonts w:hint="eastAsia" w:ascii="宋体" w:hAnsi="宋体" w:cs="宋体"/>
                <w:bCs/>
                <w:sz w:val="24"/>
              </w:rPr>
            </w:pPr>
            <w:r>
              <w:rPr>
                <w:rFonts w:hint="eastAsia" w:ascii="宋体" w:hAnsi="宋体" w:cs="宋体"/>
                <w:bCs/>
                <w:sz w:val="24"/>
              </w:rPr>
              <w:t>运营</w:t>
            </w:r>
          </w:p>
          <w:p w14:paraId="6EB43837">
            <w:pPr>
              <w:adjustRightInd w:val="0"/>
              <w:snapToGrid w:val="0"/>
              <w:jc w:val="center"/>
              <w:rPr>
                <w:rFonts w:hint="eastAsia" w:ascii="宋体" w:hAnsi="宋体" w:cs="宋体"/>
                <w:bCs/>
                <w:sz w:val="24"/>
              </w:rPr>
            </w:pPr>
            <w:r>
              <w:rPr>
                <w:rFonts w:hint="eastAsia" w:ascii="宋体" w:hAnsi="宋体" w:cs="宋体"/>
                <w:bCs/>
                <w:sz w:val="24"/>
              </w:rPr>
              <w:t>期环</w:t>
            </w:r>
          </w:p>
          <w:p w14:paraId="12DD9835">
            <w:pPr>
              <w:adjustRightInd w:val="0"/>
              <w:snapToGrid w:val="0"/>
              <w:jc w:val="center"/>
              <w:rPr>
                <w:rFonts w:hint="eastAsia" w:ascii="宋体" w:hAnsi="宋体" w:cs="宋体"/>
                <w:bCs/>
                <w:sz w:val="24"/>
              </w:rPr>
            </w:pPr>
            <w:r>
              <w:rPr>
                <w:rFonts w:hint="eastAsia" w:ascii="宋体" w:hAnsi="宋体" w:cs="宋体"/>
                <w:bCs/>
                <w:sz w:val="24"/>
              </w:rPr>
              <w:t>境影</w:t>
            </w:r>
          </w:p>
          <w:p w14:paraId="5A24F767">
            <w:pPr>
              <w:adjustRightInd w:val="0"/>
              <w:snapToGrid w:val="0"/>
              <w:jc w:val="center"/>
              <w:rPr>
                <w:rFonts w:hint="eastAsia" w:ascii="宋体" w:hAnsi="宋体" w:cs="宋体"/>
                <w:bCs/>
                <w:sz w:val="24"/>
              </w:rPr>
            </w:pPr>
            <w:r>
              <w:rPr>
                <w:rFonts w:hint="eastAsia" w:ascii="宋体" w:hAnsi="宋体" w:cs="宋体"/>
                <w:bCs/>
                <w:sz w:val="24"/>
              </w:rPr>
              <w:t>响和</w:t>
            </w:r>
          </w:p>
          <w:p w14:paraId="57341590">
            <w:pPr>
              <w:adjustRightInd w:val="0"/>
              <w:snapToGrid w:val="0"/>
              <w:jc w:val="center"/>
              <w:rPr>
                <w:rFonts w:hint="eastAsia" w:ascii="宋体" w:hAnsi="宋体" w:cs="宋体"/>
                <w:bCs/>
                <w:sz w:val="24"/>
              </w:rPr>
            </w:pPr>
            <w:r>
              <w:rPr>
                <w:rFonts w:hint="eastAsia" w:ascii="宋体" w:hAnsi="宋体" w:cs="宋体"/>
                <w:bCs/>
                <w:sz w:val="24"/>
              </w:rPr>
              <w:t>保护</w:t>
            </w:r>
          </w:p>
          <w:p w14:paraId="042C2BC7">
            <w:pPr>
              <w:pStyle w:val="24"/>
              <w:adjustRightInd w:val="0"/>
              <w:snapToGrid w:val="0"/>
              <w:spacing w:before="0" w:beforeAutospacing="0" w:after="0" w:afterAutospacing="0"/>
              <w:jc w:val="center"/>
              <w:rPr>
                <w:rFonts w:hint="eastAsia" w:cs="宋体"/>
                <w:kern w:val="2"/>
                <w:szCs w:val="24"/>
              </w:rPr>
            </w:pPr>
            <w:r>
              <w:rPr>
                <w:rFonts w:hint="eastAsia" w:cs="宋体"/>
                <w:bCs/>
                <w:szCs w:val="24"/>
              </w:rPr>
              <w:t>措施</w:t>
            </w:r>
          </w:p>
        </w:tc>
        <w:tc>
          <w:tcPr>
            <w:tcW w:w="8686" w:type="dxa"/>
          </w:tcPr>
          <w:p w14:paraId="2D982B70">
            <w:pPr>
              <w:widowControl/>
              <w:spacing w:before="120" w:beforeLines="50" w:line="360" w:lineRule="auto"/>
              <w:jc w:val="left"/>
              <w:rPr>
                <w:b/>
                <w:bCs/>
                <w:color w:val="000000"/>
                <w:kern w:val="0"/>
                <w:sz w:val="24"/>
                <w:lang w:bidi="ar"/>
              </w:rPr>
            </w:pPr>
            <w:r>
              <w:rPr>
                <w:rFonts w:hint="eastAsia"/>
                <w:b/>
                <w:bCs/>
                <w:color w:val="000000"/>
                <w:kern w:val="0"/>
                <w:sz w:val="24"/>
                <w:lang w:bidi="ar"/>
              </w:rPr>
              <w:t>一、废气</w:t>
            </w:r>
          </w:p>
          <w:p w14:paraId="41C73FBA">
            <w:pPr>
              <w:widowControl/>
              <w:spacing w:line="360" w:lineRule="auto"/>
              <w:ind w:firstLine="480" w:firstLineChars="200"/>
              <w:jc w:val="left"/>
              <w:rPr>
                <w:sz w:val="24"/>
              </w:rPr>
            </w:pPr>
            <w:r>
              <w:rPr>
                <w:rFonts w:hint="eastAsia" w:ascii="宋体" w:hAnsi="宋体" w:cs="宋体"/>
                <w:color w:val="000000"/>
                <w:kern w:val="0"/>
                <w:sz w:val="24"/>
                <w:lang w:bidi="ar"/>
              </w:rPr>
              <w:t>项目运行期的废气主要为生活垃圾卸料、压缩过程产生的废气、废水处理过程（渗滤液、清洗废水等）产生的废气、汽车尾气、柴油发电机废气。</w:t>
            </w:r>
          </w:p>
          <w:p w14:paraId="13E4ACD2">
            <w:pPr>
              <w:snapToGrid w:val="0"/>
              <w:spacing w:line="360" w:lineRule="auto"/>
              <w:ind w:firstLine="482" w:firstLineChars="200"/>
              <w:rPr>
                <w:b/>
                <w:sz w:val="24"/>
              </w:rPr>
            </w:pPr>
            <w:r>
              <w:rPr>
                <w:rFonts w:hint="eastAsia"/>
                <w:b/>
                <w:sz w:val="24"/>
              </w:rPr>
              <w:t>1、</w:t>
            </w:r>
            <w:r>
              <w:rPr>
                <w:b/>
                <w:sz w:val="24"/>
              </w:rPr>
              <w:t>产排污环节、污染物种类、产生量核算</w:t>
            </w:r>
          </w:p>
          <w:p w14:paraId="46C6BD7E">
            <w:pPr>
              <w:widowControl/>
              <w:spacing w:line="360" w:lineRule="auto"/>
              <w:ind w:firstLine="482" w:firstLineChars="200"/>
              <w:jc w:val="left"/>
              <w:rPr>
                <w:b/>
                <w:bCs/>
                <w:kern w:val="0"/>
                <w:sz w:val="24"/>
                <w:lang w:bidi="ar"/>
              </w:rPr>
            </w:pPr>
            <w:r>
              <w:rPr>
                <w:rFonts w:hint="eastAsia"/>
                <w:b/>
                <w:bCs/>
                <w:kern w:val="0"/>
                <w:sz w:val="24"/>
                <w:lang w:bidi="ar"/>
              </w:rPr>
              <w:t>（1）生活垃圾卸料、压缩过程产生的废气</w:t>
            </w:r>
          </w:p>
          <w:p w14:paraId="5160765F">
            <w:pPr>
              <w:widowControl/>
              <w:spacing w:line="360" w:lineRule="auto"/>
              <w:ind w:firstLine="480" w:firstLineChars="200"/>
              <w:jc w:val="left"/>
              <w:rPr>
                <w:rFonts w:hint="eastAsia" w:ascii="宋体" w:hAnsi="宋体" w:cs="宋体"/>
                <w:kern w:val="0"/>
                <w:sz w:val="24"/>
                <w:lang w:bidi="ar"/>
              </w:rPr>
            </w:pPr>
            <w:r>
              <w:rPr>
                <w:rFonts w:hint="eastAsia" w:ascii="宋体" w:hAnsi="宋体" w:cs="宋体"/>
                <w:kern w:val="0"/>
                <w:sz w:val="24"/>
                <w:lang w:bidi="ar"/>
              </w:rPr>
              <w:t>转运站在工作过程中，当垃圾收集车向垃圾压缩集装箱内倾倒垃圾时，将产生少量扬尘。作为垃圾的中转设施，垃圾存放期短，没有经过充分的发酵，但生活垃圾中易腐败物质丰富，在短时间内会产生发酵臭气，主要成分为NH</w:t>
            </w:r>
            <w:r>
              <w:rPr>
                <w:rFonts w:hint="eastAsia" w:ascii="宋体" w:hAnsi="宋体" w:cs="宋体"/>
                <w:kern w:val="0"/>
                <w:sz w:val="24"/>
                <w:vertAlign w:val="subscript"/>
                <w:lang w:bidi="ar"/>
              </w:rPr>
              <w:t>3</w:t>
            </w:r>
            <w:r>
              <w:rPr>
                <w:rFonts w:hint="eastAsia" w:ascii="宋体" w:hAnsi="宋体" w:cs="宋体"/>
                <w:kern w:val="0"/>
                <w:sz w:val="24"/>
                <w:lang w:bidi="ar"/>
              </w:rPr>
              <w:t>、H</w:t>
            </w:r>
            <w:r>
              <w:rPr>
                <w:rFonts w:hint="eastAsia" w:ascii="宋体" w:hAnsi="宋体" w:cs="宋体"/>
                <w:kern w:val="0"/>
                <w:sz w:val="24"/>
                <w:vertAlign w:val="subscript"/>
                <w:lang w:bidi="ar"/>
              </w:rPr>
              <w:t>2</w:t>
            </w:r>
            <w:r>
              <w:rPr>
                <w:rFonts w:hint="eastAsia" w:ascii="宋体" w:hAnsi="宋体" w:cs="宋体"/>
                <w:kern w:val="0"/>
                <w:sz w:val="24"/>
                <w:lang w:bidi="ar"/>
              </w:rPr>
              <w:t>S。转运站操作间封闭式设置，可以有效隔绝垃圾倾倒时产生的粉尘、恶臭气体。同时本项目在卸料口设有负压抽风除臭系统和料口喷淋除尘除臭系统，当垃圾收集车准备卸料时，除臭系统自动感应并开始工作，整个卸料平台形成负压条件，同时喷雾系统开启，水雾从喷嘴呈实心锥状喷出洒下，抑制并沉降粉尘、抑制恶臭。通过上述处理措施后，扬尘、恶臭气体产生量较小，不会对周边环境产生不利影响。</w:t>
            </w:r>
          </w:p>
          <w:p w14:paraId="7CA9EE0E">
            <w:pPr>
              <w:widowControl/>
              <w:spacing w:line="360" w:lineRule="auto"/>
              <w:ind w:firstLine="482" w:firstLineChars="200"/>
              <w:jc w:val="left"/>
              <w:rPr>
                <w:rFonts w:hint="eastAsia" w:ascii="宋体" w:hAnsi="宋体" w:cs="宋体"/>
                <w:b/>
                <w:bCs/>
                <w:kern w:val="0"/>
                <w:sz w:val="24"/>
                <w:lang w:bidi="ar"/>
              </w:rPr>
            </w:pPr>
            <w:r>
              <w:rPr>
                <w:rFonts w:hint="eastAsia" w:ascii="宋体" w:hAnsi="宋体" w:cs="宋体"/>
                <w:b/>
                <w:bCs/>
                <w:kern w:val="0"/>
                <w:sz w:val="24"/>
                <w:lang w:bidi="ar"/>
              </w:rPr>
              <w:t>源强分析：</w:t>
            </w:r>
          </w:p>
          <w:p w14:paraId="1E1E7D3C">
            <w:pPr>
              <w:widowControl/>
              <w:spacing w:line="360" w:lineRule="auto"/>
              <w:ind w:firstLine="480" w:firstLineChars="200"/>
              <w:jc w:val="left"/>
              <w:rPr>
                <w:rFonts w:hint="eastAsia" w:ascii="宋体" w:hAnsi="宋体" w:cs="宋体"/>
                <w:kern w:val="0"/>
                <w:sz w:val="24"/>
                <w:lang w:bidi="ar"/>
              </w:rPr>
            </w:pPr>
            <w:r>
              <w:rPr>
                <w:rFonts w:hint="eastAsia" w:ascii="宋体" w:hAnsi="宋体" w:cs="宋体"/>
                <w:kern w:val="0"/>
                <w:sz w:val="24"/>
                <w:lang w:bidi="ar"/>
              </w:rPr>
              <w:t>根据《污染源源强核算技术指南准则》（HJ884-2018），污染源源强核算可采用实测法、物料衡算法、产污系数法、类比法、实验法等方法，本项目生活垃圾卸料、压缩过程源强核算采用产污系数法。</w:t>
            </w:r>
          </w:p>
          <w:p w14:paraId="12B71AE0">
            <w:pPr>
              <w:widowControl/>
              <w:spacing w:line="360" w:lineRule="auto"/>
              <w:ind w:firstLine="482" w:firstLineChars="200"/>
              <w:jc w:val="left"/>
              <w:rPr>
                <w:sz w:val="24"/>
                <w:lang w:bidi="ar"/>
              </w:rPr>
            </w:pPr>
            <w:r>
              <w:rPr>
                <w:rFonts w:hint="eastAsia" w:ascii="宋体" w:hAnsi="宋体" w:cs="宋体"/>
                <w:b/>
                <w:bCs/>
                <w:kern w:val="0"/>
                <w:sz w:val="24"/>
                <w:lang w:bidi="ar"/>
              </w:rPr>
              <w:t>颗粒物：</w:t>
            </w:r>
            <w:r>
              <w:rPr>
                <w:sz w:val="24"/>
                <w:lang w:bidi="ar"/>
              </w:rPr>
              <w:t>垃圾卸料时会产生一定量扬尘，大小取决于垃圾成分、垃圾含水率等因素；垃圾压缩站粉尘主要产生于垃圾卸载和压缩过程中，产生量与垃圾湿度有关。针对国内</w:t>
            </w:r>
            <w:r>
              <w:rPr>
                <w:rFonts w:hint="eastAsia"/>
                <w:sz w:val="24"/>
                <w:lang w:bidi="ar"/>
              </w:rPr>
              <w:t>生活</w:t>
            </w:r>
            <w:r>
              <w:rPr>
                <w:sz w:val="24"/>
                <w:lang w:bidi="ar"/>
              </w:rPr>
              <w:t>垃圾，每吨</w:t>
            </w:r>
            <w:r>
              <w:rPr>
                <w:rFonts w:hint="eastAsia"/>
                <w:sz w:val="24"/>
                <w:lang w:bidi="ar"/>
              </w:rPr>
              <w:t>生活</w:t>
            </w:r>
            <w:r>
              <w:rPr>
                <w:sz w:val="24"/>
                <w:lang w:bidi="ar"/>
              </w:rPr>
              <w:t>垃圾粉尘产生量在10.4～45.8g/t</w:t>
            </w:r>
            <w:r>
              <w:rPr>
                <w:rFonts w:hint="eastAsia"/>
                <w:sz w:val="24"/>
                <w:lang w:bidi="ar"/>
              </w:rPr>
              <w:t>。</w:t>
            </w:r>
            <w:r>
              <w:rPr>
                <w:sz w:val="24"/>
                <w:lang w:bidi="ar"/>
              </w:rPr>
              <w:t>本项目每天收运压缩垃圾量为</w:t>
            </w:r>
            <w:r>
              <w:rPr>
                <w:rFonts w:hint="eastAsia"/>
                <w:sz w:val="24"/>
                <w:lang w:bidi="ar"/>
              </w:rPr>
              <w:t>240</w:t>
            </w:r>
            <w:r>
              <w:rPr>
                <w:sz w:val="24"/>
                <w:lang w:bidi="ar"/>
              </w:rPr>
              <w:t>t（</w:t>
            </w:r>
            <w:r>
              <w:rPr>
                <w:rFonts w:hint="eastAsia"/>
                <w:sz w:val="24"/>
                <w:lang w:bidi="ar"/>
              </w:rPr>
              <w:t>87600</w:t>
            </w:r>
            <w:r>
              <w:rPr>
                <w:sz w:val="24"/>
                <w:lang w:bidi="ar"/>
              </w:rPr>
              <w:t>t/a）</w:t>
            </w:r>
            <w:r>
              <w:rPr>
                <w:rFonts w:hint="eastAsia"/>
                <w:sz w:val="24"/>
                <w:lang w:bidi="ar"/>
              </w:rPr>
              <w:t>，</w:t>
            </w:r>
            <w:r>
              <w:rPr>
                <w:sz w:val="24"/>
                <w:lang w:bidi="ar"/>
              </w:rPr>
              <w:t>按最不利情况，评价取值为45.8g/t计，</w:t>
            </w:r>
            <w:r>
              <w:rPr>
                <w:rFonts w:hint="eastAsia"/>
                <w:sz w:val="24"/>
                <w:lang w:bidi="ar"/>
              </w:rPr>
              <w:t>则产生的粉尘量为1.374</w:t>
            </w:r>
            <w:r>
              <w:rPr>
                <w:rFonts w:hint="eastAsia"/>
                <w:sz w:val="24"/>
                <w:lang w:eastAsia="zh-CN" w:bidi="ar"/>
              </w:rPr>
              <w:t>kg</w:t>
            </w:r>
            <w:r>
              <w:rPr>
                <w:rFonts w:hint="eastAsia"/>
                <w:sz w:val="24"/>
                <w:lang w:bidi="ar"/>
              </w:rPr>
              <w:t>/h，合计4.01t/a。</w:t>
            </w:r>
          </w:p>
          <w:p w14:paraId="158EC012">
            <w:pPr>
              <w:widowControl/>
              <w:spacing w:line="360" w:lineRule="auto"/>
              <w:ind w:firstLine="482" w:firstLineChars="200"/>
              <w:jc w:val="left"/>
              <w:rPr>
                <w:sz w:val="24"/>
                <w:lang w:bidi="ar"/>
              </w:rPr>
            </w:pPr>
            <w:r>
              <w:rPr>
                <w:rFonts w:hint="eastAsia"/>
                <w:b/>
                <w:bCs/>
                <w:sz w:val="24"/>
                <w:lang w:bidi="ar"/>
              </w:rPr>
              <w:t>硫化氢和氨：</w:t>
            </w:r>
            <w:r>
              <w:rPr>
                <w:rFonts w:hint="eastAsia"/>
                <w:sz w:val="24"/>
                <w:lang w:bidi="ar"/>
              </w:rPr>
              <w:t>项目臭气污染物主要为氨、硫化氢。参考文献吕永等人的《垃圾转运站恶臭污染物研究》、郭晓琪等人的《广州市垃圾转运站恶臭物质氨和硫化氢的含量测定》、朱水元等人的《苏州市垃圾转运站的环境影响分析》和《环境卫生工程》2009年第51期《垃圾转运站恶臭物质氨和硫化氢的含量测定》、社会区域类环评影响培训教材等有关资料，常温下每吨垃圾的废气排污参数：NH</w:t>
            </w:r>
            <w:r>
              <w:rPr>
                <w:rFonts w:hint="eastAsia"/>
                <w:sz w:val="24"/>
                <w:vertAlign w:val="subscript"/>
                <w:lang w:bidi="ar"/>
              </w:rPr>
              <w:t>3</w:t>
            </w:r>
            <w:r>
              <w:rPr>
                <w:rFonts w:hint="eastAsia"/>
                <w:sz w:val="24"/>
                <w:lang w:bidi="ar"/>
              </w:rPr>
              <w:t>和H</w:t>
            </w:r>
            <w:r>
              <w:rPr>
                <w:rFonts w:hint="eastAsia"/>
                <w:sz w:val="24"/>
                <w:vertAlign w:val="subscript"/>
                <w:lang w:bidi="ar"/>
              </w:rPr>
              <w:t>2</w:t>
            </w:r>
            <w:r>
              <w:rPr>
                <w:rFonts w:hint="eastAsia"/>
                <w:sz w:val="24"/>
                <w:lang w:bidi="ar"/>
              </w:rPr>
              <w:t>S的产污系数为65.09g、6.2g。根据研究表明，生活垃圾恶臭的影响受气候条件影响明显，项目工程建设位于南方地区，与广州、苏州等地气候相似，均属亚热带季风气候，因此引用该文献中源强作为项目工程废气源计算。</w:t>
            </w:r>
            <w:r>
              <w:rPr>
                <w:sz w:val="24"/>
                <w:lang w:bidi="ar"/>
              </w:rPr>
              <w:t>本项目每天收运压缩垃圾量为</w:t>
            </w:r>
            <w:r>
              <w:rPr>
                <w:rFonts w:hint="eastAsia"/>
                <w:sz w:val="24"/>
                <w:lang w:bidi="ar"/>
              </w:rPr>
              <w:t>240</w:t>
            </w:r>
            <w:r>
              <w:rPr>
                <w:sz w:val="24"/>
                <w:lang w:bidi="ar"/>
              </w:rPr>
              <w:t>t（</w:t>
            </w:r>
            <w:r>
              <w:rPr>
                <w:rFonts w:hint="eastAsia"/>
                <w:sz w:val="24"/>
                <w:lang w:bidi="ar"/>
              </w:rPr>
              <w:t>87600</w:t>
            </w:r>
            <w:r>
              <w:rPr>
                <w:sz w:val="24"/>
                <w:lang w:bidi="ar"/>
              </w:rPr>
              <w:t>t/a）</w:t>
            </w:r>
            <w:r>
              <w:rPr>
                <w:rFonts w:hint="eastAsia"/>
                <w:sz w:val="24"/>
                <w:lang w:bidi="ar"/>
              </w:rPr>
              <w:t>，NH</w:t>
            </w:r>
            <w:r>
              <w:rPr>
                <w:rFonts w:hint="eastAsia"/>
                <w:sz w:val="24"/>
                <w:vertAlign w:val="subscript"/>
                <w:lang w:bidi="ar"/>
              </w:rPr>
              <w:t>3</w:t>
            </w:r>
            <w:r>
              <w:rPr>
                <w:rFonts w:hint="eastAsia"/>
                <w:sz w:val="24"/>
                <w:lang w:bidi="ar"/>
              </w:rPr>
              <w:t>产生量为1.953kg/h（5.7t/a）</w:t>
            </w:r>
            <w:r>
              <w:rPr>
                <w:sz w:val="24"/>
                <w:lang w:bidi="ar"/>
              </w:rPr>
              <w:t>，</w:t>
            </w:r>
            <w:r>
              <w:rPr>
                <w:rFonts w:hint="eastAsia"/>
                <w:sz w:val="24"/>
                <w:lang w:bidi="ar"/>
              </w:rPr>
              <w:t>H</w:t>
            </w:r>
            <w:r>
              <w:rPr>
                <w:rFonts w:hint="eastAsia"/>
                <w:sz w:val="24"/>
                <w:vertAlign w:val="subscript"/>
                <w:lang w:bidi="ar"/>
              </w:rPr>
              <w:t>2</w:t>
            </w:r>
            <w:r>
              <w:rPr>
                <w:rFonts w:hint="eastAsia"/>
                <w:sz w:val="24"/>
                <w:lang w:bidi="ar"/>
              </w:rPr>
              <w:t>S产生量为0.186</w:t>
            </w:r>
            <w:r>
              <w:rPr>
                <w:rFonts w:hint="eastAsia"/>
                <w:sz w:val="24"/>
                <w:lang w:eastAsia="zh-CN" w:bidi="ar"/>
              </w:rPr>
              <w:t>kg</w:t>
            </w:r>
            <w:r>
              <w:rPr>
                <w:rFonts w:hint="eastAsia"/>
                <w:sz w:val="24"/>
                <w:lang w:bidi="ar"/>
              </w:rPr>
              <w:t>/h（0.54t/a）。</w:t>
            </w:r>
          </w:p>
          <w:p w14:paraId="206B2AF6">
            <w:pPr>
              <w:widowControl/>
              <w:spacing w:line="360" w:lineRule="auto"/>
              <w:ind w:firstLine="480" w:firstLineChars="200"/>
              <w:jc w:val="left"/>
              <w:rPr>
                <w:sz w:val="24"/>
                <w:lang w:bidi="ar"/>
              </w:rPr>
            </w:pPr>
            <w:r>
              <w:rPr>
                <w:rFonts w:hint="eastAsia"/>
                <w:sz w:val="24"/>
                <w:lang w:bidi="ar"/>
              </w:rPr>
              <w:t>项目设计日处理生活垃圾240</w:t>
            </w:r>
            <w:r>
              <w:rPr>
                <w:sz w:val="24"/>
                <w:lang w:bidi="ar"/>
              </w:rPr>
              <w:t>t</w:t>
            </w:r>
            <w:r>
              <w:rPr>
                <w:rFonts w:hint="eastAsia"/>
                <w:sz w:val="24"/>
                <w:lang w:bidi="ar"/>
              </w:rPr>
              <w:t>，项目卸料、压缩与转运工序年作业时间</w:t>
            </w:r>
            <w:r>
              <w:rPr>
                <w:sz w:val="24"/>
                <w:lang w:bidi="ar"/>
              </w:rPr>
              <w:t>365d</w:t>
            </w:r>
            <w:r>
              <w:rPr>
                <w:rFonts w:hint="eastAsia"/>
                <w:sz w:val="24"/>
                <w:lang w:bidi="ar"/>
              </w:rPr>
              <w:t>，日作业时间为</w:t>
            </w:r>
            <w:r>
              <w:rPr>
                <w:sz w:val="24"/>
                <w:lang w:bidi="ar"/>
              </w:rPr>
              <w:t>8h</w:t>
            </w:r>
            <w:r>
              <w:rPr>
                <w:rFonts w:hint="eastAsia"/>
                <w:sz w:val="24"/>
                <w:lang w:bidi="ar"/>
              </w:rPr>
              <w:t>，则项目废气产生情况详见下表。</w:t>
            </w:r>
          </w:p>
          <w:p w14:paraId="4A5BF097">
            <w:pPr>
              <w:jc w:val="center"/>
              <w:rPr>
                <w:b/>
                <w:bCs/>
                <w:szCs w:val="21"/>
              </w:rPr>
            </w:pPr>
            <w:r>
              <w:rPr>
                <w:rFonts w:hint="eastAsia"/>
                <w:b/>
                <w:bCs/>
                <w:szCs w:val="21"/>
              </w:rPr>
              <w:t>表4-2  卸料、压缩过程废气产生情况一览表</w:t>
            </w:r>
          </w:p>
          <w:tbl>
            <w:tblPr>
              <w:tblStyle w:val="70"/>
              <w:tblW w:w="49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8"/>
              <w:gridCol w:w="1181"/>
              <w:gridCol w:w="1130"/>
              <w:gridCol w:w="1401"/>
              <w:gridCol w:w="1406"/>
              <w:gridCol w:w="1308"/>
              <w:gridCol w:w="1140"/>
            </w:tblGrid>
            <w:tr w14:paraId="68D8F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530" w:type="pct"/>
                  <w:tcBorders>
                    <w:tl2br w:val="nil"/>
                    <w:tr2bl w:val="nil"/>
                  </w:tcBorders>
                  <w:vAlign w:val="center"/>
                </w:tcPr>
                <w:p w14:paraId="4429A6CC">
                  <w:pPr>
                    <w:adjustRightInd w:val="0"/>
                    <w:snapToGrid w:val="0"/>
                    <w:spacing w:line="320" w:lineRule="exact"/>
                    <w:jc w:val="center"/>
                    <w:rPr>
                      <w:b/>
                      <w:bCs/>
                      <w:szCs w:val="21"/>
                    </w:rPr>
                  </w:pPr>
                  <w:r>
                    <w:rPr>
                      <w:rFonts w:hint="eastAsia"/>
                      <w:b/>
                      <w:bCs/>
                      <w:szCs w:val="21"/>
                    </w:rPr>
                    <w:t>污染因子</w:t>
                  </w:r>
                </w:p>
              </w:tc>
              <w:tc>
                <w:tcPr>
                  <w:tcW w:w="697" w:type="pct"/>
                  <w:tcBorders>
                    <w:tl2br w:val="nil"/>
                    <w:tr2bl w:val="nil"/>
                  </w:tcBorders>
                  <w:vAlign w:val="center"/>
                </w:tcPr>
                <w:p w14:paraId="0CF0C710">
                  <w:pPr>
                    <w:adjustRightInd w:val="0"/>
                    <w:snapToGrid w:val="0"/>
                    <w:spacing w:line="320" w:lineRule="exact"/>
                    <w:jc w:val="center"/>
                    <w:rPr>
                      <w:b/>
                      <w:bCs/>
                      <w:szCs w:val="21"/>
                    </w:rPr>
                  </w:pPr>
                  <w:r>
                    <w:rPr>
                      <w:rFonts w:hint="eastAsia"/>
                      <w:b/>
                      <w:bCs/>
                      <w:szCs w:val="21"/>
                    </w:rPr>
                    <w:t>污染物排放位置</w:t>
                  </w:r>
                </w:p>
              </w:tc>
              <w:tc>
                <w:tcPr>
                  <w:tcW w:w="667" w:type="pct"/>
                  <w:tcBorders>
                    <w:tl2br w:val="nil"/>
                    <w:tr2bl w:val="nil"/>
                  </w:tcBorders>
                  <w:vAlign w:val="center"/>
                </w:tcPr>
                <w:p w14:paraId="0C117A52">
                  <w:pPr>
                    <w:adjustRightInd w:val="0"/>
                    <w:snapToGrid w:val="0"/>
                    <w:spacing w:line="320" w:lineRule="exact"/>
                    <w:jc w:val="center"/>
                    <w:rPr>
                      <w:b/>
                      <w:bCs/>
                      <w:szCs w:val="21"/>
                    </w:rPr>
                  </w:pPr>
                  <w:r>
                    <w:rPr>
                      <w:rFonts w:hint="eastAsia"/>
                      <w:b/>
                      <w:bCs/>
                      <w:szCs w:val="21"/>
                    </w:rPr>
                    <w:t>生活垃圾转运量t/d</w:t>
                  </w:r>
                </w:p>
              </w:tc>
              <w:tc>
                <w:tcPr>
                  <w:tcW w:w="827" w:type="pct"/>
                  <w:tcBorders>
                    <w:tl2br w:val="nil"/>
                    <w:tr2bl w:val="nil"/>
                  </w:tcBorders>
                  <w:vAlign w:val="center"/>
                </w:tcPr>
                <w:p w14:paraId="158E5689">
                  <w:pPr>
                    <w:adjustRightInd w:val="0"/>
                    <w:snapToGrid w:val="0"/>
                    <w:spacing w:line="320" w:lineRule="exact"/>
                    <w:jc w:val="center"/>
                    <w:rPr>
                      <w:b/>
                      <w:bCs/>
                      <w:szCs w:val="21"/>
                    </w:rPr>
                  </w:pPr>
                  <w:r>
                    <w:rPr>
                      <w:rFonts w:hint="eastAsia"/>
                      <w:b/>
                      <w:bCs/>
                      <w:szCs w:val="21"/>
                    </w:rPr>
                    <w:t>产污系数g/t</w:t>
                  </w:r>
                  <w:r>
                    <w:rPr>
                      <w:rFonts w:hint="eastAsia"/>
                      <w:b/>
                      <w:bCs/>
                      <w:szCs w:val="21"/>
                      <w:lang w:eastAsia="zh-CN"/>
                    </w:rPr>
                    <w:t>－</w:t>
                  </w:r>
                  <w:r>
                    <w:rPr>
                      <w:rFonts w:hint="eastAsia"/>
                      <w:b/>
                      <w:bCs/>
                      <w:szCs w:val="21"/>
                    </w:rPr>
                    <w:t>生活垃圾</w:t>
                  </w:r>
                </w:p>
              </w:tc>
              <w:tc>
                <w:tcPr>
                  <w:tcW w:w="830" w:type="pct"/>
                  <w:tcBorders>
                    <w:tl2br w:val="nil"/>
                    <w:tr2bl w:val="nil"/>
                  </w:tcBorders>
                  <w:vAlign w:val="center"/>
                </w:tcPr>
                <w:p w14:paraId="109A88D5">
                  <w:pPr>
                    <w:adjustRightInd w:val="0"/>
                    <w:snapToGrid w:val="0"/>
                    <w:spacing w:line="320" w:lineRule="exact"/>
                    <w:jc w:val="center"/>
                    <w:rPr>
                      <w:b/>
                      <w:bCs/>
                      <w:szCs w:val="21"/>
                    </w:rPr>
                  </w:pPr>
                  <w:r>
                    <w:rPr>
                      <w:rFonts w:hint="eastAsia"/>
                      <w:b/>
                      <w:bCs/>
                      <w:szCs w:val="21"/>
                    </w:rPr>
                    <w:t>小时产生量</w:t>
                  </w:r>
                  <w:r>
                    <w:rPr>
                      <w:rFonts w:hint="eastAsia"/>
                      <w:b/>
                      <w:bCs/>
                      <w:szCs w:val="21"/>
                      <w:lang w:eastAsia="zh-CN"/>
                    </w:rPr>
                    <w:t>kg</w:t>
                  </w:r>
                  <w:r>
                    <w:rPr>
                      <w:rFonts w:hint="eastAsia"/>
                      <w:b/>
                      <w:bCs/>
                      <w:szCs w:val="21"/>
                    </w:rPr>
                    <w:t>/h</w:t>
                  </w:r>
                </w:p>
              </w:tc>
              <w:tc>
                <w:tcPr>
                  <w:tcW w:w="772" w:type="pct"/>
                  <w:tcBorders>
                    <w:tl2br w:val="nil"/>
                    <w:tr2bl w:val="nil"/>
                  </w:tcBorders>
                  <w:vAlign w:val="center"/>
                </w:tcPr>
                <w:p w14:paraId="13801CA9">
                  <w:pPr>
                    <w:adjustRightInd w:val="0"/>
                    <w:snapToGrid w:val="0"/>
                    <w:spacing w:line="320" w:lineRule="exact"/>
                    <w:jc w:val="center"/>
                    <w:rPr>
                      <w:b/>
                      <w:bCs/>
                      <w:szCs w:val="21"/>
                    </w:rPr>
                  </w:pPr>
                  <w:r>
                    <w:rPr>
                      <w:rFonts w:hint="eastAsia"/>
                      <w:b/>
                      <w:bCs/>
                      <w:szCs w:val="21"/>
                    </w:rPr>
                    <w:t>年作业时间h</w:t>
                  </w:r>
                </w:p>
              </w:tc>
              <w:tc>
                <w:tcPr>
                  <w:tcW w:w="673" w:type="pct"/>
                  <w:tcBorders>
                    <w:tl2br w:val="nil"/>
                    <w:tr2bl w:val="nil"/>
                  </w:tcBorders>
                  <w:vAlign w:val="center"/>
                </w:tcPr>
                <w:p w14:paraId="34D84B99">
                  <w:pPr>
                    <w:adjustRightInd w:val="0"/>
                    <w:snapToGrid w:val="0"/>
                    <w:spacing w:line="320" w:lineRule="exact"/>
                    <w:jc w:val="center"/>
                    <w:rPr>
                      <w:b/>
                      <w:bCs/>
                      <w:szCs w:val="21"/>
                    </w:rPr>
                  </w:pPr>
                  <w:r>
                    <w:rPr>
                      <w:rFonts w:hint="eastAsia"/>
                      <w:b/>
                      <w:bCs/>
                      <w:szCs w:val="21"/>
                    </w:rPr>
                    <w:t>年产生量t/a</w:t>
                  </w:r>
                </w:p>
              </w:tc>
            </w:tr>
            <w:tr w14:paraId="0ACE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30" w:type="pct"/>
                  <w:tcBorders>
                    <w:tl2br w:val="nil"/>
                    <w:tr2bl w:val="nil"/>
                  </w:tcBorders>
                  <w:vAlign w:val="center"/>
                </w:tcPr>
                <w:p w14:paraId="6748A0E1">
                  <w:pPr>
                    <w:adjustRightInd w:val="0"/>
                    <w:snapToGrid w:val="0"/>
                    <w:spacing w:line="320" w:lineRule="exact"/>
                    <w:jc w:val="center"/>
                    <w:rPr>
                      <w:szCs w:val="21"/>
                    </w:rPr>
                  </w:pPr>
                  <w:r>
                    <w:rPr>
                      <w:rFonts w:hint="eastAsia"/>
                      <w:szCs w:val="21"/>
                    </w:rPr>
                    <w:t>颗粒物</w:t>
                  </w:r>
                </w:p>
              </w:tc>
              <w:tc>
                <w:tcPr>
                  <w:tcW w:w="697" w:type="pct"/>
                  <w:vMerge w:val="restart"/>
                  <w:tcBorders>
                    <w:tl2br w:val="nil"/>
                    <w:tr2bl w:val="nil"/>
                  </w:tcBorders>
                  <w:vAlign w:val="center"/>
                </w:tcPr>
                <w:p w14:paraId="6850D4DE">
                  <w:pPr>
                    <w:adjustRightInd w:val="0"/>
                    <w:snapToGrid w:val="0"/>
                    <w:spacing w:line="320" w:lineRule="exact"/>
                    <w:jc w:val="center"/>
                    <w:rPr>
                      <w:szCs w:val="21"/>
                    </w:rPr>
                  </w:pPr>
                  <w:r>
                    <w:rPr>
                      <w:rFonts w:hint="eastAsia"/>
                      <w:szCs w:val="21"/>
                    </w:rPr>
                    <w:t>垃圾站房</w:t>
                  </w:r>
                </w:p>
              </w:tc>
              <w:tc>
                <w:tcPr>
                  <w:tcW w:w="667" w:type="pct"/>
                  <w:vMerge w:val="restart"/>
                  <w:tcBorders>
                    <w:tl2br w:val="nil"/>
                    <w:tr2bl w:val="nil"/>
                  </w:tcBorders>
                  <w:vAlign w:val="center"/>
                </w:tcPr>
                <w:p w14:paraId="00032F87">
                  <w:pPr>
                    <w:adjustRightInd w:val="0"/>
                    <w:snapToGrid w:val="0"/>
                    <w:spacing w:line="320" w:lineRule="exact"/>
                    <w:jc w:val="center"/>
                    <w:rPr>
                      <w:szCs w:val="21"/>
                    </w:rPr>
                  </w:pPr>
                  <w:r>
                    <w:rPr>
                      <w:rFonts w:hint="eastAsia"/>
                      <w:szCs w:val="21"/>
                    </w:rPr>
                    <w:t>240</w:t>
                  </w:r>
                </w:p>
              </w:tc>
              <w:tc>
                <w:tcPr>
                  <w:tcW w:w="827" w:type="pct"/>
                  <w:tcBorders>
                    <w:tl2br w:val="nil"/>
                    <w:tr2bl w:val="nil"/>
                  </w:tcBorders>
                  <w:vAlign w:val="center"/>
                </w:tcPr>
                <w:p w14:paraId="15431095">
                  <w:pPr>
                    <w:adjustRightInd w:val="0"/>
                    <w:snapToGrid w:val="0"/>
                    <w:spacing w:line="320" w:lineRule="exact"/>
                    <w:jc w:val="center"/>
                    <w:rPr>
                      <w:szCs w:val="21"/>
                    </w:rPr>
                  </w:pPr>
                  <w:r>
                    <w:rPr>
                      <w:rFonts w:hint="eastAsia"/>
                      <w:szCs w:val="21"/>
                    </w:rPr>
                    <w:t>45.8</w:t>
                  </w:r>
                </w:p>
              </w:tc>
              <w:tc>
                <w:tcPr>
                  <w:tcW w:w="830" w:type="pct"/>
                  <w:tcBorders>
                    <w:tl2br w:val="nil"/>
                    <w:tr2bl w:val="nil"/>
                  </w:tcBorders>
                  <w:vAlign w:val="center"/>
                </w:tcPr>
                <w:p w14:paraId="48DFE2FF">
                  <w:pPr>
                    <w:adjustRightInd w:val="0"/>
                    <w:snapToGrid w:val="0"/>
                    <w:spacing w:line="320" w:lineRule="exact"/>
                    <w:jc w:val="center"/>
                    <w:rPr>
                      <w:szCs w:val="21"/>
                    </w:rPr>
                  </w:pPr>
                  <w:r>
                    <w:rPr>
                      <w:rFonts w:hint="eastAsia"/>
                      <w:szCs w:val="21"/>
                    </w:rPr>
                    <w:t>1.374</w:t>
                  </w:r>
                </w:p>
              </w:tc>
              <w:tc>
                <w:tcPr>
                  <w:tcW w:w="772" w:type="pct"/>
                  <w:vMerge w:val="restart"/>
                  <w:tcBorders>
                    <w:tl2br w:val="nil"/>
                    <w:tr2bl w:val="nil"/>
                  </w:tcBorders>
                  <w:vAlign w:val="center"/>
                </w:tcPr>
                <w:p w14:paraId="50142126">
                  <w:pPr>
                    <w:adjustRightInd w:val="0"/>
                    <w:snapToGrid w:val="0"/>
                    <w:spacing w:line="320" w:lineRule="exact"/>
                    <w:jc w:val="center"/>
                    <w:rPr>
                      <w:szCs w:val="21"/>
                    </w:rPr>
                  </w:pPr>
                  <w:r>
                    <w:rPr>
                      <w:rFonts w:hint="eastAsia"/>
                      <w:szCs w:val="21"/>
                    </w:rPr>
                    <w:t>2920</w:t>
                  </w:r>
                </w:p>
              </w:tc>
              <w:tc>
                <w:tcPr>
                  <w:tcW w:w="673" w:type="pct"/>
                  <w:tcBorders>
                    <w:tl2br w:val="nil"/>
                    <w:tr2bl w:val="nil"/>
                  </w:tcBorders>
                  <w:vAlign w:val="center"/>
                </w:tcPr>
                <w:p w14:paraId="2F487C22">
                  <w:pPr>
                    <w:adjustRightInd w:val="0"/>
                    <w:snapToGrid w:val="0"/>
                    <w:spacing w:line="320" w:lineRule="exact"/>
                    <w:jc w:val="center"/>
                    <w:rPr>
                      <w:szCs w:val="21"/>
                    </w:rPr>
                  </w:pPr>
                  <w:r>
                    <w:rPr>
                      <w:rFonts w:hint="eastAsia"/>
                      <w:szCs w:val="21"/>
                    </w:rPr>
                    <w:t xml:space="preserve">4.01 </w:t>
                  </w:r>
                </w:p>
              </w:tc>
            </w:tr>
            <w:tr w14:paraId="7AB25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30" w:type="pct"/>
                  <w:tcBorders>
                    <w:tl2br w:val="nil"/>
                    <w:tr2bl w:val="nil"/>
                  </w:tcBorders>
                  <w:vAlign w:val="center"/>
                </w:tcPr>
                <w:p w14:paraId="3ED593AF">
                  <w:pPr>
                    <w:adjustRightInd w:val="0"/>
                    <w:snapToGrid w:val="0"/>
                    <w:spacing w:line="320" w:lineRule="exact"/>
                    <w:jc w:val="center"/>
                    <w:rPr>
                      <w:szCs w:val="21"/>
                    </w:rPr>
                  </w:pPr>
                  <w:r>
                    <w:rPr>
                      <w:rFonts w:hint="eastAsia"/>
                      <w:szCs w:val="21"/>
                    </w:rPr>
                    <w:t>NH</w:t>
                  </w:r>
                  <w:r>
                    <w:rPr>
                      <w:rFonts w:hint="eastAsia"/>
                      <w:szCs w:val="21"/>
                      <w:vertAlign w:val="subscript"/>
                    </w:rPr>
                    <w:t>3</w:t>
                  </w:r>
                </w:p>
              </w:tc>
              <w:tc>
                <w:tcPr>
                  <w:tcW w:w="697" w:type="pct"/>
                  <w:vMerge w:val="continue"/>
                  <w:tcBorders>
                    <w:tl2br w:val="nil"/>
                    <w:tr2bl w:val="nil"/>
                  </w:tcBorders>
                  <w:vAlign w:val="center"/>
                </w:tcPr>
                <w:p w14:paraId="228F7CF7">
                  <w:pPr>
                    <w:adjustRightInd w:val="0"/>
                    <w:snapToGrid w:val="0"/>
                    <w:spacing w:line="320" w:lineRule="exact"/>
                    <w:jc w:val="center"/>
                    <w:rPr>
                      <w:szCs w:val="21"/>
                    </w:rPr>
                  </w:pPr>
                </w:p>
              </w:tc>
              <w:tc>
                <w:tcPr>
                  <w:tcW w:w="667" w:type="pct"/>
                  <w:vMerge w:val="continue"/>
                  <w:tcBorders>
                    <w:tl2br w:val="nil"/>
                    <w:tr2bl w:val="nil"/>
                  </w:tcBorders>
                  <w:vAlign w:val="center"/>
                </w:tcPr>
                <w:p w14:paraId="75B9C1C8">
                  <w:pPr>
                    <w:adjustRightInd w:val="0"/>
                    <w:snapToGrid w:val="0"/>
                    <w:spacing w:line="320" w:lineRule="exact"/>
                    <w:jc w:val="center"/>
                    <w:rPr>
                      <w:szCs w:val="21"/>
                    </w:rPr>
                  </w:pPr>
                </w:p>
              </w:tc>
              <w:tc>
                <w:tcPr>
                  <w:tcW w:w="827" w:type="pct"/>
                  <w:tcBorders>
                    <w:tl2br w:val="nil"/>
                    <w:tr2bl w:val="nil"/>
                  </w:tcBorders>
                  <w:vAlign w:val="center"/>
                </w:tcPr>
                <w:p w14:paraId="724BFC61">
                  <w:pPr>
                    <w:adjustRightInd w:val="0"/>
                    <w:snapToGrid w:val="0"/>
                    <w:spacing w:line="320" w:lineRule="exact"/>
                    <w:jc w:val="center"/>
                    <w:rPr>
                      <w:szCs w:val="21"/>
                    </w:rPr>
                  </w:pPr>
                  <w:r>
                    <w:rPr>
                      <w:rFonts w:hint="eastAsia"/>
                      <w:szCs w:val="21"/>
                    </w:rPr>
                    <w:t>65.09</w:t>
                  </w:r>
                </w:p>
              </w:tc>
              <w:tc>
                <w:tcPr>
                  <w:tcW w:w="830" w:type="pct"/>
                  <w:tcBorders>
                    <w:tl2br w:val="nil"/>
                    <w:tr2bl w:val="nil"/>
                  </w:tcBorders>
                  <w:vAlign w:val="center"/>
                </w:tcPr>
                <w:p w14:paraId="681E16A3">
                  <w:pPr>
                    <w:adjustRightInd w:val="0"/>
                    <w:snapToGrid w:val="0"/>
                    <w:spacing w:line="320" w:lineRule="exact"/>
                    <w:jc w:val="center"/>
                    <w:rPr>
                      <w:szCs w:val="21"/>
                    </w:rPr>
                  </w:pPr>
                  <w:r>
                    <w:rPr>
                      <w:rFonts w:hint="eastAsia"/>
                      <w:szCs w:val="21"/>
                    </w:rPr>
                    <w:t>1.953</w:t>
                  </w:r>
                </w:p>
              </w:tc>
              <w:tc>
                <w:tcPr>
                  <w:tcW w:w="772" w:type="pct"/>
                  <w:vMerge w:val="continue"/>
                  <w:tcBorders>
                    <w:tl2br w:val="nil"/>
                    <w:tr2bl w:val="nil"/>
                  </w:tcBorders>
                  <w:vAlign w:val="center"/>
                </w:tcPr>
                <w:p w14:paraId="65575FBA">
                  <w:pPr>
                    <w:adjustRightInd w:val="0"/>
                    <w:snapToGrid w:val="0"/>
                    <w:spacing w:line="320" w:lineRule="exact"/>
                    <w:jc w:val="center"/>
                    <w:rPr>
                      <w:szCs w:val="21"/>
                    </w:rPr>
                  </w:pPr>
                </w:p>
              </w:tc>
              <w:tc>
                <w:tcPr>
                  <w:tcW w:w="673" w:type="pct"/>
                  <w:tcBorders>
                    <w:tl2br w:val="nil"/>
                    <w:tr2bl w:val="nil"/>
                  </w:tcBorders>
                  <w:vAlign w:val="center"/>
                </w:tcPr>
                <w:p w14:paraId="64004DB7">
                  <w:pPr>
                    <w:adjustRightInd w:val="0"/>
                    <w:snapToGrid w:val="0"/>
                    <w:spacing w:line="320" w:lineRule="exact"/>
                    <w:jc w:val="center"/>
                    <w:rPr>
                      <w:szCs w:val="21"/>
                    </w:rPr>
                  </w:pPr>
                  <w:r>
                    <w:rPr>
                      <w:rFonts w:hint="eastAsia"/>
                      <w:szCs w:val="21"/>
                    </w:rPr>
                    <w:t xml:space="preserve">5.7 </w:t>
                  </w:r>
                </w:p>
              </w:tc>
            </w:tr>
            <w:tr w14:paraId="4CFE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30" w:type="pct"/>
                  <w:tcBorders>
                    <w:tl2br w:val="nil"/>
                    <w:tr2bl w:val="nil"/>
                  </w:tcBorders>
                  <w:vAlign w:val="center"/>
                </w:tcPr>
                <w:p w14:paraId="277E0D0F">
                  <w:pPr>
                    <w:adjustRightInd w:val="0"/>
                    <w:snapToGrid w:val="0"/>
                    <w:spacing w:line="32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697" w:type="pct"/>
                  <w:vMerge w:val="continue"/>
                  <w:tcBorders>
                    <w:tl2br w:val="nil"/>
                    <w:tr2bl w:val="nil"/>
                  </w:tcBorders>
                  <w:vAlign w:val="center"/>
                </w:tcPr>
                <w:p w14:paraId="29C7D07E">
                  <w:pPr>
                    <w:adjustRightInd w:val="0"/>
                    <w:snapToGrid w:val="0"/>
                    <w:spacing w:line="320" w:lineRule="exact"/>
                    <w:jc w:val="center"/>
                    <w:rPr>
                      <w:szCs w:val="21"/>
                    </w:rPr>
                  </w:pPr>
                </w:p>
              </w:tc>
              <w:tc>
                <w:tcPr>
                  <w:tcW w:w="667" w:type="pct"/>
                  <w:vMerge w:val="continue"/>
                  <w:tcBorders>
                    <w:tl2br w:val="nil"/>
                    <w:tr2bl w:val="nil"/>
                  </w:tcBorders>
                  <w:vAlign w:val="center"/>
                </w:tcPr>
                <w:p w14:paraId="719635A8">
                  <w:pPr>
                    <w:adjustRightInd w:val="0"/>
                    <w:snapToGrid w:val="0"/>
                    <w:spacing w:line="320" w:lineRule="exact"/>
                    <w:jc w:val="center"/>
                    <w:rPr>
                      <w:szCs w:val="21"/>
                    </w:rPr>
                  </w:pPr>
                </w:p>
              </w:tc>
              <w:tc>
                <w:tcPr>
                  <w:tcW w:w="827" w:type="pct"/>
                  <w:tcBorders>
                    <w:tl2br w:val="nil"/>
                    <w:tr2bl w:val="nil"/>
                  </w:tcBorders>
                  <w:vAlign w:val="center"/>
                </w:tcPr>
                <w:p w14:paraId="2A955D9A">
                  <w:pPr>
                    <w:adjustRightInd w:val="0"/>
                    <w:snapToGrid w:val="0"/>
                    <w:spacing w:line="320" w:lineRule="exact"/>
                    <w:jc w:val="center"/>
                    <w:rPr>
                      <w:szCs w:val="21"/>
                    </w:rPr>
                  </w:pPr>
                  <w:r>
                    <w:rPr>
                      <w:rFonts w:hint="eastAsia"/>
                      <w:szCs w:val="21"/>
                    </w:rPr>
                    <w:t>6.2</w:t>
                  </w:r>
                </w:p>
              </w:tc>
              <w:tc>
                <w:tcPr>
                  <w:tcW w:w="830" w:type="pct"/>
                  <w:tcBorders>
                    <w:tl2br w:val="nil"/>
                    <w:tr2bl w:val="nil"/>
                  </w:tcBorders>
                  <w:vAlign w:val="center"/>
                </w:tcPr>
                <w:p w14:paraId="3F34A241">
                  <w:pPr>
                    <w:adjustRightInd w:val="0"/>
                    <w:snapToGrid w:val="0"/>
                    <w:spacing w:line="320" w:lineRule="exact"/>
                    <w:jc w:val="center"/>
                    <w:rPr>
                      <w:szCs w:val="21"/>
                    </w:rPr>
                  </w:pPr>
                  <w:r>
                    <w:rPr>
                      <w:rFonts w:hint="eastAsia"/>
                      <w:szCs w:val="21"/>
                    </w:rPr>
                    <w:t>0.186</w:t>
                  </w:r>
                </w:p>
              </w:tc>
              <w:tc>
                <w:tcPr>
                  <w:tcW w:w="772" w:type="pct"/>
                  <w:vMerge w:val="continue"/>
                  <w:tcBorders>
                    <w:tl2br w:val="nil"/>
                    <w:tr2bl w:val="nil"/>
                  </w:tcBorders>
                  <w:vAlign w:val="center"/>
                </w:tcPr>
                <w:p w14:paraId="61417220">
                  <w:pPr>
                    <w:adjustRightInd w:val="0"/>
                    <w:snapToGrid w:val="0"/>
                    <w:spacing w:line="320" w:lineRule="exact"/>
                    <w:jc w:val="center"/>
                    <w:rPr>
                      <w:szCs w:val="21"/>
                    </w:rPr>
                  </w:pPr>
                </w:p>
              </w:tc>
              <w:tc>
                <w:tcPr>
                  <w:tcW w:w="673" w:type="pct"/>
                  <w:tcBorders>
                    <w:tl2br w:val="nil"/>
                    <w:tr2bl w:val="nil"/>
                  </w:tcBorders>
                  <w:vAlign w:val="center"/>
                </w:tcPr>
                <w:p w14:paraId="26C41FA7">
                  <w:pPr>
                    <w:adjustRightInd w:val="0"/>
                    <w:snapToGrid w:val="0"/>
                    <w:spacing w:line="320" w:lineRule="exact"/>
                    <w:jc w:val="center"/>
                    <w:rPr>
                      <w:szCs w:val="21"/>
                    </w:rPr>
                  </w:pPr>
                  <w:r>
                    <w:rPr>
                      <w:rFonts w:hint="eastAsia"/>
                      <w:szCs w:val="21"/>
                    </w:rPr>
                    <w:t xml:space="preserve">0.54 </w:t>
                  </w:r>
                </w:p>
              </w:tc>
            </w:tr>
          </w:tbl>
          <w:p w14:paraId="6D61E4B0">
            <w:pPr>
              <w:widowControl/>
              <w:numPr>
                <w:ilvl w:val="0"/>
                <w:numId w:val="6"/>
              </w:numPr>
              <w:spacing w:line="360" w:lineRule="auto"/>
              <w:ind w:firstLine="482" w:firstLineChars="200"/>
              <w:jc w:val="left"/>
              <w:rPr>
                <w:b/>
                <w:bCs/>
                <w:kern w:val="0"/>
                <w:sz w:val="24"/>
                <w:lang w:bidi="ar"/>
              </w:rPr>
            </w:pPr>
            <w:r>
              <w:rPr>
                <w:rFonts w:hint="eastAsia"/>
                <w:b/>
                <w:bCs/>
                <w:kern w:val="0"/>
                <w:sz w:val="24"/>
                <w:lang w:bidi="ar"/>
              </w:rPr>
              <w:t>废水处理过程产生的废气</w:t>
            </w:r>
          </w:p>
          <w:p w14:paraId="5F8F2CB8">
            <w:pPr>
              <w:widowControl/>
              <w:spacing w:line="360" w:lineRule="auto"/>
              <w:ind w:firstLine="480" w:firstLineChars="200"/>
              <w:rPr>
                <w:kern w:val="0"/>
                <w:sz w:val="24"/>
                <w:lang w:bidi="ar"/>
              </w:rPr>
            </w:pPr>
            <w:r>
              <w:rPr>
                <w:rFonts w:hint="eastAsia"/>
                <w:kern w:val="0"/>
                <w:sz w:val="24"/>
                <w:lang w:bidi="ar"/>
              </w:rPr>
              <w:t>本项目污水处理车间采用（“高效预处理+MBR系统（二级硝化反硝化+超滤））”处理工艺，处理车间、设备冲洗废水、垃圾渗滤液等废水处理过程会产生恶臭气体，恶臭气体以NH</w:t>
            </w:r>
            <w:r>
              <w:rPr>
                <w:rFonts w:hint="eastAsia"/>
                <w:kern w:val="0"/>
                <w:sz w:val="24"/>
                <w:vertAlign w:val="subscript"/>
                <w:lang w:bidi="ar"/>
              </w:rPr>
              <w:t>3</w:t>
            </w:r>
            <w:r>
              <w:rPr>
                <w:rFonts w:hint="eastAsia"/>
                <w:kern w:val="0"/>
                <w:sz w:val="24"/>
                <w:lang w:bidi="ar"/>
              </w:rPr>
              <w:t>、H</w:t>
            </w:r>
            <w:r>
              <w:rPr>
                <w:rFonts w:hint="eastAsia"/>
                <w:kern w:val="0"/>
                <w:sz w:val="24"/>
                <w:vertAlign w:val="subscript"/>
                <w:lang w:bidi="ar"/>
              </w:rPr>
              <w:t>2</w:t>
            </w:r>
            <w:r>
              <w:rPr>
                <w:rFonts w:hint="eastAsia"/>
                <w:kern w:val="0"/>
                <w:sz w:val="24"/>
                <w:lang w:bidi="ar"/>
              </w:rPr>
              <w:t>S为主。</w:t>
            </w:r>
          </w:p>
          <w:p w14:paraId="12B3878E">
            <w:pPr>
              <w:widowControl/>
              <w:spacing w:line="360" w:lineRule="auto"/>
              <w:ind w:firstLine="482" w:firstLineChars="200"/>
              <w:rPr>
                <w:b/>
                <w:bCs/>
                <w:kern w:val="0"/>
                <w:sz w:val="24"/>
                <w:lang w:bidi="ar"/>
              </w:rPr>
            </w:pPr>
            <w:r>
              <w:rPr>
                <w:rFonts w:hint="eastAsia"/>
                <w:b/>
                <w:bCs/>
                <w:kern w:val="0"/>
                <w:sz w:val="24"/>
                <w:lang w:bidi="ar"/>
              </w:rPr>
              <w:t>源强分析：</w:t>
            </w:r>
          </w:p>
          <w:p w14:paraId="0C641DF8">
            <w:pPr>
              <w:widowControl/>
              <w:spacing w:line="360" w:lineRule="auto"/>
              <w:ind w:firstLine="480" w:firstLineChars="200"/>
              <w:rPr>
                <w:kern w:val="0"/>
                <w:sz w:val="24"/>
                <w:lang w:bidi="ar"/>
              </w:rPr>
            </w:pPr>
            <w:r>
              <w:rPr>
                <w:kern w:val="0"/>
                <w:sz w:val="24"/>
                <w:lang w:bidi="ar"/>
              </w:rPr>
              <w:t>由于排放源统计调查产排污核算方法和系数手册中未发布相关数据，</w:t>
            </w:r>
            <w:r>
              <w:rPr>
                <w:rFonts w:hint="eastAsia"/>
                <w:kern w:val="0"/>
                <w:sz w:val="24"/>
                <w:lang w:bidi="ar"/>
              </w:rPr>
              <w:t>参照</w:t>
            </w:r>
            <w:r>
              <w:rPr>
                <w:kern w:val="0"/>
                <w:sz w:val="24"/>
                <w:lang w:bidi="ar"/>
              </w:rPr>
              <w:t>美国EPA对城市污水处理厂恶臭污染物产生情况的研究，每处理1g的BOD</w:t>
            </w:r>
            <w:r>
              <w:rPr>
                <w:kern w:val="0"/>
                <w:sz w:val="24"/>
                <w:vertAlign w:val="subscript"/>
                <w:lang w:bidi="ar"/>
              </w:rPr>
              <w:t>5</w:t>
            </w:r>
            <w:r>
              <w:rPr>
                <w:kern w:val="0"/>
                <w:sz w:val="24"/>
                <w:lang w:bidi="ar"/>
              </w:rPr>
              <w:t>，可产生0.0031g的NH</w:t>
            </w:r>
            <w:r>
              <w:rPr>
                <w:kern w:val="0"/>
                <w:sz w:val="24"/>
                <w:vertAlign w:val="subscript"/>
                <w:lang w:bidi="ar"/>
              </w:rPr>
              <w:t>3</w:t>
            </w:r>
            <w:r>
              <w:rPr>
                <w:kern w:val="0"/>
                <w:sz w:val="24"/>
                <w:lang w:bidi="ar"/>
              </w:rPr>
              <w:t>和0.00012g的H</w:t>
            </w:r>
            <w:r>
              <w:rPr>
                <w:kern w:val="0"/>
                <w:sz w:val="24"/>
                <w:vertAlign w:val="subscript"/>
                <w:lang w:bidi="ar"/>
              </w:rPr>
              <w:t>2</w:t>
            </w:r>
            <w:r>
              <w:rPr>
                <w:kern w:val="0"/>
                <w:sz w:val="24"/>
                <w:lang w:bidi="ar"/>
              </w:rPr>
              <w:t>S</w:t>
            </w:r>
            <w:r>
              <w:rPr>
                <w:rFonts w:hint="eastAsia"/>
                <w:kern w:val="0"/>
                <w:sz w:val="24"/>
                <w:lang w:bidi="ar"/>
              </w:rPr>
              <w:t>。本项目在维保房北侧布置污水处理系统，</w:t>
            </w:r>
            <w:r>
              <w:rPr>
                <w:kern w:val="0"/>
                <w:sz w:val="24"/>
                <w:lang w:bidi="ar"/>
              </w:rPr>
              <w:t>本次评价</w:t>
            </w:r>
            <w:r>
              <w:rPr>
                <w:rFonts w:hint="eastAsia"/>
                <w:kern w:val="0"/>
                <w:sz w:val="24"/>
                <w:lang w:bidi="ar"/>
              </w:rPr>
              <w:t>以日</w:t>
            </w:r>
            <w:r>
              <w:rPr>
                <w:kern w:val="0"/>
                <w:sz w:val="24"/>
                <w:lang w:bidi="ar"/>
              </w:rPr>
              <w:t>最大</w:t>
            </w:r>
            <w:r>
              <w:rPr>
                <w:rFonts w:hint="eastAsia"/>
                <w:kern w:val="0"/>
                <w:sz w:val="24"/>
                <w:lang w:bidi="ar"/>
              </w:rPr>
              <w:t>处理量</w:t>
            </w:r>
            <w:r>
              <w:rPr>
                <w:kern w:val="0"/>
                <w:sz w:val="24"/>
                <w:lang w:bidi="ar"/>
              </w:rPr>
              <w:t>为</w:t>
            </w:r>
            <w:r>
              <w:rPr>
                <w:rFonts w:hint="eastAsia"/>
                <w:kern w:val="0"/>
                <w:sz w:val="24"/>
                <w:lang w:bidi="ar"/>
              </w:rPr>
              <w:t>20</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开展评价</w:t>
            </w:r>
            <w:r>
              <w:rPr>
                <w:kern w:val="0"/>
                <w:sz w:val="24"/>
                <w:lang w:bidi="ar"/>
              </w:rPr>
              <w:t>，设计</w:t>
            </w:r>
            <w:r>
              <w:rPr>
                <w:rFonts w:hint="eastAsia"/>
                <w:kern w:val="0"/>
                <w:sz w:val="24"/>
                <w:lang w:bidi="ar"/>
              </w:rPr>
              <w:t>BOD</w:t>
            </w:r>
            <w:r>
              <w:rPr>
                <w:rFonts w:hint="eastAsia"/>
                <w:kern w:val="0"/>
                <w:sz w:val="24"/>
                <w:vertAlign w:val="subscript"/>
                <w:lang w:bidi="ar"/>
              </w:rPr>
              <w:t>5</w:t>
            </w:r>
            <w:r>
              <w:rPr>
                <w:kern w:val="0"/>
                <w:sz w:val="24"/>
                <w:lang w:bidi="ar"/>
              </w:rPr>
              <w:t>进水浓度为</w:t>
            </w:r>
            <w:r>
              <w:rPr>
                <w:rFonts w:hint="eastAsia"/>
                <w:kern w:val="0"/>
                <w:sz w:val="24"/>
                <w:lang w:bidi="ar"/>
              </w:rPr>
              <w:t>10</w:t>
            </w:r>
            <w:r>
              <w:rPr>
                <w:kern w:val="0"/>
                <w:sz w:val="24"/>
                <w:lang w:bidi="ar"/>
              </w:rPr>
              <w:t>000mg/L，出水浓度为</w:t>
            </w:r>
            <w:r>
              <w:rPr>
                <w:rFonts w:hint="eastAsia"/>
                <w:kern w:val="0"/>
                <w:sz w:val="24"/>
                <w:lang w:bidi="ar"/>
              </w:rPr>
              <w:t>170</w:t>
            </w:r>
            <w:r>
              <w:rPr>
                <w:kern w:val="0"/>
                <w:sz w:val="24"/>
                <w:lang w:bidi="ar"/>
              </w:rPr>
              <w:t>mg/L</w:t>
            </w:r>
            <w:r>
              <w:rPr>
                <w:rFonts w:hint="eastAsia"/>
                <w:kern w:val="0"/>
                <w:sz w:val="24"/>
                <w:lang w:bidi="ar"/>
              </w:rPr>
              <w:t>，则BOD</w:t>
            </w:r>
            <w:r>
              <w:rPr>
                <w:rFonts w:hint="eastAsia"/>
                <w:kern w:val="0"/>
                <w:sz w:val="24"/>
                <w:vertAlign w:val="subscript"/>
                <w:lang w:bidi="ar"/>
              </w:rPr>
              <w:t>5</w:t>
            </w:r>
            <w:r>
              <w:rPr>
                <w:rFonts w:hint="eastAsia"/>
                <w:kern w:val="0"/>
                <w:sz w:val="24"/>
                <w:lang w:bidi="ar"/>
              </w:rPr>
              <w:t>去除量为71.76t/a</w:t>
            </w:r>
            <w:r>
              <w:rPr>
                <w:kern w:val="0"/>
                <w:sz w:val="24"/>
                <w:lang w:bidi="ar"/>
              </w:rPr>
              <w:t>。则NH</w:t>
            </w:r>
            <w:r>
              <w:rPr>
                <w:kern w:val="0"/>
                <w:sz w:val="24"/>
                <w:vertAlign w:val="subscript"/>
                <w:lang w:bidi="ar"/>
              </w:rPr>
              <w:t>3</w:t>
            </w:r>
            <w:r>
              <w:rPr>
                <w:kern w:val="0"/>
                <w:sz w:val="24"/>
                <w:lang w:bidi="ar"/>
              </w:rPr>
              <w:t>的</w:t>
            </w:r>
            <w:r>
              <w:rPr>
                <w:rFonts w:hint="eastAsia"/>
                <w:kern w:val="0"/>
                <w:sz w:val="24"/>
                <w:lang w:bidi="ar"/>
              </w:rPr>
              <w:t>产生量</w:t>
            </w:r>
            <w:r>
              <w:rPr>
                <w:kern w:val="0"/>
                <w:sz w:val="24"/>
                <w:lang w:bidi="ar"/>
              </w:rPr>
              <w:t>为</w:t>
            </w:r>
            <w:r>
              <w:rPr>
                <w:rFonts w:hint="eastAsia"/>
                <w:kern w:val="0"/>
                <w:sz w:val="24"/>
                <w:lang w:bidi="ar"/>
              </w:rPr>
              <w:t>0.076</w:t>
            </w:r>
            <w:r>
              <w:rPr>
                <w:kern w:val="0"/>
                <w:sz w:val="24"/>
                <w:lang w:bidi="ar"/>
              </w:rPr>
              <w:t>kg/</w:t>
            </w:r>
            <w:r>
              <w:rPr>
                <w:rFonts w:hint="eastAsia"/>
                <w:kern w:val="0"/>
                <w:sz w:val="24"/>
                <w:lang w:bidi="ar"/>
              </w:rPr>
              <w:t>h（0.22t/a）；</w:t>
            </w:r>
            <w:r>
              <w:rPr>
                <w:kern w:val="0"/>
                <w:sz w:val="24"/>
                <w:lang w:bidi="ar"/>
              </w:rPr>
              <w:t>H</w:t>
            </w:r>
            <w:r>
              <w:rPr>
                <w:kern w:val="0"/>
                <w:sz w:val="24"/>
                <w:vertAlign w:val="subscript"/>
                <w:lang w:bidi="ar"/>
              </w:rPr>
              <w:t>2</w:t>
            </w:r>
            <w:r>
              <w:rPr>
                <w:kern w:val="0"/>
                <w:sz w:val="24"/>
                <w:lang w:bidi="ar"/>
              </w:rPr>
              <w:t>S的产生</w:t>
            </w:r>
            <w:r>
              <w:rPr>
                <w:rFonts w:hint="eastAsia"/>
                <w:kern w:val="0"/>
                <w:sz w:val="24"/>
                <w:lang w:bidi="ar"/>
              </w:rPr>
              <w:t>量</w:t>
            </w:r>
            <w:r>
              <w:rPr>
                <w:kern w:val="0"/>
                <w:sz w:val="24"/>
                <w:lang w:bidi="ar"/>
              </w:rPr>
              <w:t>为</w:t>
            </w:r>
            <w:r>
              <w:rPr>
                <w:rFonts w:hint="eastAsia"/>
                <w:kern w:val="0"/>
                <w:sz w:val="24"/>
                <w:lang w:bidi="ar"/>
              </w:rPr>
              <w:t>0.003</w:t>
            </w:r>
            <w:r>
              <w:rPr>
                <w:kern w:val="0"/>
                <w:sz w:val="24"/>
                <w:lang w:bidi="ar"/>
              </w:rPr>
              <w:t>kg/</w:t>
            </w:r>
            <w:r>
              <w:rPr>
                <w:rFonts w:hint="eastAsia"/>
                <w:kern w:val="0"/>
                <w:sz w:val="24"/>
                <w:lang w:bidi="ar"/>
              </w:rPr>
              <w:t>h（0.01t/a）。</w:t>
            </w:r>
          </w:p>
          <w:p w14:paraId="77DE5C3A">
            <w:pPr>
              <w:jc w:val="center"/>
              <w:rPr>
                <w:b/>
                <w:bCs/>
                <w:szCs w:val="21"/>
              </w:rPr>
            </w:pPr>
            <w:r>
              <w:rPr>
                <w:rFonts w:hint="eastAsia"/>
                <w:b/>
                <w:bCs/>
                <w:szCs w:val="21"/>
              </w:rPr>
              <w:t>表4-3  污水处理车间废气产生情况一览表</w:t>
            </w:r>
          </w:p>
          <w:tbl>
            <w:tblPr>
              <w:tblStyle w:val="70"/>
              <w:tblW w:w="498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7"/>
              <w:gridCol w:w="1180"/>
              <w:gridCol w:w="1130"/>
              <w:gridCol w:w="1401"/>
              <w:gridCol w:w="1406"/>
              <w:gridCol w:w="1307"/>
              <w:gridCol w:w="1140"/>
            </w:tblGrid>
            <w:tr w14:paraId="2C257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530" w:type="pct"/>
                  <w:tcBorders>
                    <w:tl2br w:val="nil"/>
                    <w:tr2bl w:val="nil"/>
                  </w:tcBorders>
                  <w:vAlign w:val="center"/>
                </w:tcPr>
                <w:p w14:paraId="2885128F">
                  <w:pPr>
                    <w:adjustRightInd w:val="0"/>
                    <w:snapToGrid w:val="0"/>
                    <w:spacing w:line="320" w:lineRule="exact"/>
                    <w:jc w:val="center"/>
                    <w:rPr>
                      <w:b/>
                      <w:bCs/>
                      <w:szCs w:val="21"/>
                    </w:rPr>
                  </w:pPr>
                  <w:r>
                    <w:rPr>
                      <w:rFonts w:hint="eastAsia"/>
                      <w:b/>
                      <w:bCs/>
                      <w:szCs w:val="21"/>
                    </w:rPr>
                    <w:t>污染因子</w:t>
                  </w:r>
                </w:p>
              </w:tc>
              <w:tc>
                <w:tcPr>
                  <w:tcW w:w="697" w:type="pct"/>
                  <w:tcBorders>
                    <w:tl2br w:val="nil"/>
                    <w:tr2bl w:val="nil"/>
                  </w:tcBorders>
                  <w:vAlign w:val="center"/>
                </w:tcPr>
                <w:p w14:paraId="1425CA99">
                  <w:pPr>
                    <w:adjustRightInd w:val="0"/>
                    <w:snapToGrid w:val="0"/>
                    <w:spacing w:line="320" w:lineRule="exact"/>
                    <w:jc w:val="center"/>
                    <w:rPr>
                      <w:b/>
                      <w:bCs/>
                      <w:szCs w:val="21"/>
                    </w:rPr>
                  </w:pPr>
                  <w:r>
                    <w:rPr>
                      <w:rFonts w:hint="eastAsia"/>
                      <w:b/>
                      <w:bCs/>
                      <w:szCs w:val="21"/>
                    </w:rPr>
                    <w:t>污染物排放位置</w:t>
                  </w:r>
                </w:p>
              </w:tc>
              <w:tc>
                <w:tcPr>
                  <w:tcW w:w="667" w:type="pct"/>
                  <w:tcBorders>
                    <w:tl2br w:val="nil"/>
                    <w:tr2bl w:val="nil"/>
                  </w:tcBorders>
                  <w:vAlign w:val="center"/>
                </w:tcPr>
                <w:p w14:paraId="08DA1079">
                  <w:pPr>
                    <w:adjustRightInd w:val="0"/>
                    <w:snapToGrid w:val="0"/>
                    <w:spacing w:line="320" w:lineRule="exact"/>
                    <w:jc w:val="center"/>
                    <w:rPr>
                      <w:b/>
                      <w:bCs/>
                      <w:szCs w:val="21"/>
                    </w:rPr>
                  </w:pPr>
                  <w:r>
                    <w:rPr>
                      <w:rFonts w:hint="eastAsia"/>
                      <w:b/>
                      <w:bCs/>
                      <w:szCs w:val="21"/>
                    </w:rPr>
                    <w:t>处理规模t/d</w:t>
                  </w:r>
                </w:p>
              </w:tc>
              <w:tc>
                <w:tcPr>
                  <w:tcW w:w="827" w:type="pct"/>
                  <w:tcBorders>
                    <w:tl2br w:val="nil"/>
                    <w:tr2bl w:val="nil"/>
                  </w:tcBorders>
                  <w:vAlign w:val="center"/>
                </w:tcPr>
                <w:p w14:paraId="30B6B0F9">
                  <w:pPr>
                    <w:adjustRightInd w:val="0"/>
                    <w:snapToGrid w:val="0"/>
                    <w:spacing w:line="320" w:lineRule="exact"/>
                    <w:jc w:val="center"/>
                    <w:rPr>
                      <w:b/>
                      <w:bCs/>
                      <w:szCs w:val="21"/>
                    </w:rPr>
                  </w:pPr>
                  <w:r>
                    <w:rPr>
                      <w:rFonts w:hint="eastAsia"/>
                      <w:b/>
                      <w:bCs/>
                      <w:szCs w:val="21"/>
                    </w:rPr>
                    <w:t>产污系数g/g-</w:t>
                  </w:r>
                  <w:r>
                    <w:rPr>
                      <w:kern w:val="0"/>
                      <w:szCs w:val="21"/>
                      <w:lang w:bidi="ar"/>
                    </w:rPr>
                    <w:t>BOD</w:t>
                  </w:r>
                  <w:r>
                    <w:rPr>
                      <w:kern w:val="0"/>
                      <w:szCs w:val="21"/>
                      <w:vertAlign w:val="subscript"/>
                      <w:lang w:bidi="ar"/>
                    </w:rPr>
                    <w:t>5</w:t>
                  </w:r>
                </w:p>
              </w:tc>
              <w:tc>
                <w:tcPr>
                  <w:tcW w:w="830" w:type="pct"/>
                  <w:tcBorders>
                    <w:tl2br w:val="nil"/>
                    <w:tr2bl w:val="nil"/>
                  </w:tcBorders>
                  <w:vAlign w:val="center"/>
                </w:tcPr>
                <w:p w14:paraId="6BB01114">
                  <w:pPr>
                    <w:adjustRightInd w:val="0"/>
                    <w:snapToGrid w:val="0"/>
                    <w:spacing w:line="320" w:lineRule="exact"/>
                    <w:jc w:val="center"/>
                    <w:rPr>
                      <w:b/>
                      <w:bCs/>
                      <w:szCs w:val="21"/>
                    </w:rPr>
                  </w:pPr>
                  <w:r>
                    <w:rPr>
                      <w:rFonts w:hint="eastAsia"/>
                      <w:b/>
                      <w:bCs/>
                      <w:szCs w:val="21"/>
                    </w:rPr>
                    <w:t>小时产生量</w:t>
                  </w:r>
                  <w:r>
                    <w:rPr>
                      <w:rFonts w:hint="eastAsia"/>
                      <w:b/>
                      <w:bCs/>
                      <w:szCs w:val="21"/>
                      <w:lang w:eastAsia="zh-CN"/>
                    </w:rPr>
                    <w:t>kg</w:t>
                  </w:r>
                  <w:r>
                    <w:rPr>
                      <w:rFonts w:hint="eastAsia"/>
                      <w:b/>
                      <w:bCs/>
                      <w:szCs w:val="21"/>
                    </w:rPr>
                    <w:t>/h</w:t>
                  </w:r>
                </w:p>
              </w:tc>
              <w:tc>
                <w:tcPr>
                  <w:tcW w:w="772" w:type="pct"/>
                  <w:tcBorders>
                    <w:tl2br w:val="nil"/>
                    <w:tr2bl w:val="nil"/>
                  </w:tcBorders>
                  <w:vAlign w:val="center"/>
                </w:tcPr>
                <w:p w14:paraId="5C8C1730">
                  <w:pPr>
                    <w:adjustRightInd w:val="0"/>
                    <w:snapToGrid w:val="0"/>
                    <w:spacing w:line="320" w:lineRule="exact"/>
                    <w:jc w:val="center"/>
                    <w:rPr>
                      <w:b/>
                      <w:bCs/>
                      <w:szCs w:val="21"/>
                    </w:rPr>
                  </w:pPr>
                  <w:r>
                    <w:rPr>
                      <w:rFonts w:hint="eastAsia"/>
                      <w:b/>
                      <w:bCs/>
                      <w:szCs w:val="21"/>
                    </w:rPr>
                    <w:t>年作业时间h</w:t>
                  </w:r>
                </w:p>
              </w:tc>
              <w:tc>
                <w:tcPr>
                  <w:tcW w:w="673" w:type="pct"/>
                  <w:tcBorders>
                    <w:tl2br w:val="nil"/>
                    <w:tr2bl w:val="nil"/>
                  </w:tcBorders>
                  <w:vAlign w:val="center"/>
                </w:tcPr>
                <w:p w14:paraId="05626E13">
                  <w:pPr>
                    <w:adjustRightInd w:val="0"/>
                    <w:snapToGrid w:val="0"/>
                    <w:spacing w:line="320" w:lineRule="exact"/>
                    <w:jc w:val="center"/>
                    <w:rPr>
                      <w:b/>
                      <w:bCs/>
                      <w:szCs w:val="21"/>
                    </w:rPr>
                  </w:pPr>
                  <w:r>
                    <w:rPr>
                      <w:rFonts w:hint="eastAsia"/>
                      <w:b/>
                      <w:bCs/>
                      <w:szCs w:val="21"/>
                    </w:rPr>
                    <w:t>年产生量t/a</w:t>
                  </w:r>
                </w:p>
              </w:tc>
            </w:tr>
            <w:tr w14:paraId="367C7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30" w:type="pct"/>
                  <w:tcBorders>
                    <w:tl2br w:val="nil"/>
                    <w:tr2bl w:val="nil"/>
                  </w:tcBorders>
                  <w:vAlign w:val="center"/>
                </w:tcPr>
                <w:p w14:paraId="342D4A40">
                  <w:pPr>
                    <w:adjustRightInd w:val="0"/>
                    <w:snapToGrid w:val="0"/>
                    <w:spacing w:line="320" w:lineRule="exact"/>
                    <w:jc w:val="center"/>
                    <w:rPr>
                      <w:szCs w:val="21"/>
                    </w:rPr>
                  </w:pPr>
                  <w:r>
                    <w:rPr>
                      <w:rFonts w:hint="eastAsia"/>
                      <w:szCs w:val="21"/>
                    </w:rPr>
                    <w:t>NH</w:t>
                  </w:r>
                  <w:r>
                    <w:rPr>
                      <w:rFonts w:hint="eastAsia"/>
                      <w:szCs w:val="21"/>
                      <w:vertAlign w:val="subscript"/>
                    </w:rPr>
                    <w:t>3</w:t>
                  </w:r>
                </w:p>
              </w:tc>
              <w:tc>
                <w:tcPr>
                  <w:tcW w:w="697" w:type="pct"/>
                  <w:vMerge w:val="restart"/>
                  <w:tcBorders>
                    <w:tl2br w:val="nil"/>
                    <w:tr2bl w:val="nil"/>
                  </w:tcBorders>
                  <w:vAlign w:val="center"/>
                </w:tcPr>
                <w:p w14:paraId="48864813">
                  <w:pPr>
                    <w:adjustRightInd w:val="0"/>
                    <w:snapToGrid w:val="0"/>
                    <w:spacing w:line="320" w:lineRule="exact"/>
                    <w:jc w:val="center"/>
                    <w:rPr>
                      <w:szCs w:val="21"/>
                    </w:rPr>
                  </w:pPr>
                  <w:r>
                    <w:rPr>
                      <w:rFonts w:hint="eastAsia"/>
                      <w:szCs w:val="21"/>
                    </w:rPr>
                    <w:t>污水处理车间</w:t>
                  </w:r>
                </w:p>
              </w:tc>
              <w:tc>
                <w:tcPr>
                  <w:tcW w:w="667" w:type="pct"/>
                  <w:vMerge w:val="restart"/>
                  <w:tcBorders>
                    <w:tl2br w:val="nil"/>
                    <w:tr2bl w:val="nil"/>
                  </w:tcBorders>
                  <w:vAlign w:val="center"/>
                </w:tcPr>
                <w:p w14:paraId="6287DE09">
                  <w:pPr>
                    <w:adjustRightInd w:val="0"/>
                    <w:snapToGrid w:val="0"/>
                    <w:spacing w:line="320" w:lineRule="exact"/>
                    <w:jc w:val="center"/>
                    <w:rPr>
                      <w:szCs w:val="21"/>
                    </w:rPr>
                  </w:pPr>
                  <w:r>
                    <w:rPr>
                      <w:rFonts w:hint="eastAsia"/>
                      <w:szCs w:val="21"/>
                    </w:rPr>
                    <w:t>20</w:t>
                  </w:r>
                </w:p>
              </w:tc>
              <w:tc>
                <w:tcPr>
                  <w:tcW w:w="827" w:type="pct"/>
                  <w:tcBorders>
                    <w:tl2br w:val="nil"/>
                    <w:tr2bl w:val="nil"/>
                  </w:tcBorders>
                  <w:vAlign w:val="center"/>
                </w:tcPr>
                <w:p w14:paraId="115DF702">
                  <w:pPr>
                    <w:adjustRightInd w:val="0"/>
                    <w:snapToGrid w:val="0"/>
                    <w:spacing w:line="320" w:lineRule="exact"/>
                    <w:jc w:val="center"/>
                    <w:rPr>
                      <w:szCs w:val="21"/>
                    </w:rPr>
                  </w:pPr>
                  <w:r>
                    <w:rPr>
                      <w:rFonts w:hint="eastAsia"/>
                      <w:szCs w:val="21"/>
                    </w:rPr>
                    <w:t>0.0031</w:t>
                  </w:r>
                </w:p>
              </w:tc>
              <w:tc>
                <w:tcPr>
                  <w:tcW w:w="830" w:type="pct"/>
                  <w:tcBorders>
                    <w:tl2br w:val="nil"/>
                    <w:tr2bl w:val="nil"/>
                  </w:tcBorders>
                  <w:vAlign w:val="center"/>
                </w:tcPr>
                <w:p w14:paraId="5CD9C53E">
                  <w:pPr>
                    <w:adjustRightInd w:val="0"/>
                    <w:snapToGrid w:val="0"/>
                    <w:spacing w:line="320" w:lineRule="exact"/>
                    <w:jc w:val="center"/>
                    <w:rPr>
                      <w:szCs w:val="21"/>
                    </w:rPr>
                  </w:pPr>
                  <w:r>
                    <w:rPr>
                      <w:rFonts w:hint="eastAsia"/>
                      <w:szCs w:val="21"/>
                    </w:rPr>
                    <w:t>0.076</w:t>
                  </w:r>
                </w:p>
              </w:tc>
              <w:tc>
                <w:tcPr>
                  <w:tcW w:w="772" w:type="pct"/>
                  <w:vMerge w:val="restart"/>
                  <w:tcBorders>
                    <w:tl2br w:val="nil"/>
                    <w:tr2bl w:val="nil"/>
                  </w:tcBorders>
                  <w:vAlign w:val="center"/>
                </w:tcPr>
                <w:p w14:paraId="2970BA3C">
                  <w:pPr>
                    <w:adjustRightInd w:val="0"/>
                    <w:snapToGrid w:val="0"/>
                    <w:spacing w:line="320" w:lineRule="exact"/>
                    <w:jc w:val="center"/>
                    <w:rPr>
                      <w:szCs w:val="21"/>
                    </w:rPr>
                  </w:pPr>
                  <w:r>
                    <w:rPr>
                      <w:rFonts w:hint="eastAsia"/>
                      <w:szCs w:val="21"/>
                    </w:rPr>
                    <w:t>2920</w:t>
                  </w:r>
                </w:p>
              </w:tc>
              <w:tc>
                <w:tcPr>
                  <w:tcW w:w="673" w:type="pct"/>
                  <w:tcBorders>
                    <w:tl2br w:val="nil"/>
                    <w:tr2bl w:val="nil"/>
                  </w:tcBorders>
                  <w:vAlign w:val="center"/>
                </w:tcPr>
                <w:p w14:paraId="64A55A0D">
                  <w:pPr>
                    <w:adjustRightInd w:val="0"/>
                    <w:snapToGrid w:val="0"/>
                    <w:spacing w:line="320" w:lineRule="exact"/>
                    <w:jc w:val="center"/>
                    <w:rPr>
                      <w:szCs w:val="21"/>
                    </w:rPr>
                  </w:pPr>
                  <w:r>
                    <w:rPr>
                      <w:rFonts w:hint="eastAsia"/>
                      <w:szCs w:val="21"/>
                    </w:rPr>
                    <w:t>0.22</w:t>
                  </w:r>
                </w:p>
              </w:tc>
            </w:tr>
            <w:tr w14:paraId="76468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30" w:type="pct"/>
                  <w:tcBorders>
                    <w:tl2br w:val="nil"/>
                    <w:tr2bl w:val="nil"/>
                  </w:tcBorders>
                  <w:vAlign w:val="center"/>
                </w:tcPr>
                <w:p w14:paraId="6118CB98">
                  <w:pPr>
                    <w:adjustRightInd w:val="0"/>
                    <w:snapToGrid w:val="0"/>
                    <w:spacing w:line="320" w:lineRule="exact"/>
                    <w:jc w:val="center"/>
                    <w:rPr>
                      <w:szCs w:val="21"/>
                    </w:rPr>
                  </w:pPr>
                  <w:r>
                    <w:rPr>
                      <w:rFonts w:hint="eastAsia"/>
                      <w:szCs w:val="21"/>
                    </w:rPr>
                    <w:t>H</w:t>
                  </w:r>
                  <w:r>
                    <w:rPr>
                      <w:rFonts w:hint="eastAsia"/>
                      <w:szCs w:val="21"/>
                      <w:vertAlign w:val="subscript"/>
                    </w:rPr>
                    <w:t>2</w:t>
                  </w:r>
                  <w:r>
                    <w:rPr>
                      <w:rFonts w:hint="eastAsia"/>
                      <w:szCs w:val="21"/>
                    </w:rPr>
                    <w:t>S</w:t>
                  </w:r>
                </w:p>
              </w:tc>
              <w:tc>
                <w:tcPr>
                  <w:tcW w:w="697" w:type="pct"/>
                  <w:vMerge w:val="continue"/>
                  <w:tcBorders>
                    <w:tl2br w:val="nil"/>
                    <w:tr2bl w:val="nil"/>
                  </w:tcBorders>
                  <w:vAlign w:val="center"/>
                </w:tcPr>
                <w:p w14:paraId="0F47799D">
                  <w:pPr>
                    <w:adjustRightInd w:val="0"/>
                    <w:snapToGrid w:val="0"/>
                    <w:spacing w:line="320" w:lineRule="exact"/>
                    <w:jc w:val="center"/>
                    <w:rPr>
                      <w:szCs w:val="21"/>
                    </w:rPr>
                  </w:pPr>
                </w:p>
              </w:tc>
              <w:tc>
                <w:tcPr>
                  <w:tcW w:w="667" w:type="pct"/>
                  <w:vMerge w:val="continue"/>
                  <w:tcBorders>
                    <w:tl2br w:val="nil"/>
                    <w:tr2bl w:val="nil"/>
                  </w:tcBorders>
                  <w:vAlign w:val="center"/>
                </w:tcPr>
                <w:p w14:paraId="44112505">
                  <w:pPr>
                    <w:adjustRightInd w:val="0"/>
                    <w:snapToGrid w:val="0"/>
                    <w:spacing w:line="320" w:lineRule="exact"/>
                    <w:jc w:val="center"/>
                    <w:rPr>
                      <w:szCs w:val="21"/>
                    </w:rPr>
                  </w:pPr>
                </w:p>
              </w:tc>
              <w:tc>
                <w:tcPr>
                  <w:tcW w:w="827" w:type="pct"/>
                  <w:tcBorders>
                    <w:tl2br w:val="nil"/>
                    <w:tr2bl w:val="nil"/>
                  </w:tcBorders>
                  <w:vAlign w:val="center"/>
                </w:tcPr>
                <w:p w14:paraId="60C6185E">
                  <w:pPr>
                    <w:adjustRightInd w:val="0"/>
                    <w:snapToGrid w:val="0"/>
                    <w:spacing w:line="320" w:lineRule="exact"/>
                    <w:jc w:val="center"/>
                    <w:rPr>
                      <w:szCs w:val="21"/>
                    </w:rPr>
                  </w:pPr>
                  <w:r>
                    <w:rPr>
                      <w:rFonts w:hint="eastAsia"/>
                      <w:szCs w:val="21"/>
                    </w:rPr>
                    <w:t>0.000012</w:t>
                  </w:r>
                </w:p>
              </w:tc>
              <w:tc>
                <w:tcPr>
                  <w:tcW w:w="830" w:type="pct"/>
                  <w:tcBorders>
                    <w:tl2br w:val="nil"/>
                    <w:tr2bl w:val="nil"/>
                  </w:tcBorders>
                  <w:vAlign w:val="center"/>
                </w:tcPr>
                <w:p w14:paraId="2AA1A90A">
                  <w:pPr>
                    <w:adjustRightInd w:val="0"/>
                    <w:snapToGrid w:val="0"/>
                    <w:spacing w:line="320" w:lineRule="exact"/>
                    <w:jc w:val="center"/>
                    <w:rPr>
                      <w:szCs w:val="21"/>
                    </w:rPr>
                  </w:pPr>
                  <w:r>
                    <w:rPr>
                      <w:rFonts w:hint="eastAsia"/>
                      <w:szCs w:val="21"/>
                    </w:rPr>
                    <w:t>0.003</w:t>
                  </w:r>
                </w:p>
              </w:tc>
              <w:tc>
                <w:tcPr>
                  <w:tcW w:w="772" w:type="pct"/>
                  <w:vMerge w:val="continue"/>
                  <w:tcBorders>
                    <w:tl2br w:val="nil"/>
                    <w:tr2bl w:val="nil"/>
                  </w:tcBorders>
                  <w:vAlign w:val="center"/>
                </w:tcPr>
                <w:p w14:paraId="16DEA4C6">
                  <w:pPr>
                    <w:adjustRightInd w:val="0"/>
                    <w:snapToGrid w:val="0"/>
                    <w:spacing w:line="320" w:lineRule="exact"/>
                    <w:jc w:val="center"/>
                    <w:rPr>
                      <w:szCs w:val="21"/>
                    </w:rPr>
                  </w:pPr>
                </w:p>
              </w:tc>
              <w:tc>
                <w:tcPr>
                  <w:tcW w:w="673" w:type="pct"/>
                  <w:tcBorders>
                    <w:tl2br w:val="nil"/>
                    <w:tr2bl w:val="nil"/>
                  </w:tcBorders>
                  <w:vAlign w:val="center"/>
                </w:tcPr>
                <w:p w14:paraId="766405FC">
                  <w:pPr>
                    <w:adjustRightInd w:val="0"/>
                    <w:snapToGrid w:val="0"/>
                    <w:spacing w:line="320" w:lineRule="exact"/>
                    <w:jc w:val="center"/>
                    <w:rPr>
                      <w:szCs w:val="21"/>
                    </w:rPr>
                  </w:pPr>
                  <w:r>
                    <w:rPr>
                      <w:rFonts w:hint="eastAsia"/>
                      <w:szCs w:val="21"/>
                    </w:rPr>
                    <w:t>0.01</w:t>
                  </w:r>
                </w:p>
              </w:tc>
            </w:tr>
          </w:tbl>
          <w:p w14:paraId="0BD10691">
            <w:pPr>
              <w:widowControl/>
              <w:spacing w:line="360" w:lineRule="auto"/>
              <w:ind w:firstLine="482" w:firstLineChars="200"/>
              <w:jc w:val="left"/>
              <w:rPr>
                <w:rFonts w:hint="eastAsia" w:ascii="宋体" w:hAnsi="宋体" w:cs="宋体"/>
                <w:b/>
                <w:bCs/>
                <w:kern w:val="0"/>
                <w:sz w:val="24"/>
                <w:lang w:bidi="ar"/>
              </w:rPr>
            </w:pPr>
            <w:r>
              <w:rPr>
                <w:b/>
                <w:bCs/>
                <w:kern w:val="0"/>
                <w:sz w:val="24"/>
                <w:lang w:bidi="ar"/>
              </w:rPr>
              <w:t>（3</w:t>
            </w:r>
            <w:r>
              <w:rPr>
                <w:rFonts w:hint="eastAsia"/>
                <w:b/>
                <w:bCs/>
                <w:kern w:val="0"/>
                <w:sz w:val="24"/>
                <w:lang w:bidi="ar"/>
              </w:rPr>
              <w:t>）</w:t>
            </w:r>
            <w:r>
              <w:rPr>
                <w:b/>
                <w:bCs/>
                <w:kern w:val="0"/>
                <w:sz w:val="24"/>
                <w:lang w:bidi="ar"/>
              </w:rPr>
              <w:t>汽车尾气</w:t>
            </w:r>
          </w:p>
          <w:p w14:paraId="6CF5AEBB">
            <w:pPr>
              <w:widowControl/>
              <w:spacing w:line="360" w:lineRule="auto"/>
              <w:ind w:firstLine="480" w:firstLineChars="200"/>
              <w:rPr>
                <w:kern w:val="0"/>
                <w:sz w:val="24"/>
                <w:lang w:bidi="ar"/>
              </w:rPr>
            </w:pPr>
            <w:r>
              <w:rPr>
                <w:kern w:val="0"/>
                <w:sz w:val="24"/>
                <w:lang w:bidi="ar"/>
              </w:rPr>
              <w:t>本项目转运站进出车辆行驶排放的汽车废气主要污染物因子有CO、NOX 等。本项目车辆在站内行驶速度慢、行驶距离及行车时间较短，汽车尾气排放量较小，对周围环境影响较小。</w:t>
            </w:r>
          </w:p>
          <w:p w14:paraId="283D35C5">
            <w:pPr>
              <w:widowControl/>
              <w:spacing w:line="360" w:lineRule="auto"/>
              <w:ind w:firstLine="482" w:firstLineChars="200"/>
              <w:jc w:val="left"/>
              <w:rPr>
                <w:b/>
                <w:bCs/>
                <w:kern w:val="0"/>
                <w:sz w:val="24"/>
                <w:lang w:bidi="ar"/>
              </w:rPr>
            </w:pPr>
            <w:r>
              <w:rPr>
                <w:b/>
                <w:bCs/>
                <w:kern w:val="0"/>
                <w:sz w:val="24"/>
                <w:lang w:bidi="ar"/>
              </w:rPr>
              <w:t>（4</w:t>
            </w:r>
            <w:r>
              <w:rPr>
                <w:rFonts w:hint="eastAsia"/>
                <w:b/>
                <w:bCs/>
                <w:kern w:val="0"/>
                <w:sz w:val="24"/>
                <w:lang w:bidi="ar"/>
              </w:rPr>
              <w:t>）</w:t>
            </w:r>
            <w:r>
              <w:rPr>
                <w:b/>
                <w:bCs/>
                <w:color w:val="000000"/>
                <w:kern w:val="0"/>
                <w:sz w:val="24"/>
                <w:lang w:bidi="ar"/>
              </w:rPr>
              <w:t>柴油发电机废气</w:t>
            </w:r>
          </w:p>
          <w:p w14:paraId="4F448787">
            <w:pPr>
              <w:widowControl/>
              <w:spacing w:line="360" w:lineRule="auto"/>
              <w:ind w:firstLine="480" w:firstLineChars="200"/>
              <w:jc w:val="left"/>
              <w:rPr>
                <w:rFonts w:hint="eastAsia" w:ascii="宋体" w:hAnsi="宋体" w:cs="宋体"/>
                <w:kern w:val="0"/>
                <w:sz w:val="24"/>
                <w:lang w:bidi="ar"/>
              </w:rPr>
            </w:pPr>
            <w:r>
              <w:rPr>
                <w:kern w:val="0"/>
                <w:sz w:val="24"/>
                <w:lang w:bidi="ar"/>
              </w:rPr>
              <w:t>柴油发电机作为消防和市政电网停电时</w:t>
            </w:r>
            <w:r>
              <w:rPr>
                <w:rFonts w:hint="eastAsia"/>
                <w:kern w:val="0"/>
                <w:sz w:val="24"/>
                <w:lang w:bidi="ar"/>
              </w:rPr>
              <w:t>垃圾中转站</w:t>
            </w:r>
            <w:r>
              <w:rPr>
                <w:kern w:val="0"/>
                <w:sz w:val="24"/>
                <w:lang w:bidi="ar"/>
              </w:rPr>
              <w:t>的应急电源，</w:t>
            </w:r>
            <w:r>
              <w:rPr>
                <w:sz w:val="24"/>
              </w:rPr>
              <w:t>采用0#柴油作为燃料</w:t>
            </w:r>
            <w:r>
              <w:rPr>
                <w:kern w:val="0"/>
                <w:sz w:val="24"/>
                <w:lang w:bidi="ar"/>
              </w:rPr>
              <w:t>，</w:t>
            </w:r>
            <w:r>
              <w:rPr>
                <w:sz w:val="24"/>
              </w:rPr>
              <w:t>主要污染物为烟尘、CO</w:t>
            </w:r>
            <w:r>
              <w:rPr>
                <w:sz w:val="24"/>
                <w:vertAlign w:val="subscript"/>
              </w:rPr>
              <w:t>2</w:t>
            </w:r>
            <w:r>
              <w:rPr>
                <w:sz w:val="24"/>
              </w:rPr>
              <w:t>、CO、HC、NOx、SO</w:t>
            </w:r>
            <w:r>
              <w:rPr>
                <w:sz w:val="24"/>
                <w:vertAlign w:val="subscript"/>
              </w:rPr>
              <w:t>2</w:t>
            </w:r>
            <w:r>
              <w:rPr>
                <w:sz w:val="24"/>
              </w:rPr>
              <w:t>等</w:t>
            </w:r>
            <w:r>
              <w:rPr>
                <w:rFonts w:hint="eastAsia" w:ascii="宋体" w:hAnsi="宋体" w:cs="宋体"/>
                <w:kern w:val="0"/>
                <w:sz w:val="24"/>
                <w:lang w:bidi="ar"/>
              </w:rPr>
              <w:t>。</w:t>
            </w:r>
          </w:p>
          <w:p w14:paraId="13103264">
            <w:pPr>
              <w:widowControl/>
              <w:spacing w:line="360" w:lineRule="auto"/>
              <w:ind w:firstLine="480" w:firstLineChars="200"/>
              <w:jc w:val="left"/>
              <w:rPr>
                <w:rFonts w:hint="eastAsia" w:ascii="宋体" w:hAnsi="宋体" w:cs="宋体"/>
                <w:kern w:val="0"/>
                <w:sz w:val="24"/>
                <w:lang w:bidi="ar"/>
              </w:rPr>
            </w:pPr>
            <w:r>
              <w:rPr>
                <w:rFonts w:hint="eastAsia" w:ascii="宋体" w:hAnsi="宋体" w:cs="宋体"/>
                <w:kern w:val="0"/>
                <w:sz w:val="24"/>
                <w:lang w:bidi="ar"/>
              </w:rPr>
              <w:t>综上，本项目产生的污染物源强如下：</w:t>
            </w:r>
          </w:p>
          <w:p w14:paraId="6F69F2D4">
            <w:pPr>
              <w:jc w:val="center"/>
              <w:rPr>
                <w:b/>
                <w:bCs/>
                <w:szCs w:val="21"/>
              </w:rPr>
            </w:pPr>
            <w:r>
              <w:rPr>
                <w:rFonts w:hint="eastAsia"/>
                <w:b/>
                <w:bCs/>
                <w:szCs w:val="21"/>
              </w:rPr>
              <w:t>表4-4  垃圾转运站污染物源强一览表</w:t>
            </w:r>
          </w:p>
          <w:tbl>
            <w:tblPr>
              <w:tblStyle w:val="70"/>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3"/>
              <w:gridCol w:w="963"/>
              <w:gridCol w:w="1438"/>
              <w:gridCol w:w="1331"/>
              <w:gridCol w:w="1595"/>
              <w:gridCol w:w="1319"/>
              <w:gridCol w:w="1260"/>
            </w:tblGrid>
            <w:tr w14:paraId="43345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32" w:type="pct"/>
                  <w:tcBorders>
                    <w:tl2br w:val="nil"/>
                    <w:tr2bl w:val="nil"/>
                  </w:tcBorders>
                  <w:vAlign w:val="center"/>
                </w:tcPr>
                <w:p w14:paraId="4E959A50">
                  <w:pPr>
                    <w:spacing w:line="320" w:lineRule="exact"/>
                    <w:jc w:val="center"/>
                    <w:rPr>
                      <w:b/>
                      <w:bCs/>
                      <w:szCs w:val="21"/>
                    </w:rPr>
                  </w:pPr>
                  <w:r>
                    <w:rPr>
                      <w:rFonts w:hint="eastAsia"/>
                      <w:b/>
                      <w:bCs/>
                      <w:szCs w:val="21"/>
                    </w:rPr>
                    <w:t>序号</w:t>
                  </w:r>
                </w:p>
              </w:tc>
              <w:tc>
                <w:tcPr>
                  <w:tcW w:w="568" w:type="pct"/>
                  <w:tcBorders>
                    <w:tl2br w:val="nil"/>
                    <w:tr2bl w:val="nil"/>
                  </w:tcBorders>
                  <w:vAlign w:val="center"/>
                </w:tcPr>
                <w:p w14:paraId="5C4DCD19">
                  <w:pPr>
                    <w:spacing w:line="320" w:lineRule="exact"/>
                    <w:jc w:val="center"/>
                    <w:rPr>
                      <w:b/>
                      <w:bCs/>
                      <w:szCs w:val="21"/>
                    </w:rPr>
                  </w:pPr>
                  <w:r>
                    <w:rPr>
                      <w:b/>
                      <w:bCs/>
                      <w:szCs w:val="21"/>
                    </w:rPr>
                    <w:t>工艺名称</w:t>
                  </w:r>
                </w:p>
              </w:tc>
              <w:tc>
                <w:tcPr>
                  <w:tcW w:w="848" w:type="pct"/>
                  <w:tcBorders>
                    <w:tl2br w:val="nil"/>
                    <w:tr2bl w:val="nil"/>
                  </w:tcBorders>
                  <w:vAlign w:val="center"/>
                </w:tcPr>
                <w:p w14:paraId="2FC21059">
                  <w:pPr>
                    <w:spacing w:line="320" w:lineRule="exact"/>
                    <w:jc w:val="center"/>
                    <w:rPr>
                      <w:b/>
                      <w:bCs/>
                      <w:szCs w:val="21"/>
                    </w:rPr>
                  </w:pPr>
                  <w:r>
                    <w:rPr>
                      <w:rFonts w:hint="eastAsia"/>
                      <w:b/>
                      <w:bCs/>
                      <w:szCs w:val="21"/>
                    </w:rPr>
                    <w:t>处理规模（t/d）</w:t>
                  </w:r>
                </w:p>
              </w:tc>
              <w:tc>
                <w:tcPr>
                  <w:tcW w:w="785" w:type="pct"/>
                  <w:tcBorders>
                    <w:tl2br w:val="nil"/>
                    <w:tr2bl w:val="nil"/>
                  </w:tcBorders>
                  <w:vAlign w:val="center"/>
                </w:tcPr>
                <w:p w14:paraId="42F9FF1F">
                  <w:pPr>
                    <w:spacing w:line="320" w:lineRule="exact"/>
                    <w:jc w:val="center"/>
                    <w:rPr>
                      <w:b/>
                      <w:bCs/>
                      <w:szCs w:val="21"/>
                    </w:rPr>
                  </w:pPr>
                  <w:r>
                    <w:rPr>
                      <w:rFonts w:hint="eastAsia"/>
                      <w:b/>
                      <w:bCs/>
                      <w:szCs w:val="21"/>
                    </w:rPr>
                    <w:t>污染物种类</w:t>
                  </w:r>
                </w:p>
              </w:tc>
              <w:tc>
                <w:tcPr>
                  <w:tcW w:w="941" w:type="pct"/>
                  <w:tcBorders>
                    <w:tl2br w:val="nil"/>
                    <w:tr2bl w:val="nil"/>
                  </w:tcBorders>
                  <w:shd w:val="clear" w:color="auto" w:fill="auto"/>
                  <w:vAlign w:val="center"/>
                </w:tcPr>
                <w:p w14:paraId="0BBD2B78">
                  <w:pPr>
                    <w:spacing w:line="320" w:lineRule="exact"/>
                    <w:jc w:val="center"/>
                    <w:rPr>
                      <w:b/>
                      <w:bCs/>
                      <w:szCs w:val="21"/>
                    </w:rPr>
                  </w:pPr>
                  <w:r>
                    <w:rPr>
                      <w:b/>
                      <w:bCs/>
                      <w:szCs w:val="21"/>
                    </w:rPr>
                    <w:t>产污系数</w:t>
                  </w:r>
                  <w:r>
                    <w:rPr>
                      <w:rFonts w:hint="eastAsia"/>
                      <w:b/>
                      <w:bCs/>
                      <w:szCs w:val="21"/>
                    </w:rPr>
                    <w:t>（</w:t>
                  </w:r>
                  <w:r>
                    <w:rPr>
                      <w:b/>
                      <w:bCs/>
                      <w:szCs w:val="21"/>
                    </w:rPr>
                    <w:t>g/t</w:t>
                  </w:r>
                  <w:r>
                    <w:rPr>
                      <w:rFonts w:hint="eastAsia"/>
                      <w:b/>
                      <w:bCs/>
                      <w:szCs w:val="21"/>
                    </w:rPr>
                    <w:t>）</w:t>
                  </w:r>
                </w:p>
              </w:tc>
              <w:tc>
                <w:tcPr>
                  <w:tcW w:w="778" w:type="pct"/>
                  <w:tcBorders>
                    <w:tl2br w:val="nil"/>
                    <w:tr2bl w:val="nil"/>
                  </w:tcBorders>
                  <w:vAlign w:val="center"/>
                </w:tcPr>
                <w:p w14:paraId="733960F3">
                  <w:pPr>
                    <w:spacing w:line="320" w:lineRule="exact"/>
                    <w:jc w:val="center"/>
                    <w:rPr>
                      <w:b/>
                      <w:bCs/>
                      <w:szCs w:val="21"/>
                    </w:rPr>
                  </w:pPr>
                  <w:r>
                    <w:rPr>
                      <w:rFonts w:hint="eastAsia"/>
                      <w:b/>
                      <w:bCs/>
                      <w:szCs w:val="21"/>
                    </w:rPr>
                    <w:t>产生速率（</w:t>
                  </w:r>
                  <w:r>
                    <w:rPr>
                      <w:rFonts w:hint="eastAsia"/>
                      <w:b/>
                      <w:bCs/>
                      <w:szCs w:val="21"/>
                      <w:lang w:eastAsia="zh-CN"/>
                    </w:rPr>
                    <w:t>kg</w:t>
                  </w:r>
                  <w:r>
                    <w:rPr>
                      <w:rFonts w:hint="eastAsia"/>
                      <w:b/>
                      <w:bCs/>
                      <w:szCs w:val="21"/>
                    </w:rPr>
                    <w:t>/h）</w:t>
                  </w:r>
                </w:p>
              </w:tc>
              <w:tc>
                <w:tcPr>
                  <w:tcW w:w="743" w:type="pct"/>
                  <w:tcBorders>
                    <w:tl2br w:val="nil"/>
                    <w:tr2bl w:val="nil"/>
                  </w:tcBorders>
                  <w:vAlign w:val="center"/>
                </w:tcPr>
                <w:p w14:paraId="7B49399E">
                  <w:pPr>
                    <w:spacing w:line="320" w:lineRule="exact"/>
                    <w:jc w:val="center"/>
                    <w:rPr>
                      <w:b/>
                      <w:bCs/>
                      <w:szCs w:val="21"/>
                    </w:rPr>
                  </w:pPr>
                  <w:r>
                    <w:rPr>
                      <w:rFonts w:hint="eastAsia"/>
                      <w:b/>
                      <w:bCs/>
                      <w:szCs w:val="21"/>
                    </w:rPr>
                    <w:t>产生量（t/a）</w:t>
                  </w:r>
                </w:p>
              </w:tc>
            </w:tr>
            <w:tr w14:paraId="4F447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2" w:type="pct"/>
                  <w:tcBorders>
                    <w:tl2br w:val="nil"/>
                    <w:tr2bl w:val="nil"/>
                  </w:tcBorders>
                  <w:shd w:val="clear" w:color="auto" w:fill="auto"/>
                  <w:vAlign w:val="center"/>
                </w:tcPr>
                <w:p w14:paraId="4B4484DD">
                  <w:pPr>
                    <w:spacing w:line="320" w:lineRule="exact"/>
                    <w:jc w:val="center"/>
                    <w:rPr>
                      <w:szCs w:val="21"/>
                    </w:rPr>
                  </w:pPr>
                  <w:r>
                    <w:rPr>
                      <w:szCs w:val="21"/>
                    </w:rPr>
                    <w:t>1</w:t>
                  </w:r>
                </w:p>
              </w:tc>
              <w:tc>
                <w:tcPr>
                  <w:tcW w:w="568" w:type="pct"/>
                  <w:vMerge w:val="restart"/>
                  <w:tcBorders>
                    <w:tl2br w:val="nil"/>
                    <w:tr2bl w:val="nil"/>
                  </w:tcBorders>
                  <w:vAlign w:val="center"/>
                </w:tcPr>
                <w:p w14:paraId="1EA9FE09">
                  <w:pPr>
                    <w:spacing w:line="320" w:lineRule="exact"/>
                    <w:jc w:val="center"/>
                    <w:rPr>
                      <w:szCs w:val="21"/>
                    </w:rPr>
                  </w:pPr>
                  <w:r>
                    <w:rPr>
                      <w:szCs w:val="21"/>
                    </w:rPr>
                    <w:t>垃圾</w:t>
                  </w:r>
                  <w:r>
                    <w:rPr>
                      <w:rFonts w:hint="eastAsia"/>
                      <w:szCs w:val="21"/>
                    </w:rPr>
                    <w:t>卸料、</w:t>
                  </w:r>
                  <w:r>
                    <w:rPr>
                      <w:szCs w:val="21"/>
                    </w:rPr>
                    <w:t>压缩</w:t>
                  </w:r>
                </w:p>
              </w:tc>
              <w:tc>
                <w:tcPr>
                  <w:tcW w:w="848" w:type="pct"/>
                  <w:vMerge w:val="restart"/>
                  <w:tcBorders>
                    <w:tl2br w:val="nil"/>
                    <w:tr2bl w:val="nil"/>
                  </w:tcBorders>
                  <w:vAlign w:val="center"/>
                </w:tcPr>
                <w:p w14:paraId="7A835A62">
                  <w:pPr>
                    <w:widowControl/>
                    <w:jc w:val="center"/>
                    <w:textAlignment w:val="center"/>
                    <w:rPr>
                      <w:szCs w:val="21"/>
                    </w:rPr>
                  </w:pPr>
                  <w:r>
                    <w:rPr>
                      <w:rFonts w:hint="eastAsia"/>
                      <w:szCs w:val="21"/>
                    </w:rPr>
                    <w:t>240</w:t>
                  </w:r>
                </w:p>
              </w:tc>
              <w:tc>
                <w:tcPr>
                  <w:tcW w:w="785" w:type="pct"/>
                  <w:tcBorders>
                    <w:tl2br w:val="nil"/>
                    <w:tr2bl w:val="nil"/>
                  </w:tcBorders>
                  <w:vAlign w:val="center"/>
                </w:tcPr>
                <w:p w14:paraId="1C2F6DDF">
                  <w:pPr>
                    <w:spacing w:line="320" w:lineRule="exact"/>
                    <w:jc w:val="center"/>
                    <w:rPr>
                      <w:szCs w:val="21"/>
                    </w:rPr>
                  </w:pPr>
                  <w:r>
                    <w:rPr>
                      <w:rFonts w:hint="eastAsia"/>
                      <w:szCs w:val="21"/>
                    </w:rPr>
                    <w:t>硫化氢</w:t>
                  </w:r>
                </w:p>
              </w:tc>
              <w:tc>
                <w:tcPr>
                  <w:tcW w:w="941" w:type="pct"/>
                  <w:tcBorders>
                    <w:tl2br w:val="nil"/>
                    <w:tr2bl w:val="nil"/>
                  </w:tcBorders>
                  <w:shd w:val="clear" w:color="auto" w:fill="auto"/>
                  <w:vAlign w:val="center"/>
                </w:tcPr>
                <w:p w14:paraId="6296B8AF">
                  <w:pPr>
                    <w:spacing w:line="320" w:lineRule="exact"/>
                    <w:jc w:val="center"/>
                    <w:rPr>
                      <w:szCs w:val="21"/>
                    </w:rPr>
                  </w:pPr>
                  <w:r>
                    <w:rPr>
                      <w:rFonts w:hint="eastAsia"/>
                      <w:szCs w:val="21"/>
                    </w:rPr>
                    <w:t>6.2</w:t>
                  </w:r>
                </w:p>
              </w:tc>
              <w:tc>
                <w:tcPr>
                  <w:tcW w:w="778" w:type="pct"/>
                  <w:tcBorders>
                    <w:tl2br w:val="nil"/>
                    <w:tr2bl w:val="nil"/>
                  </w:tcBorders>
                  <w:vAlign w:val="center"/>
                </w:tcPr>
                <w:p w14:paraId="4B380603">
                  <w:pPr>
                    <w:widowControl/>
                    <w:jc w:val="center"/>
                    <w:textAlignment w:val="center"/>
                    <w:rPr>
                      <w:szCs w:val="21"/>
                    </w:rPr>
                  </w:pPr>
                  <w:r>
                    <w:rPr>
                      <w:rFonts w:hint="eastAsia"/>
                      <w:szCs w:val="21"/>
                    </w:rPr>
                    <w:t>0.186</w:t>
                  </w:r>
                </w:p>
              </w:tc>
              <w:tc>
                <w:tcPr>
                  <w:tcW w:w="743" w:type="pct"/>
                  <w:tcBorders>
                    <w:tl2br w:val="nil"/>
                    <w:tr2bl w:val="nil"/>
                  </w:tcBorders>
                  <w:vAlign w:val="center"/>
                </w:tcPr>
                <w:p w14:paraId="3F4B8545">
                  <w:pPr>
                    <w:widowControl/>
                    <w:jc w:val="center"/>
                    <w:textAlignment w:val="center"/>
                    <w:rPr>
                      <w:szCs w:val="21"/>
                    </w:rPr>
                  </w:pPr>
                  <w:r>
                    <w:rPr>
                      <w:rFonts w:hint="eastAsia"/>
                      <w:szCs w:val="21"/>
                    </w:rPr>
                    <w:t>0.54</w:t>
                  </w:r>
                </w:p>
              </w:tc>
            </w:tr>
            <w:tr w14:paraId="342C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32" w:type="pct"/>
                  <w:tcBorders>
                    <w:tl2br w:val="nil"/>
                    <w:tr2bl w:val="nil"/>
                  </w:tcBorders>
                  <w:shd w:val="clear" w:color="auto" w:fill="auto"/>
                  <w:vAlign w:val="center"/>
                </w:tcPr>
                <w:p w14:paraId="1160DCA8">
                  <w:pPr>
                    <w:spacing w:line="320" w:lineRule="exact"/>
                    <w:jc w:val="center"/>
                    <w:rPr>
                      <w:szCs w:val="21"/>
                    </w:rPr>
                  </w:pPr>
                  <w:r>
                    <w:rPr>
                      <w:rFonts w:hint="eastAsia"/>
                      <w:szCs w:val="21"/>
                    </w:rPr>
                    <w:t>2</w:t>
                  </w:r>
                </w:p>
              </w:tc>
              <w:tc>
                <w:tcPr>
                  <w:tcW w:w="568" w:type="pct"/>
                  <w:vMerge w:val="continue"/>
                  <w:tcBorders>
                    <w:tl2br w:val="nil"/>
                    <w:tr2bl w:val="nil"/>
                  </w:tcBorders>
                  <w:vAlign w:val="center"/>
                </w:tcPr>
                <w:p w14:paraId="4BFDCE3B">
                  <w:pPr>
                    <w:spacing w:line="320" w:lineRule="exact"/>
                    <w:jc w:val="center"/>
                    <w:rPr>
                      <w:szCs w:val="21"/>
                    </w:rPr>
                  </w:pPr>
                </w:p>
              </w:tc>
              <w:tc>
                <w:tcPr>
                  <w:tcW w:w="848" w:type="pct"/>
                  <w:vMerge w:val="continue"/>
                  <w:tcBorders>
                    <w:tl2br w:val="nil"/>
                    <w:tr2bl w:val="nil"/>
                  </w:tcBorders>
                  <w:vAlign w:val="center"/>
                </w:tcPr>
                <w:p w14:paraId="62DD85EC">
                  <w:pPr>
                    <w:widowControl/>
                    <w:jc w:val="center"/>
                    <w:textAlignment w:val="center"/>
                    <w:rPr>
                      <w:szCs w:val="21"/>
                    </w:rPr>
                  </w:pPr>
                </w:p>
              </w:tc>
              <w:tc>
                <w:tcPr>
                  <w:tcW w:w="785" w:type="pct"/>
                  <w:tcBorders>
                    <w:tl2br w:val="nil"/>
                    <w:tr2bl w:val="nil"/>
                  </w:tcBorders>
                  <w:vAlign w:val="center"/>
                </w:tcPr>
                <w:p w14:paraId="67679C6D">
                  <w:pPr>
                    <w:spacing w:line="320" w:lineRule="exact"/>
                    <w:jc w:val="center"/>
                    <w:rPr>
                      <w:szCs w:val="21"/>
                    </w:rPr>
                  </w:pPr>
                  <w:r>
                    <w:rPr>
                      <w:rFonts w:hint="eastAsia"/>
                      <w:szCs w:val="21"/>
                    </w:rPr>
                    <w:t>氨气</w:t>
                  </w:r>
                </w:p>
              </w:tc>
              <w:tc>
                <w:tcPr>
                  <w:tcW w:w="941" w:type="pct"/>
                  <w:tcBorders>
                    <w:tl2br w:val="nil"/>
                    <w:tr2bl w:val="nil"/>
                  </w:tcBorders>
                  <w:shd w:val="clear" w:color="auto" w:fill="auto"/>
                  <w:vAlign w:val="center"/>
                </w:tcPr>
                <w:p w14:paraId="0CE8FECE">
                  <w:pPr>
                    <w:spacing w:line="320" w:lineRule="exact"/>
                    <w:jc w:val="center"/>
                    <w:rPr>
                      <w:szCs w:val="21"/>
                    </w:rPr>
                  </w:pPr>
                  <w:r>
                    <w:rPr>
                      <w:rFonts w:hint="eastAsia"/>
                      <w:szCs w:val="21"/>
                    </w:rPr>
                    <w:t>65.09</w:t>
                  </w:r>
                </w:p>
              </w:tc>
              <w:tc>
                <w:tcPr>
                  <w:tcW w:w="778" w:type="pct"/>
                  <w:tcBorders>
                    <w:tl2br w:val="nil"/>
                    <w:tr2bl w:val="nil"/>
                  </w:tcBorders>
                  <w:vAlign w:val="center"/>
                </w:tcPr>
                <w:p w14:paraId="6183EC51">
                  <w:pPr>
                    <w:widowControl/>
                    <w:jc w:val="center"/>
                    <w:textAlignment w:val="center"/>
                    <w:rPr>
                      <w:szCs w:val="21"/>
                    </w:rPr>
                  </w:pPr>
                  <w:r>
                    <w:rPr>
                      <w:rFonts w:hint="eastAsia"/>
                      <w:szCs w:val="21"/>
                    </w:rPr>
                    <w:t>1.953</w:t>
                  </w:r>
                </w:p>
              </w:tc>
              <w:tc>
                <w:tcPr>
                  <w:tcW w:w="743" w:type="pct"/>
                  <w:tcBorders>
                    <w:tl2br w:val="nil"/>
                    <w:tr2bl w:val="nil"/>
                  </w:tcBorders>
                  <w:vAlign w:val="center"/>
                </w:tcPr>
                <w:p w14:paraId="1D0DC435">
                  <w:pPr>
                    <w:widowControl/>
                    <w:jc w:val="center"/>
                    <w:textAlignment w:val="center"/>
                    <w:rPr>
                      <w:szCs w:val="21"/>
                    </w:rPr>
                  </w:pPr>
                  <w:r>
                    <w:rPr>
                      <w:rFonts w:hint="eastAsia"/>
                      <w:szCs w:val="21"/>
                    </w:rPr>
                    <w:t>5.7</w:t>
                  </w:r>
                </w:p>
              </w:tc>
            </w:tr>
            <w:tr w14:paraId="0418C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32" w:type="pct"/>
                  <w:tcBorders>
                    <w:tl2br w:val="nil"/>
                    <w:tr2bl w:val="nil"/>
                  </w:tcBorders>
                  <w:shd w:val="clear" w:color="auto" w:fill="auto"/>
                  <w:vAlign w:val="center"/>
                </w:tcPr>
                <w:p w14:paraId="39469B4D">
                  <w:pPr>
                    <w:spacing w:line="320" w:lineRule="exact"/>
                    <w:jc w:val="center"/>
                    <w:rPr>
                      <w:szCs w:val="21"/>
                    </w:rPr>
                  </w:pPr>
                  <w:r>
                    <w:rPr>
                      <w:rFonts w:hint="eastAsia"/>
                      <w:szCs w:val="21"/>
                    </w:rPr>
                    <w:t>3</w:t>
                  </w:r>
                </w:p>
              </w:tc>
              <w:tc>
                <w:tcPr>
                  <w:tcW w:w="568" w:type="pct"/>
                  <w:vMerge w:val="continue"/>
                  <w:tcBorders>
                    <w:tl2br w:val="nil"/>
                    <w:tr2bl w:val="nil"/>
                  </w:tcBorders>
                  <w:vAlign w:val="center"/>
                </w:tcPr>
                <w:p w14:paraId="64C0B788">
                  <w:pPr>
                    <w:spacing w:line="320" w:lineRule="exact"/>
                    <w:jc w:val="center"/>
                    <w:rPr>
                      <w:szCs w:val="21"/>
                    </w:rPr>
                  </w:pPr>
                </w:p>
              </w:tc>
              <w:tc>
                <w:tcPr>
                  <w:tcW w:w="848" w:type="pct"/>
                  <w:vMerge w:val="continue"/>
                  <w:tcBorders>
                    <w:tl2br w:val="nil"/>
                    <w:tr2bl w:val="nil"/>
                  </w:tcBorders>
                  <w:vAlign w:val="center"/>
                </w:tcPr>
                <w:p w14:paraId="504DBF16">
                  <w:pPr>
                    <w:widowControl/>
                    <w:jc w:val="center"/>
                    <w:textAlignment w:val="center"/>
                    <w:rPr>
                      <w:szCs w:val="21"/>
                    </w:rPr>
                  </w:pPr>
                </w:p>
              </w:tc>
              <w:tc>
                <w:tcPr>
                  <w:tcW w:w="785" w:type="pct"/>
                  <w:tcBorders>
                    <w:tl2br w:val="nil"/>
                    <w:tr2bl w:val="nil"/>
                  </w:tcBorders>
                  <w:shd w:val="clear" w:color="auto" w:fill="auto"/>
                  <w:vAlign w:val="center"/>
                </w:tcPr>
                <w:p w14:paraId="51A8914C">
                  <w:pPr>
                    <w:spacing w:line="320" w:lineRule="exact"/>
                    <w:jc w:val="center"/>
                    <w:rPr>
                      <w:szCs w:val="21"/>
                    </w:rPr>
                  </w:pPr>
                  <w:r>
                    <w:rPr>
                      <w:rFonts w:hint="eastAsia"/>
                      <w:szCs w:val="21"/>
                    </w:rPr>
                    <w:t>颗粒物</w:t>
                  </w:r>
                </w:p>
              </w:tc>
              <w:tc>
                <w:tcPr>
                  <w:tcW w:w="941" w:type="pct"/>
                  <w:tcBorders>
                    <w:tl2br w:val="nil"/>
                    <w:tr2bl w:val="nil"/>
                  </w:tcBorders>
                  <w:shd w:val="clear" w:color="auto" w:fill="auto"/>
                  <w:vAlign w:val="center"/>
                </w:tcPr>
                <w:p w14:paraId="4ADAF670">
                  <w:pPr>
                    <w:spacing w:line="320" w:lineRule="exact"/>
                    <w:jc w:val="center"/>
                    <w:rPr>
                      <w:szCs w:val="21"/>
                    </w:rPr>
                  </w:pPr>
                  <w:r>
                    <w:rPr>
                      <w:rFonts w:hint="eastAsia"/>
                      <w:szCs w:val="21"/>
                    </w:rPr>
                    <w:t>45.8</w:t>
                  </w:r>
                </w:p>
              </w:tc>
              <w:tc>
                <w:tcPr>
                  <w:tcW w:w="778" w:type="pct"/>
                  <w:tcBorders>
                    <w:tl2br w:val="nil"/>
                    <w:tr2bl w:val="nil"/>
                  </w:tcBorders>
                  <w:vAlign w:val="center"/>
                </w:tcPr>
                <w:p w14:paraId="4D2CFAC2">
                  <w:pPr>
                    <w:widowControl/>
                    <w:jc w:val="center"/>
                    <w:textAlignment w:val="center"/>
                    <w:rPr>
                      <w:szCs w:val="21"/>
                    </w:rPr>
                  </w:pPr>
                  <w:r>
                    <w:rPr>
                      <w:rFonts w:hint="eastAsia"/>
                      <w:szCs w:val="21"/>
                    </w:rPr>
                    <w:t>1.374</w:t>
                  </w:r>
                </w:p>
              </w:tc>
              <w:tc>
                <w:tcPr>
                  <w:tcW w:w="743" w:type="pct"/>
                  <w:tcBorders>
                    <w:tl2br w:val="nil"/>
                    <w:tr2bl w:val="nil"/>
                  </w:tcBorders>
                  <w:vAlign w:val="center"/>
                </w:tcPr>
                <w:p w14:paraId="519CB6AC">
                  <w:pPr>
                    <w:widowControl/>
                    <w:jc w:val="center"/>
                    <w:textAlignment w:val="center"/>
                    <w:rPr>
                      <w:szCs w:val="21"/>
                    </w:rPr>
                  </w:pPr>
                  <w:r>
                    <w:rPr>
                      <w:rFonts w:hint="eastAsia"/>
                      <w:szCs w:val="21"/>
                    </w:rPr>
                    <w:t>4.01</w:t>
                  </w:r>
                </w:p>
              </w:tc>
            </w:tr>
            <w:tr w14:paraId="424EE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32" w:type="pct"/>
                  <w:tcBorders>
                    <w:tl2br w:val="nil"/>
                    <w:tr2bl w:val="nil"/>
                  </w:tcBorders>
                  <w:shd w:val="clear" w:color="auto" w:fill="auto"/>
                  <w:vAlign w:val="center"/>
                </w:tcPr>
                <w:p w14:paraId="45C896A0">
                  <w:pPr>
                    <w:spacing w:line="320" w:lineRule="exact"/>
                    <w:jc w:val="center"/>
                    <w:rPr>
                      <w:szCs w:val="21"/>
                    </w:rPr>
                  </w:pPr>
                  <w:r>
                    <w:rPr>
                      <w:rFonts w:hint="eastAsia"/>
                      <w:szCs w:val="21"/>
                    </w:rPr>
                    <w:t>4</w:t>
                  </w:r>
                </w:p>
              </w:tc>
              <w:tc>
                <w:tcPr>
                  <w:tcW w:w="568" w:type="pct"/>
                  <w:vMerge w:val="restart"/>
                  <w:tcBorders>
                    <w:tl2br w:val="nil"/>
                    <w:tr2bl w:val="nil"/>
                  </w:tcBorders>
                  <w:vAlign w:val="center"/>
                </w:tcPr>
                <w:p w14:paraId="3B474680">
                  <w:pPr>
                    <w:spacing w:line="320" w:lineRule="exact"/>
                    <w:jc w:val="center"/>
                    <w:rPr>
                      <w:szCs w:val="21"/>
                    </w:rPr>
                  </w:pPr>
                  <w:r>
                    <w:rPr>
                      <w:rFonts w:hint="eastAsia"/>
                      <w:szCs w:val="21"/>
                    </w:rPr>
                    <w:t>废水处理</w:t>
                  </w:r>
                </w:p>
              </w:tc>
              <w:tc>
                <w:tcPr>
                  <w:tcW w:w="848" w:type="pct"/>
                  <w:vMerge w:val="restart"/>
                  <w:tcBorders>
                    <w:tl2br w:val="nil"/>
                    <w:tr2bl w:val="nil"/>
                  </w:tcBorders>
                  <w:vAlign w:val="center"/>
                </w:tcPr>
                <w:p w14:paraId="38687631">
                  <w:pPr>
                    <w:widowControl/>
                    <w:jc w:val="center"/>
                    <w:textAlignment w:val="center"/>
                    <w:rPr>
                      <w:szCs w:val="21"/>
                    </w:rPr>
                  </w:pPr>
                  <w:r>
                    <w:rPr>
                      <w:rFonts w:hint="eastAsia"/>
                      <w:szCs w:val="21"/>
                    </w:rPr>
                    <w:t>20</w:t>
                  </w:r>
                </w:p>
              </w:tc>
              <w:tc>
                <w:tcPr>
                  <w:tcW w:w="785" w:type="pct"/>
                  <w:tcBorders>
                    <w:tl2br w:val="nil"/>
                    <w:tr2bl w:val="nil"/>
                  </w:tcBorders>
                  <w:shd w:val="clear" w:color="auto" w:fill="auto"/>
                  <w:vAlign w:val="center"/>
                </w:tcPr>
                <w:p w14:paraId="1A8AF98A">
                  <w:pPr>
                    <w:spacing w:line="320" w:lineRule="exact"/>
                    <w:jc w:val="center"/>
                    <w:rPr>
                      <w:szCs w:val="21"/>
                    </w:rPr>
                  </w:pPr>
                  <w:r>
                    <w:rPr>
                      <w:rFonts w:hint="eastAsia"/>
                      <w:szCs w:val="21"/>
                    </w:rPr>
                    <w:t>硫化氢</w:t>
                  </w:r>
                </w:p>
              </w:tc>
              <w:tc>
                <w:tcPr>
                  <w:tcW w:w="941" w:type="pct"/>
                  <w:tcBorders>
                    <w:tl2br w:val="nil"/>
                    <w:tr2bl w:val="nil"/>
                  </w:tcBorders>
                  <w:shd w:val="clear" w:color="auto" w:fill="auto"/>
                  <w:vAlign w:val="center"/>
                </w:tcPr>
                <w:p w14:paraId="6093DE66">
                  <w:pPr>
                    <w:spacing w:line="320" w:lineRule="exact"/>
                    <w:jc w:val="center"/>
                    <w:rPr>
                      <w:szCs w:val="21"/>
                    </w:rPr>
                  </w:pPr>
                  <w:r>
                    <w:rPr>
                      <w:rFonts w:hint="eastAsia"/>
                      <w:szCs w:val="21"/>
                    </w:rPr>
                    <w:t>/</w:t>
                  </w:r>
                </w:p>
              </w:tc>
              <w:tc>
                <w:tcPr>
                  <w:tcW w:w="778" w:type="pct"/>
                  <w:tcBorders>
                    <w:tl2br w:val="nil"/>
                    <w:tr2bl w:val="nil"/>
                  </w:tcBorders>
                  <w:vAlign w:val="center"/>
                </w:tcPr>
                <w:p w14:paraId="23C7E2E5">
                  <w:pPr>
                    <w:widowControl/>
                    <w:jc w:val="center"/>
                    <w:textAlignment w:val="center"/>
                    <w:rPr>
                      <w:kern w:val="0"/>
                      <w:szCs w:val="21"/>
                      <w:lang w:bidi="ar"/>
                    </w:rPr>
                  </w:pPr>
                  <w:r>
                    <w:rPr>
                      <w:rFonts w:hint="eastAsia"/>
                      <w:kern w:val="0"/>
                      <w:szCs w:val="21"/>
                      <w:lang w:bidi="ar"/>
                    </w:rPr>
                    <w:t>0.003</w:t>
                  </w:r>
                </w:p>
              </w:tc>
              <w:tc>
                <w:tcPr>
                  <w:tcW w:w="743" w:type="pct"/>
                  <w:tcBorders>
                    <w:tl2br w:val="nil"/>
                    <w:tr2bl w:val="nil"/>
                  </w:tcBorders>
                  <w:vAlign w:val="center"/>
                </w:tcPr>
                <w:p w14:paraId="46583DFD">
                  <w:pPr>
                    <w:widowControl/>
                    <w:jc w:val="center"/>
                    <w:textAlignment w:val="center"/>
                    <w:rPr>
                      <w:kern w:val="0"/>
                      <w:szCs w:val="21"/>
                      <w:lang w:bidi="ar"/>
                    </w:rPr>
                  </w:pPr>
                  <w:r>
                    <w:rPr>
                      <w:rFonts w:hint="eastAsia"/>
                      <w:kern w:val="0"/>
                      <w:szCs w:val="21"/>
                      <w:lang w:bidi="ar"/>
                    </w:rPr>
                    <w:t>0.01</w:t>
                  </w:r>
                </w:p>
              </w:tc>
            </w:tr>
            <w:tr w14:paraId="4AD7B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32" w:type="pct"/>
                  <w:tcBorders>
                    <w:tl2br w:val="nil"/>
                    <w:tr2bl w:val="nil"/>
                  </w:tcBorders>
                  <w:shd w:val="clear" w:color="auto" w:fill="auto"/>
                  <w:vAlign w:val="center"/>
                </w:tcPr>
                <w:p w14:paraId="6736C66E">
                  <w:pPr>
                    <w:spacing w:line="320" w:lineRule="exact"/>
                    <w:jc w:val="center"/>
                    <w:rPr>
                      <w:szCs w:val="21"/>
                    </w:rPr>
                  </w:pPr>
                  <w:r>
                    <w:rPr>
                      <w:rFonts w:hint="eastAsia"/>
                      <w:szCs w:val="21"/>
                    </w:rPr>
                    <w:t>5</w:t>
                  </w:r>
                </w:p>
              </w:tc>
              <w:tc>
                <w:tcPr>
                  <w:tcW w:w="568" w:type="pct"/>
                  <w:vMerge w:val="continue"/>
                  <w:tcBorders>
                    <w:tl2br w:val="nil"/>
                    <w:tr2bl w:val="nil"/>
                  </w:tcBorders>
                  <w:vAlign w:val="center"/>
                </w:tcPr>
                <w:p w14:paraId="3B6761B2">
                  <w:pPr>
                    <w:spacing w:line="320" w:lineRule="exact"/>
                    <w:jc w:val="center"/>
                    <w:rPr>
                      <w:szCs w:val="21"/>
                    </w:rPr>
                  </w:pPr>
                </w:p>
              </w:tc>
              <w:tc>
                <w:tcPr>
                  <w:tcW w:w="848" w:type="pct"/>
                  <w:vMerge w:val="continue"/>
                  <w:tcBorders>
                    <w:tl2br w:val="nil"/>
                    <w:tr2bl w:val="nil"/>
                  </w:tcBorders>
                  <w:vAlign w:val="center"/>
                </w:tcPr>
                <w:p w14:paraId="081BCD8C">
                  <w:pPr>
                    <w:widowControl/>
                    <w:jc w:val="center"/>
                    <w:textAlignment w:val="center"/>
                    <w:rPr>
                      <w:szCs w:val="21"/>
                    </w:rPr>
                  </w:pPr>
                </w:p>
              </w:tc>
              <w:tc>
                <w:tcPr>
                  <w:tcW w:w="785" w:type="pct"/>
                  <w:tcBorders>
                    <w:tl2br w:val="nil"/>
                    <w:tr2bl w:val="nil"/>
                  </w:tcBorders>
                  <w:shd w:val="clear" w:color="auto" w:fill="auto"/>
                  <w:vAlign w:val="center"/>
                </w:tcPr>
                <w:p w14:paraId="2DA92C35">
                  <w:pPr>
                    <w:spacing w:line="320" w:lineRule="exact"/>
                    <w:jc w:val="center"/>
                    <w:rPr>
                      <w:szCs w:val="21"/>
                    </w:rPr>
                  </w:pPr>
                  <w:r>
                    <w:rPr>
                      <w:rFonts w:hint="eastAsia"/>
                      <w:szCs w:val="21"/>
                    </w:rPr>
                    <w:t>氨气</w:t>
                  </w:r>
                </w:p>
              </w:tc>
              <w:tc>
                <w:tcPr>
                  <w:tcW w:w="941" w:type="pct"/>
                  <w:tcBorders>
                    <w:tl2br w:val="nil"/>
                    <w:tr2bl w:val="nil"/>
                  </w:tcBorders>
                  <w:shd w:val="clear" w:color="auto" w:fill="auto"/>
                  <w:vAlign w:val="center"/>
                </w:tcPr>
                <w:p w14:paraId="4E11B782">
                  <w:pPr>
                    <w:spacing w:line="320" w:lineRule="exact"/>
                    <w:jc w:val="center"/>
                    <w:rPr>
                      <w:szCs w:val="21"/>
                    </w:rPr>
                  </w:pPr>
                  <w:r>
                    <w:rPr>
                      <w:rFonts w:hint="eastAsia"/>
                      <w:szCs w:val="21"/>
                    </w:rPr>
                    <w:t>/</w:t>
                  </w:r>
                </w:p>
              </w:tc>
              <w:tc>
                <w:tcPr>
                  <w:tcW w:w="778" w:type="pct"/>
                  <w:tcBorders>
                    <w:tl2br w:val="nil"/>
                    <w:tr2bl w:val="nil"/>
                  </w:tcBorders>
                  <w:vAlign w:val="center"/>
                </w:tcPr>
                <w:p w14:paraId="18B9D04B">
                  <w:pPr>
                    <w:widowControl/>
                    <w:jc w:val="center"/>
                    <w:textAlignment w:val="center"/>
                    <w:rPr>
                      <w:kern w:val="0"/>
                      <w:szCs w:val="21"/>
                      <w:lang w:bidi="ar"/>
                    </w:rPr>
                  </w:pPr>
                  <w:r>
                    <w:rPr>
                      <w:rFonts w:hint="eastAsia"/>
                      <w:kern w:val="0"/>
                      <w:szCs w:val="21"/>
                      <w:lang w:bidi="ar"/>
                    </w:rPr>
                    <w:t>0.076</w:t>
                  </w:r>
                </w:p>
              </w:tc>
              <w:tc>
                <w:tcPr>
                  <w:tcW w:w="743" w:type="pct"/>
                  <w:tcBorders>
                    <w:tl2br w:val="nil"/>
                    <w:tr2bl w:val="nil"/>
                  </w:tcBorders>
                  <w:vAlign w:val="center"/>
                </w:tcPr>
                <w:p w14:paraId="2B788D76">
                  <w:pPr>
                    <w:widowControl/>
                    <w:jc w:val="center"/>
                    <w:textAlignment w:val="center"/>
                    <w:rPr>
                      <w:kern w:val="0"/>
                      <w:szCs w:val="21"/>
                      <w:lang w:bidi="ar"/>
                    </w:rPr>
                  </w:pPr>
                  <w:r>
                    <w:rPr>
                      <w:rFonts w:hint="eastAsia"/>
                      <w:kern w:val="0"/>
                      <w:szCs w:val="21"/>
                      <w:lang w:bidi="ar"/>
                    </w:rPr>
                    <w:t>0.22</w:t>
                  </w:r>
                </w:p>
              </w:tc>
            </w:tr>
          </w:tbl>
          <w:p w14:paraId="5043848A">
            <w:pPr>
              <w:widowControl/>
              <w:spacing w:line="360" w:lineRule="auto"/>
              <w:ind w:firstLine="480" w:firstLineChars="200"/>
              <w:jc w:val="left"/>
              <w:rPr>
                <w:kern w:val="0"/>
                <w:sz w:val="24"/>
                <w:lang w:bidi="ar"/>
              </w:rPr>
            </w:pPr>
            <w:r>
              <w:rPr>
                <w:rFonts w:hint="eastAsia"/>
                <w:kern w:val="0"/>
                <w:sz w:val="24"/>
                <w:lang w:bidi="ar"/>
              </w:rPr>
              <w:t>综上，硫化氢最大产生速率为0.189</w:t>
            </w:r>
            <w:r>
              <w:rPr>
                <w:kern w:val="0"/>
                <w:sz w:val="24"/>
                <w:lang w:bidi="ar"/>
              </w:rPr>
              <w:t>kg/</w:t>
            </w:r>
            <w:r>
              <w:rPr>
                <w:rFonts w:hint="eastAsia"/>
                <w:kern w:val="0"/>
                <w:sz w:val="24"/>
                <w:lang w:bidi="ar"/>
              </w:rPr>
              <w:t>h，氨气最大产生速率为2.209</w:t>
            </w:r>
            <w:r>
              <w:rPr>
                <w:kern w:val="0"/>
                <w:sz w:val="24"/>
                <w:lang w:bidi="ar"/>
              </w:rPr>
              <w:t>kg/</w:t>
            </w:r>
            <w:r>
              <w:rPr>
                <w:rFonts w:hint="eastAsia"/>
                <w:kern w:val="0"/>
                <w:sz w:val="24"/>
                <w:lang w:bidi="ar"/>
              </w:rPr>
              <w:t>h，颗粒物最大产生速率为1.099</w:t>
            </w:r>
            <w:r>
              <w:rPr>
                <w:rFonts w:hint="eastAsia"/>
                <w:kern w:val="0"/>
                <w:sz w:val="24"/>
                <w:lang w:eastAsia="zh-CN" w:bidi="ar"/>
              </w:rPr>
              <w:t>kg</w:t>
            </w:r>
            <w:r>
              <w:rPr>
                <w:rFonts w:hint="eastAsia"/>
                <w:kern w:val="0"/>
                <w:sz w:val="24"/>
                <w:lang w:bidi="ar"/>
              </w:rPr>
              <w:t>/h。</w:t>
            </w:r>
          </w:p>
          <w:p w14:paraId="494089AF">
            <w:pPr>
              <w:widowControl/>
              <w:spacing w:line="360" w:lineRule="auto"/>
              <w:ind w:firstLine="482" w:firstLineChars="200"/>
              <w:jc w:val="left"/>
              <w:rPr>
                <w:kern w:val="0"/>
                <w:sz w:val="24"/>
                <w:lang w:bidi="ar"/>
              </w:rPr>
            </w:pPr>
            <w:r>
              <w:rPr>
                <w:rFonts w:hint="eastAsia"/>
                <w:b/>
                <w:bCs/>
                <w:kern w:val="0"/>
                <w:sz w:val="24"/>
                <w:lang w:bidi="ar"/>
              </w:rPr>
              <w:t>2、</w:t>
            </w:r>
            <w:r>
              <w:rPr>
                <w:b/>
                <w:bCs/>
                <w:sz w:val="24"/>
              </w:rPr>
              <w:t>治理措施</w:t>
            </w:r>
          </w:p>
          <w:p w14:paraId="4BEED976">
            <w:pPr>
              <w:spacing w:line="360" w:lineRule="auto"/>
              <w:ind w:firstLine="480" w:firstLineChars="200"/>
              <w:rPr>
                <w:sz w:val="24"/>
                <w:lang w:bidi="ar"/>
              </w:rPr>
            </w:pPr>
            <w:r>
              <w:rPr>
                <w:rFonts w:hint="eastAsia"/>
                <w:sz w:val="24"/>
                <w:lang w:bidi="ar"/>
              </w:rPr>
              <w:t>（1）垃圾卸料、压缩及污水处理系统产生的废气治理措施</w:t>
            </w:r>
          </w:p>
          <w:p w14:paraId="25196A5F">
            <w:pPr>
              <w:spacing w:line="360" w:lineRule="auto"/>
              <w:ind w:firstLine="480" w:firstLineChars="200"/>
              <w:rPr>
                <w:sz w:val="24"/>
                <w:lang w:bidi="ar"/>
              </w:rPr>
            </w:pPr>
            <w:r>
              <w:rPr>
                <w:rFonts w:hint="eastAsia"/>
                <w:sz w:val="24"/>
                <w:lang w:bidi="ar"/>
              </w:rPr>
              <w:t>根据建设单位提供资料，本项目转运站车间采用负压除尘除臭系统，通过负压系统整体抽吸恶臭气体后压入除尘除臭处理系统中，废气经处理后通过一根</w:t>
            </w:r>
            <w:r>
              <w:rPr>
                <w:sz w:val="24"/>
                <w:lang w:bidi="ar"/>
              </w:rPr>
              <w:t>15m</w:t>
            </w:r>
            <w:r>
              <w:rPr>
                <w:rFonts w:hint="eastAsia"/>
                <w:sz w:val="24"/>
                <w:lang w:bidi="ar"/>
              </w:rPr>
              <w:t xml:space="preserve">高排气筒高空排放，未收集的废气呈无组织排放，排放的同时辅以植物液喷雾除臭系统进行辅助除臭。 </w:t>
            </w:r>
          </w:p>
          <w:p w14:paraId="5B128491">
            <w:pPr>
              <w:spacing w:line="360" w:lineRule="auto"/>
              <w:ind w:firstLine="480" w:firstLineChars="200"/>
              <w:rPr>
                <w:sz w:val="24"/>
                <w:lang w:bidi="ar"/>
              </w:rPr>
            </w:pPr>
            <w:r>
              <w:rPr>
                <w:rFonts w:hint="eastAsia"/>
                <w:sz w:val="24"/>
                <w:lang w:bidi="ar"/>
              </w:rPr>
              <w:t>空间喷雾处理：卸料间是废气产生源头，在负压收集时仍然会有少部分废气外溢到空气中，使用除味工作液的高压喷雾（间歇式）设备系统可以将此部分外溢到空间当中的废气进行吸收，减少无组织排放。</w:t>
            </w:r>
          </w:p>
          <w:p w14:paraId="7074A882">
            <w:pPr>
              <w:spacing w:line="360" w:lineRule="auto"/>
              <w:ind w:firstLine="482" w:firstLineChars="200"/>
              <w:rPr>
                <w:b/>
                <w:bCs/>
                <w:sz w:val="24"/>
                <w:lang w:bidi="ar"/>
              </w:rPr>
            </w:pPr>
            <w:r>
              <w:rPr>
                <w:rFonts w:hint="eastAsia"/>
                <w:b/>
                <w:bCs/>
                <w:sz w:val="24"/>
                <w:lang w:bidi="ar"/>
              </w:rPr>
              <w:t>除臭风机风量校核：</w:t>
            </w:r>
          </w:p>
          <w:p w14:paraId="46716A67">
            <w:pPr>
              <w:spacing w:line="360" w:lineRule="auto"/>
              <w:ind w:firstLine="480" w:firstLineChars="200"/>
              <w:rPr>
                <w:sz w:val="24"/>
                <w:lang w:bidi="ar"/>
              </w:rPr>
            </w:pPr>
            <w:r>
              <w:rPr>
                <w:rFonts w:hint="eastAsia"/>
                <w:sz w:val="24"/>
                <w:lang w:bidi="ar"/>
              </w:rPr>
              <w:t>本次环评按空间换气次数计算进行校核，公示如下：</w:t>
            </w:r>
          </w:p>
          <w:p w14:paraId="080BCFE8">
            <w:pPr>
              <w:spacing w:line="360" w:lineRule="auto"/>
              <w:ind w:firstLine="480" w:firstLineChars="200"/>
              <w:jc w:val="center"/>
              <w:rPr>
                <w:rFonts w:hint="eastAsia" w:ascii="宋体" w:hAnsi="宋体" w:cs="宋体"/>
                <w:sz w:val="24"/>
                <w:lang w:bidi="ar"/>
              </w:rPr>
            </w:pPr>
            <w:r>
              <w:rPr>
                <w:rFonts w:hint="eastAsia"/>
                <w:sz w:val="24"/>
                <w:lang w:bidi="ar"/>
              </w:rPr>
              <w:t>Q=n×</w:t>
            </w:r>
            <w:r>
              <w:rPr>
                <w:rFonts w:hint="eastAsia" w:ascii="宋体" w:hAnsi="宋体" w:cs="宋体"/>
                <w:sz w:val="24"/>
                <w:lang w:bidi="ar"/>
              </w:rPr>
              <w:t>V</w:t>
            </w:r>
          </w:p>
          <w:p w14:paraId="4833ACA1">
            <w:pPr>
              <w:spacing w:line="360" w:lineRule="auto"/>
              <w:ind w:firstLine="480" w:firstLineChars="200"/>
              <w:rPr>
                <w:rFonts w:hint="eastAsia" w:ascii="宋体" w:hAnsi="宋体" w:cs="宋体"/>
                <w:sz w:val="24"/>
                <w:lang w:bidi="ar"/>
              </w:rPr>
            </w:pPr>
            <w:r>
              <w:rPr>
                <w:rFonts w:hint="eastAsia" w:ascii="宋体" w:hAnsi="宋体" w:cs="宋体"/>
                <w:sz w:val="24"/>
                <w:lang w:bidi="ar"/>
              </w:rPr>
              <w:t>其中：Q-风机风量（m³/h）</w:t>
            </w:r>
          </w:p>
          <w:p w14:paraId="017282EB">
            <w:pPr>
              <w:spacing w:line="360" w:lineRule="auto"/>
              <w:ind w:firstLine="1200" w:firstLineChars="500"/>
              <w:rPr>
                <w:rFonts w:hint="eastAsia" w:ascii="宋体" w:hAnsi="宋体" w:cs="宋体"/>
                <w:sz w:val="24"/>
                <w:lang w:bidi="ar"/>
              </w:rPr>
            </w:pPr>
            <w:r>
              <w:rPr>
                <w:rFonts w:hint="eastAsia" w:ascii="宋体" w:hAnsi="宋体" w:cs="宋体"/>
                <w:sz w:val="24"/>
                <w:lang w:bidi="ar"/>
              </w:rPr>
              <w:t>n</w:t>
            </w:r>
            <w:r>
              <w:rPr>
                <w:rFonts w:hint="eastAsia" w:ascii="宋体" w:hAnsi="宋体" w:cs="宋体"/>
                <w:sz w:val="24"/>
                <w:lang w:eastAsia="zh-CN" w:bidi="ar"/>
              </w:rPr>
              <w:t>－</w:t>
            </w:r>
            <w:r>
              <w:rPr>
                <w:rFonts w:hint="eastAsia" w:ascii="宋体" w:hAnsi="宋体" w:cs="宋体"/>
                <w:sz w:val="24"/>
                <w:lang w:bidi="ar"/>
              </w:rPr>
              <w:t>换气次数</w:t>
            </w:r>
          </w:p>
          <w:p w14:paraId="21153077">
            <w:pPr>
              <w:spacing w:line="360" w:lineRule="auto"/>
              <w:ind w:firstLine="1200" w:firstLineChars="500"/>
              <w:rPr>
                <w:rFonts w:hint="eastAsia" w:ascii="宋体" w:hAnsi="宋体" w:cs="宋体"/>
                <w:sz w:val="24"/>
                <w:lang w:bidi="ar"/>
              </w:rPr>
            </w:pPr>
            <w:r>
              <w:rPr>
                <w:rFonts w:hint="eastAsia" w:ascii="宋体" w:hAnsi="宋体" w:cs="宋体"/>
                <w:sz w:val="24"/>
                <w:lang w:bidi="ar"/>
              </w:rPr>
              <w:t>V-空间体积</w:t>
            </w:r>
          </w:p>
          <w:p w14:paraId="44F0F676">
            <w:pPr>
              <w:spacing w:line="360" w:lineRule="auto"/>
              <w:ind w:firstLine="480" w:firstLineChars="200"/>
              <w:rPr>
                <w:sz w:val="24"/>
                <w:lang w:bidi="ar"/>
              </w:rPr>
            </w:pPr>
            <w:r>
              <w:rPr>
                <w:rFonts w:hint="eastAsia"/>
                <w:sz w:val="24"/>
                <w:lang w:bidi="ar"/>
              </w:rPr>
              <w:t>换气次数</w:t>
            </w:r>
            <w:r>
              <w:rPr>
                <w:sz w:val="24"/>
                <w:lang w:bidi="ar"/>
              </w:rPr>
              <w:t>n</w:t>
            </w:r>
            <w:r>
              <w:rPr>
                <w:rFonts w:hint="eastAsia"/>
                <w:sz w:val="24"/>
                <w:lang w:bidi="ar"/>
              </w:rPr>
              <w:t xml:space="preserve">的确定：换气次数根据空间的用途和要求而定，生活垃圾中转站由于垃圾异味较大，换气次数一般较高。通常情况下，垃圾中转站的换气次数在 </w:t>
            </w:r>
            <w:r>
              <w:rPr>
                <w:sz w:val="24"/>
                <w:lang w:bidi="ar"/>
              </w:rPr>
              <w:t>6</w:t>
            </w:r>
            <w:r>
              <w:rPr>
                <w:rFonts w:hint="eastAsia"/>
                <w:sz w:val="24"/>
                <w:lang w:eastAsia="zh-CN" w:bidi="ar"/>
              </w:rPr>
              <w:t>～</w:t>
            </w:r>
            <w:r>
              <w:rPr>
                <w:sz w:val="24"/>
                <w:lang w:bidi="ar"/>
              </w:rPr>
              <w:t>15</w:t>
            </w:r>
            <w:r>
              <w:rPr>
                <w:rFonts w:hint="eastAsia"/>
                <w:sz w:val="24"/>
                <w:lang w:bidi="ar"/>
              </w:rPr>
              <w:t>次</w:t>
            </w:r>
            <w:r>
              <w:rPr>
                <w:sz w:val="24"/>
                <w:lang w:bidi="ar"/>
              </w:rPr>
              <w:t>/</w:t>
            </w:r>
            <w:r>
              <w:rPr>
                <w:rFonts w:hint="eastAsia"/>
                <w:sz w:val="24"/>
                <w:lang w:bidi="ar"/>
              </w:rPr>
              <w:t>小时。对于异味较重、垃圾处理量较大的中转站，换气次数可能会达到</w:t>
            </w:r>
            <w:r>
              <w:rPr>
                <w:sz w:val="24"/>
                <w:lang w:bidi="ar"/>
              </w:rPr>
              <w:t xml:space="preserve">15 </w:t>
            </w:r>
            <w:r>
              <w:rPr>
                <w:rFonts w:hint="eastAsia"/>
                <w:sz w:val="24"/>
                <w:lang w:bidi="ar"/>
              </w:rPr>
              <w:t>次</w:t>
            </w:r>
            <w:r>
              <w:rPr>
                <w:sz w:val="24"/>
                <w:lang w:bidi="ar"/>
              </w:rPr>
              <w:t>/</w:t>
            </w:r>
            <w:r>
              <w:rPr>
                <w:rFonts w:hint="eastAsia"/>
                <w:sz w:val="24"/>
                <w:lang w:bidi="ar"/>
              </w:rPr>
              <w:t>小时甚至更高；而对于小型且通风条件较好的中转站，换气次数可以取</w:t>
            </w:r>
            <w:r>
              <w:rPr>
                <w:sz w:val="24"/>
                <w:lang w:bidi="ar"/>
              </w:rPr>
              <w:t>6</w:t>
            </w:r>
            <w:r>
              <w:rPr>
                <w:rFonts w:hint="eastAsia"/>
                <w:sz w:val="24"/>
                <w:lang w:bidi="ar"/>
              </w:rPr>
              <w:t>次</w:t>
            </w:r>
            <w:r>
              <w:rPr>
                <w:sz w:val="24"/>
                <w:lang w:bidi="ar"/>
              </w:rPr>
              <w:t>/</w:t>
            </w:r>
            <w:r>
              <w:rPr>
                <w:rFonts w:hint="eastAsia"/>
                <w:sz w:val="24"/>
                <w:lang w:bidi="ar"/>
              </w:rPr>
              <w:t>小时左右。根据资料，本项目转运车间分为二层，一层</w:t>
            </w:r>
            <w:r>
              <w:rPr>
                <w:rFonts w:hint="eastAsia"/>
                <w:sz w:val="24"/>
                <w:lang w:eastAsia="zh-CN" w:bidi="ar"/>
              </w:rPr>
              <w:t>－－</w:t>
            </w:r>
            <w:r>
              <w:rPr>
                <w:rFonts w:hint="eastAsia"/>
                <w:sz w:val="24"/>
                <w:lang w:bidi="ar"/>
              </w:rPr>
              <w:t>压缩区（换气次数按10次计），一层转运区（换气次数按10次计），二层卸料大厅（换气次数按10次计），二层卸料槽间（换气次数按10次计）； 本项目污水处理站（换气次数按8次计）。</w:t>
            </w:r>
          </w:p>
          <w:p w14:paraId="6B2BD8CE">
            <w:pPr>
              <w:jc w:val="center"/>
              <w:rPr>
                <w:b/>
                <w:bCs/>
                <w:szCs w:val="21"/>
              </w:rPr>
            </w:pPr>
            <w:r>
              <w:rPr>
                <w:rFonts w:hint="eastAsia"/>
                <w:b/>
                <w:bCs/>
                <w:szCs w:val="21"/>
              </w:rPr>
              <w:t>表4-5  本项目除臭系统风机风量计算一览表</w:t>
            </w:r>
          </w:p>
          <w:tbl>
            <w:tblPr>
              <w:tblStyle w:val="70"/>
              <w:tblW w:w="498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6"/>
              <w:gridCol w:w="956"/>
              <w:gridCol w:w="1329"/>
              <w:gridCol w:w="1211"/>
              <w:gridCol w:w="1652"/>
              <w:gridCol w:w="1424"/>
              <w:gridCol w:w="1326"/>
            </w:tblGrid>
            <w:tr w14:paraId="26FEB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329" w:type="pct"/>
                  <w:tcBorders>
                    <w:tl2br w:val="nil"/>
                    <w:tr2bl w:val="nil"/>
                  </w:tcBorders>
                  <w:vAlign w:val="center"/>
                </w:tcPr>
                <w:p w14:paraId="0C294762">
                  <w:pPr>
                    <w:spacing w:line="320" w:lineRule="exact"/>
                    <w:jc w:val="center"/>
                    <w:rPr>
                      <w:b/>
                      <w:bCs/>
                      <w:szCs w:val="21"/>
                    </w:rPr>
                  </w:pPr>
                  <w:r>
                    <w:rPr>
                      <w:rFonts w:hint="eastAsia"/>
                      <w:b/>
                      <w:bCs/>
                      <w:szCs w:val="21"/>
                    </w:rPr>
                    <w:t>序号</w:t>
                  </w:r>
                </w:p>
              </w:tc>
              <w:tc>
                <w:tcPr>
                  <w:tcW w:w="565" w:type="pct"/>
                  <w:tcBorders>
                    <w:tl2br w:val="nil"/>
                    <w:tr2bl w:val="nil"/>
                  </w:tcBorders>
                  <w:vAlign w:val="center"/>
                </w:tcPr>
                <w:p w14:paraId="26A4277C">
                  <w:pPr>
                    <w:spacing w:line="320" w:lineRule="exact"/>
                    <w:jc w:val="center"/>
                    <w:rPr>
                      <w:b/>
                      <w:bCs/>
                      <w:szCs w:val="21"/>
                    </w:rPr>
                  </w:pPr>
                  <w:r>
                    <w:rPr>
                      <w:rFonts w:hint="eastAsia"/>
                      <w:b/>
                      <w:bCs/>
                      <w:szCs w:val="21"/>
                    </w:rPr>
                    <w:t>区域</w:t>
                  </w:r>
                </w:p>
              </w:tc>
              <w:tc>
                <w:tcPr>
                  <w:tcW w:w="786" w:type="pct"/>
                  <w:tcBorders>
                    <w:tl2br w:val="nil"/>
                    <w:tr2bl w:val="nil"/>
                  </w:tcBorders>
                  <w:vAlign w:val="center"/>
                </w:tcPr>
                <w:p w14:paraId="028B9252">
                  <w:pPr>
                    <w:spacing w:line="320" w:lineRule="exact"/>
                    <w:jc w:val="center"/>
                    <w:rPr>
                      <w:b/>
                      <w:bCs/>
                      <w:szCs w:val="21"/>
                    </w:rPr>
                  </w:pPr>
                  <w:r>
                    <w:rPr>
                      <w:rFonts w:hint="eastAsia"/>
                      <w:b/>
                      <w:bCs/>
                      <w:szCs w:val="21"/>
                    </w:rPr>
                    <w:t>面积（m</w:t>
                  </w:r>
                  <w:r>
                    <w:rPr>
                      <w:rFonts w:hint="eastAsia"/>
                      <w:b/>
                      <w:bCs/>
                      <w:szCs w:val="21"/>
                      <w:vertAlign w:val="superscript"/>
                    </w:rPr>
                    <w:t>2</w:t>
                  </w:r>
                  <w:r>
                    <w:rPr>
                      <w:rFonts w:hint="eastAsia"/>
                      <w:b/>
                      <w:bCs/>
                      <w:szCs w:val="21"/>
                    </w:rPr>
                    <w:t>）</w:t>
                  </w:r>
                </w:p>
              </w:tc>
              <w:tc>
                <w:tcPr>
                  <w:tcW w:w="716" w:type="pct"/>
                  <w:tcBorders>
                    <w:tl2br w:val="nil"/>
                    <w:tr2bl w:val="nil"/>
                  </w:tcBorders>
                  <w:vAlign w:val="center"/>
                </w:tcPr>
                <w:p w14:paraId="3F791833">
                  <w:pPr>
                    <w:spacing w:line="320" w:lineRule="exact"/>
                    <w:jc w:val="center"/>
                    <w:rPr>
                      <w:b/>
                      <w:bCs/>
                      <w:szCs w:val="21"/>
                    </w:rPr>
                  </w:pPr>
                  <w:r>
                    <w:rPr>
                      <w:rFonts w:hint="eastAsia"/>
                      <w:b/>
                      <w:bCs/>
                      <w:szCs w:val="21"/>
                    </w:rPr>
                    <w:t>高（m）</w:t>
                  </w:r>
                </w:p>
              </w:tc>
              <w:tc>
                <w:tcPr>
                  <w:tcW w:w="977" w:type="pct"/>
                  <w:tcBorders>
                    <w:tl2br w:val="nil"/>
                    <w:tr2bl w:val="nil"/>
                  </w:tcBorders>
                  <w:shd w:val="clear" w:color="auto" w:fill="auto"/>
                  <w:vAlign w:val="center"/>
                </w:tcPr>
                <w:p w14:paraId="23A23027">
                  <w:pPr>
                    <w:spacing w:line="320" w:lineRule="exact"/>
                    <w:jc w:val="center"/>
                    <w:rPr>
                      <w:b/>
                      <w:bCs/>
                      <w:szCs w:val="21"/>
                    </w:rPr>
                  </w:pPr>
                  <w:r>
                    <w:rPr>
                      <w:rFonts w:hint="eastAsia"/>
                      <w:b/>
                      <w:bCs/>
                      <w:szCs w:val="21"/>
                    </w:rPr>
                    <w:t>换气次数（</w:t>
                  </w:r>
                  <w:r>
                    <w:rPr>
                      <w:b/>
                      <w:bCs/>
                      <w:szCs w:val="21"/>
                    </w:rPr>
                    <w:t>g/t</w:t>
                  </w:r>
                  <w:r>
                    <w:rPr>
                      <w:rFonts w:hint="eastAsia"/>
                      <w:b/>
                      <w:bCs/>
                      <w:szCs w:val="21"/>
                    </w:rPr>
                    <w:t>）</w:t>
                  </w:r>
                </w:p>
              </w:tc>
              <w:tc>
                <w:tcPr>
                  <w:tcW w:w="841" w:type="pct"/>
                  <w:tcBorders>
                    <w:tl2br w:val="nil"/>
                    <w:tr2bl w:val="nil"/>
                  </w:tcBorders>
                  <w:vAlign w:val="center"/>
                </w:tcPr>
                <w:p w14:paraId="201E078F">
                  <w:pPr>
                    <w:spacing w:line="320" w:lineRule="exact"/>
                    <w:jc w:val="center"/>
                    <w:rPr>
                      <w:b/>
                      <w:bCs/>
                      <w:szCs w:val="21"/>
                    </w:rPr>
                  </w:pPr>
                  <w:r>
                    <w:rPr>
                      <w:rFonts w:hint="eastAsia"/>
                      <w:b/>
                      <w:bCs/>
                      <w:szCs w:val="21"/>
                    </w:rPr>
                    <w:t>数量（个）</w:t>
                  </w:r>
                </w:p>
              </w:tc>
              <w:tc>
                <w:tcPr>
                  <w:tcW w:w="784" w:type="pct"/>
                  <w:tcBorders>
                    <w:tl2br w:val="nil"/>
                    <w:tr2bl w:val="nil"/>
                  </w:tcBorders>
                  <w:vAlign w:val="center"/>
                </w:tcPr>
                <w:p w14:paraId="3B14C60D">
                  <w:pPr>
                    <w:spacing w:line="320" w:lineRule="exact"/>
                    <w:jc w:val="center"/>
                    <w:rPr>
                      <w:b/>
                      <w:bCs/>
                      <w:szCs w:val="21"/>
                    </w:rPr>
                  </w:pPr>
                  <w:r>
                    <w:rPr>
                      <w:rFonts w:hint="eastAsia"/>
                      <w:b/>
                      <w:bCs/>
                      <w:szCs w:val="21"/>
                    </w:rPr>
                    <w:t>换气量（m³/h）</w:t>
                  </w:r>
                </w:p>
              </w:tc>
            </w:tr>
            <w:tr w14:paraId="34A96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29" w:type="pct"/>
                  <w:tcBorders>
                    <w:tl2br w:val="nil"/>
                    <w:tr2bl w:val="nil"/>
                  </w:tcBorders>
                  <w:shd w:val="clear" w:color="auto" w:fill="auto"/>
                  <w:vAlign w:val="center"/>
                </w:tcPr>
                <w:p w14:paraId="14C0DE11">
                  <w:pPr>
                    <w:spacing w:line="320" w:lineRule="exact"/>
                    <w:jc w:val="center"/>
                    <w:rPr>
                      <w:szCs w:val="21"/>
                    </w:rPr>
                  </w:pPr>
                  <w:r>
                    <w:rPr>
                      <w:szCs w:val="21"/>
                    </w:rPr>
                    <w:t>1</w:t>
                  </w:r>
                </w:p>
              </w:tc>
              <w:tc>
                <w:tcPr>
                  <w:tcW w:w="565" w:type="pct"/>
                  <w:tcBorders>
                    <w:tl2br w:val="nil"/>
                    <w:tr2bl w:val="nil"/>
                  </w:tcBorders>
                  <w:vAlign w:val="center"/>
                </w:tcPr>
                <w:p w14:paraId="4613E713">
                  <w:pPr>
                    <w:spacing w:line="320" w:lineRule="exact"/>
                    <w:jc w:val="center"/>
                    <w:rPr>
                      <w:szCs w:val="21"/>
                    </w:rPr>
                  </w:pPr>
                  <w:r>
                    <w:rPr>
                      <w:rFonts w:hint="eastAsia"/>
                      <w:szCs w:val="21"/>
                    </w:rPr>
                    <w:t>垃圾站房一层</w:t>
                  </w:r>
                  <w:r>
                    <w:rPr>
                      <w:rFonts w:hint="eastAsia"/>
                      <w:szCs w:val="21"/>
                      <w:lang w:eastAsia="zh-CN"/>
                    </w:rPr>
                    <w:t>－</w:t>
                  </w:r>
                  <w:r>
                    <w:rPr>
                      <w:rFonts w:hint="eastAsia"/>
                      <w:szCs w:val="21"/>
                    </w:rPr>
                    <w:t>压缩车间</w:t>
                  </w:r>
                </w:p>
              </w:tc>
              <w:tc>
                <w:tcPr>
                  <w:tcW w:w="786" w:type="pct"/>
                  <w:tcBorders>
                    <w:tl2br w:val="nil"/>
                    <w:tr2bl w:val="nil"/>
                  </w:tcBorders>
                  <w:vAlign w:val="center"/>
                </w:tcPr>
                <w:p w14:paraId="0494A6E3">
                  <w:pPr>
                    <w:widowControl/>
                    <w:jc w:val="center"/>
                    <w:textAlignment w:val="center"/>
                    <w:rPr>
                      <w:szCs w:val="21"/>
                    </w:rPr>
                  </w:pPr>
                  <w:r>
                    <w:rPr>
                      <w:color w:val="000000"/>
                      <w:kern w:val="0"/>
                      <w:szCs w:val="21"/>
                      <w:lang w:bidi="ar"/>
                    </w:rPr>
                    <w:t>553.24</w:t>
                  </w:r>
                </w:p>
              </w:tc>
              <w:tc>
                <w:tcPr>
                  <w:tcW w:w="716" w:type="pct"/>
                  <w:tcBorders>
                    <w:tl2br w:val="nil"/>
                    <w:tr2bl w:val="nil"/>
                  </w:tcBorders>
                  <w:vAlign w:val="center"/>
                </w:tcPr>
                <w:p w14:paraId="55D303EB">
                  <w:pPr>
                    <w:widowControl/>
                    <w:jc w:val="center"/>
                    <w:textAlignment w:val="center"/>
                    <w:rPr>
                      <w:szCs w:val="21"/>
                    </w:rPr>
                  </w:pPr>
                  <w:r>
                    <w:rPr>
                      <w:color w:val="000000"/>
                      <w:kern w:val="0"/>
                      <w:szCs w:val="21"/>
                      <w:lang w:bidi="ar"/>
                    </w:rPr>
                    <w:t>6.6</w:t>
                  </w:r>
                </w:p>
              </w:tc>
              <w:tc>
                <w:tcPr>
                  <w:tcW w:w="977" w:type="pct"/>
                  <w:tcBorders>
                    <w:tl2br w:val="nil"/>
                    <w:tr2bl w:val="nil"/>
                  </w:tcBorders>
                  <w:shd w:val="clear" w:color="auto" w:fill="auto"/>
                  <w:vAlign w:val="center"/>
                </w:tcPr>
                <w:p w14:paraId="1B4A23B8">
                  <w:pPr>
                    <w:spacing w:line="320" w:lineRule="exact"/>
                    <w:jc w:val="center"/>
                    <w:rPr>
                      <w:szCs w:val="21"/>
                    </w:rPr>
                  </w:pPr>
                  <w:r>
                    <w:rPr>
                      <w:rFonts w:hint="eastAsia"/>
                      <w:szCs w:val="21"/>
                    </w:rPr>
                    <w:t>10</w:t>
                  </w:r>
                </w:p>
              </w:tc>
              <w:tc>
                <w:tcPr>
                  <w:tcW w:w="841" w:type="pct"/>
                  <w:tcBorders>
                    <w:tl2br w:val="nil"/>
                    <w:tr2bl w:val="nil"/>
                  </w:tcBorders>
                  <w:vAlign w:val="center"/>
                </w:tcPr>
                <w:p w14:paraId="0648F90D">
                  <w:pPr>
                    <w:spacing w:line="320" w:lineRule="exact"/>
                    <w:jc w:val="center"/>
                    <w:rPr>
                      <w:szCs w:val="21"/>
                    </w:rPr>
                  </w:pPr>
                  <w:r>
                    <w:rPr>
                      <w:rFonts w:hint="eastAsia"/>
                      <w:szCs w:val="21"/>
                    </w:rPr>
                    <w:t>1</w:t>
                  </w:r>
                </w:p>
              </w:tc>
              <w:tc>
                <w:tcPr>
                  <w:tcW w:w="784" w:type="pct"/>
                  <w:tcBorders>
                    <w:tl2br w:val="nil"/>
                    <w:tr2bl w:val="nil"/>
                  </w:tcBorders>
                  <w:vAlign w:val="center"/>
                </w:tcPr>
                <w:p w14:paraId="38872BD5">
                  <w:pPr>
                    <w:spacing w:line="320" w:lineRule="exact"/>
                    <w:jc w:val="center"/>
                    <w:rPr>
                      <w:szCs w:val="21"/>
                    </w:rPr>
                  </w:pPr>
                  <w:r>
                    <w:rPr>
                      <w:szCs w:val="21"/>
                    </w:rPr>
                    <w:t>6.6</w:t>
                  </w:r>
                </w:p>
              </w:tc>
            </w:tr>
            <w:tr w14:paraId="054EF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29" w:type="pct"/>
                  <w:tcBorders>
                    <w:tl2br w:val="nil"/>
                    <w:tr2bl w:val="nil"/>
                  </w:tcBorders>
                  <w:shd w:val="clear" w:color="auto" w:fill="auto"/>
                  <w:vAlign w:val="center"/>
                </w:tcPr>
                <w:p w14:paraId="621A62A4">
                  <w:pPr>
                    <w:spacing w:line="320" w:lineRule="exact"/>
                    <w:jc w:val="center"/>
                    <w:rPr>
                      <w:szCs w:val="21"/>
                    </w:rPr>
                  </w:pPr>
                  <w:r>
                    <w:rPr>
                      <w:rFonts w:hint="eastAsia"/>
                      <w:szCs w:val="21"/>
                    </w:rPr>
                    <w:t>2</w:t>
                  </w:r>
                </w:p>
              </w:tc>
              <w:tc>
                <w:tcPr>
                  <w:tcW w:w="565" w:type="pct"/>
                  <w:tcBorders>
                    <w:tl2br w:val="nil"/>
                    <w:tr2bl w:val="nil"/>
                  </w:tcBorders>
                  <w:vAlign w:val="center"/>
                </w:tcPr>
                <w:p w14:paraId="2947289D">
                  <w:pPr>
                    <w:spacing w:line="320" w:lineRule="exact"/>
                    <w:jc w:val="center"/>
                    <w:rPr>
                      <w:szCs w:val="21"/>
                    </w:rPr>
                  </w:pPr>
                  <w:r>
                    <w:rPr>
                      <w:rFonts w:hint="eastAsia"/>
                      <w:szCs w:val="21"/>
                    </w:rPr>
                    <w:t>垃圾站房二层</w:t>
                  </w:r>
                  <w:r>
                    <w:rPr>
                      <w:rFonts w:hint="eastAsia"/>
                      <w:szCs w:val="21"/>
                      <w:lang w:eastAsia="zh-CN"/>
                    </w:rPr>
                    <w:t>－</w:t>
                  </w:r>
                  <w:r>
                    <w:rPr>
                      <w:rFonts w:hint="eastAsia"/>
                      <w:szCs w:val="21"/>
                    </w:rPr>
                    <w:t>卸料平台</w:t>
                  </w:r>
                </w:p>
              </w:tc>
              <w:tc>
                <w:tcPr>
                  <w:tcW w:w="786" w:type="pct"/>
                  <w:tcBorders>
                    <w:tl2br w:val="nil"/>
                    <w:tr2bl w:val="nil"/>
                  </w:tcBorders>
                  <w:vAlign w:val="center"/>
                </w:tcPr>
                <w:p w14:paraId="29EDCC41">
                  <w:pPr>
                    <w:widowControl/>
                    <w:jc w:val="center"/>
                    <w:textAlignment w:val="center"/>
                    <w:rPr>
                      <w:szCs w:val="21"/>
                    </w:rPr>
                  </w:pPr>
                  <w:r>
                    <w:rPr>
                      <w:color w:val="000000"/>
                      <w:kern w:val="0"/>
                      <w:szCs w:val="21"/>
                      <w:lang w:bidi="ar"/>
                    </w:rPr>
                    <w:t>553.24</w:t>
                  </w:r>
                </w:p>
              </w:tc>
              <w:tc>
                <w:tcPr>
                  <w:tcW w:w="716" w:type="pct"/>
                  <w:tcBorders>
                    <w:tl2br w:val="nil"/>
                    <w:tr2bl w:val="nil"/>
                  </w:tcBorders>
                  <w:shd w:val="clear" w:color="auto" w:fill="auto"/>
                  <w:vAlign w:val="center"/>
                </w:tcPr>
                <w:p w14:paraId="22C19C74">
                  <w:pPr>
                    <w:widowControl/>
                    <w:jc w:val="center"/>
                    <w:textAlignment w:val="center"/>
                    <w:rPr>
                      <w:szCs w:val="21"/>
                    </w:rPr>
                  </w:pPr>
                  <w:r>
                    <w:rPr>
                      <w:color w:val="000000"/>
                      <w:kern w:val="0"/>
                      <w:szCs w:val="21"/>
                      <w:lang w:bidi="ar"/>
                    </w:rPr>
                    <w:t>6.6</w:t>
                  </w:r>
                </w:p>
              </w:tc>
              <w:tc>
                <w:tcPr>
                  <w:tcW w:w="977" w:type="pct"/>
                  <w:tcBorders>
                    <w:tl2br w:val="nil"/>
                    <w:tr2bl w:val="nil"/>
                  </w:tcBorders>
                  <w:shd w:val="clear" w:color="auto" w:fill="auto"/>
                  <w:vAlign w:val="center"/>
                </w:tcPr>
                <w:p w14:paraId="789BC283">
                  <w:pPr>
                    <w:spacing w:line="320" w:lineRule="exact"/>
                    <w:jc w:val="center"/>
                    <w:rPr>
                      <w:szCs w:val="21"/>
                    </w:rPr>
                  </w:pPr>
                  <w:r>
                    <w:rPr>
                      <w:rFonts w:hint="eastAsia"/>
                      <w:szCs w:val="21"/>
                    </w:rPr>
                    <w:t>10</w:t>
                  </w:r>
                </w:p>
              </w:tc>
              <w:tc>
                <w:tcPr>
                  <w:tcW w:w="841" w:type="pct"/>
                  <w:tcBorders>
                    <w:tl2br w:val="nil"/>
                    <w:tr2bl w:val="nil"/>
                  </w:tcBorders>
                  <w:vAlign w:val="center"/>
                </w:tcPr>
                <w:p w14:paraId="0A821A86">
                  <w:pPr>
                    <w:spacing w:line="320" w:lineRule="exact"/>
                    <w:jc w:val="center"/>
                    <w:rPr>
                      <w:szCs w:val="21"/>
                    </w:rPr>
                  </w:pPr>
                  <w:r>
                    <w:rPr>
                      <w:rFonts w:hint="eastAsia"/>
                      <w:szCs w:val="21"/>
                    </w:rPr>
                    <w:t>1</w:t>
                  </w:r>
                </w:p>
              </w:tc>
              <w:tc>
                <w:tcPr>
                  <w:tcW w:w="784" w:type="pct"/>
                  <w:tcBorders>
                    <w:tl2br w:val="nil"/>
                    <w:tr2bl w:val="nil"/>
                  </w:tcBorders>
                  <w:vAlign w:val="center"/>
                </w:tcPr>
                <w:p w14:paraId="3C402EC4">
                  <w:pPr>
                    <w:spacing w:line="320" w:lineRule="exact"/>
                    <w:jc w:val="center"/>
                    <w:rPr>
                      <w:szCs w:val="21"/>
                    </w:rPr>
                  </w:pPr>
                  <w:r>
                    <w:rPr>
                      <w:szCs w:val="21"/>
                    </w:rPr>
                    <w:t>6.6</w:t>
                  </w:r>
                </w:p>
              </w:tc>
            </w:tr>
            <w:tr w14:paraId="7AAB8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29" w:type="pct"/>
                  <w:tcBorders>
                    <w:tl2br w:val="nil"/>
                    <w:tr2bl w:val="nil"/>
                  </w:tcBorders>
                  <w:shd w:val="clear" w:color="auto" w:fill="auto"/>
                  <w:vAlign w:val="center"/>
                </w:tcPr>
                <w:p w14:paraId="413ADEE6">
                  <w:pPr>
                    <w:spacing w:line="320" w:lineRule="exact"/>
                    <w:jc w:val="center"/>
                    <w:rPr>
                      <w:szCs w:val="21"/>
                    </w:rPr>
                  </w:pPr>
                  <w:r>
                    <w:rPr>
                      <w:rFonts w:hint="eastAsia"/>
                      <w:szCs w:val="21"/>
                    </w:rPr>
                    <w:t>3</w:t>
                  </w:r>
                </w:p>
              </w:tc>
              <w:tc>
                <w:tcPr>
                  <w:tcW w:w="565" w:type="pct"/>
                  <w:tcBorders>
                    <w:tl2br w:val="nil"/>
                    <w:tr2bl w:val="nil"/>
                  </w:tcBorders>
                  <w:vAlign w:val="center"/>
                </w:tcPr>
                <w:p w14:paraId="0A85FF91">
                  <w:pPr>
                    <w:spacing w:line="320" w:lineRule="exact"/>
                    <w:jc w:val="center"/>
                    <w:rPr>
                      <w:szCs w:val="21"/>
                    </w:rPr>
                  </w:pPr>
                  <w:r>
                    <w:rPr>
                      <w:rFonts w:hint="eastAsia"/>
                      <w:szCs w:val="21"/>
                    </w:rPr>
                    <w:t>污水处理站</w:t>
                  </w:r>
                </w:p>
              </w:tc>
              <w:tc>
                <w:tcPr>
                  <w:tcW w:w="786" w:type="pct"/>
                  <w:tcBorders>
                    <w:tl2br w:val="nil"/>
                    <w:tr2bl w:val="nil"/>
                  </w:tcBorders>
                  <w:vAlign w:val="center"/>
                </w:tcPr>
                <w:p w14:paraId="51AA0144">
                  <w:pPr>
                    <w:widowControl/>
                    <w:jc w:val="center"/>
                    <w:textAlignment w:val="center"/>
                    <w:rPr>
                      <w:szCs w:val="21"/>
                    </w:rPr>
                  </w:pPr>
                  <w:r>
                    <w:rPr>
                      <w:color w:val="000000"/>
                      <w:kern w:val="0"/>
                      <w:szCs w:val="21"/>
                      <w:lang w:bidi="ar"/>
                    </w:rPr>
                    <w:t>200</w:t>
                  </w:r>
                </w:p>
              </w:tc>
              <w:tc>
                <w:tcPr>
                  <w:tcW w:w="716" w:type="pct"/>
                  <w:tcBorders>
                    <w:tl2br w:val="nil"/>
                    <w:tr2bl w:val="nil"/>
                  </w:tcBorders>
                  <w:shd w:val="clear" w:color="auto" w:fill="auto"/>
                  <w:vAlign w:val="center"/>
                </w:tcPr>
                <w:p w14:paraId="01FF7243">
                  <w:pPr>
                    <w:widowControl/>
                    <w:jc w:val="center"/>
                    <w:textAlignment w:val="center"/>
                    <w:rPr>
                      <w:szCs w:val="21"/>
                    </w:rPr>
                  </w:pPr>
                  <w:r>
                    <w:rPr>
                      <w:rFonts w:hint="eastAsia" w:ascii="宋体" w:hAnsi="宋体" w:cs="宋体"/>
                      <w:color w:val="000000"/>
                      <w:kern w:val="0"/>
                      <w:szCs w:val="21"/>
                      <w:lang w:bidi="ar"/>
                    </w:rPr>
                    <w:t>6.6</w:t>
                  </w:r>
                </w:p>
              </w:tc>
              <w:tc>
                <w:tcPr>
                  <w:tcW w:w="977" w:type="pct"/>
                  <w:tcBorders>
                    <w:tl2br w:val="nil"/>
                    <w:tr2bl w:val="nil"/>
                  </w:tcBorders>
                  <w:shd w:val="clear" w:color="auto" w:fill="auto"/>
                  <w:vAlign w:val="center"/>
                </w:tcPr>
                <w:p w14:paraId="3FCF1EAD">
                  <w:pPr>
                    <w:spacing w:line="320" w:lineRule="exact"/>
                    <w:jc w:val="center"/>
                    <w:rPr>
                      <w:szCs w:val="21"/>
                    </w:rPr>
                  </w:pPr>
                  <w:r>
                    <w:rPr>
                      <w:rFonts w:hint="eastAsia"/>
                      <w:szCs w:val="21"/>
                    </w:rPr>
                    <w:t>10</w:t>
                  </w:r>
                </w:p>
              </w:tc>
              <w:tc>
                <w:tcPr>
                  <w:tcW w:w="841" w:type="pct"/>
                  <w:tcBorders>
                    <w:tl2br w:val="nil"/>
                    <w:tr2bl w:val="nil"/>
                  </w:tcBorders>
                  <w:vAlign w:val="center"/>
                </w:tcPr>
                <w:p w14:paraId="07D89E62">
                  <w:pPr>
                    <w:spacing w:line="320" w:lineRule="exact"/>
                    <w:jc w:val="center"/>
                    <w:rPr>
                      <w:szCs w:val="21"/>
                    </w:rPr>
                  </w:pPr>
                  <w:r>
                    <w:rPr>
                      <w:rFonts w:hint="eastAsia"/>
                      <w:szCs w:val="21"/>
                    </w:rPr>
                    <w:t>1</w:t>
                  </w:r>
                </w:p>
              </w:tc>
              <w:tc>
                <w:tcPr>
                  <w:tcW w:w="784" w:type="pct"/>
                  <w:tcBorders>
                    <w:tl2br w:val="nil"/>
                    <w:tr2bl w:val="nil"/>
                  </w:tcBorders>
                  <w:vAlign w:val="center"/>
                </w:tcPr>
                <w:p w14:paraId="1C40BD51">
                  <w:pPr>
                    <w:spacing w:line="320" w:lineRule="exact"/>
                    <w:jc w:val="center"/>
                    <w:rPr>
                      <w:szCs w:val="21"/>
                    </w:rPr>
                  </w:pPr>
                  <w:r>
                    <w:rPr>
                      <w:rFonts w:hint="eastAsia"/>
                      <w:szCs w:val="21"/>
                    </w:rPr>
                    <w:t>6.6</w:t>
                  </w:r>
                </w:p>
              </w:tc>
            </w:tr>
            <w:tr w14:paraId="3DFB6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15" w:type="pct"/>
                  <w:gridSpan w:val="6"/>
                  <w:tcBorders>
                    <w:tl2br w:val="nil"/>
                    <w:tr2bl w:val="nil"/>
                  </w:tcBorders>
                  <w:shd w:val="clear" w:color="auto" w:fill="auto"/>
                  <w:vAlign w:val="center"/>
                </w:tcPr>
                <w:p w14:paraId="21E340BF">
                  <w:pPr>
                    <w:spacing w:line="320" w:lineRule="exact"/>
                    <w:jc w:val="center"/>
                    <w:rPr>
                      <w:szCs w:val="21"/>
                    </w:rPr>
                  </w:pPr>
                  <w:r>
                    <w:rPr>
                      <w:rFonts w:hint="eastAsia"/>
                      <w:szCs w:val="21"/>
                    </w:rPr>
                    <w:t>合计</w:t>
                  </w:r>
                </w:p>
              </w:tc>
              <w:tc>
                <w:tcPr>
                  <w:tcW w:w="784" w:type="pct"/>
                  <w:tcBorders>
                    <w:tl2br w:val="nil"/>
                    <w:tr2bl w:val="nil"/>
                  </w:tcBorders>
                  <w:vAlign w:val="center"/>
                </w:tcPr>
                <w:p w14:paraId="26379929">
                  <w:pPr>
                    <w:spacing w:line="320" w:lineRule="exact"/>
                    <w:jc w:val="center"/>
                    <w:rPr>
                      <w:szCs w:val="21"/>
                    </w:rPr>
                  </w:pPr>
                  <w:r>
                    <w:rPr>
                      <w:rFonts w:hint="eastAsia"/>
                      <w:szCs w:val="21"/>
                    </w:rPr>
                    <w:t>86228</w:t>
                  </w:r>
                </w:p>
              </w:tc>
            </w:tr>
            <w:tr w14:paraId="5EB0C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215" w:type="pct"/>
                  <w:gridSpan w:val="6"/>
                  <w:tcBorders>
                    <w:tl2br w:val="nil"/>
                    <w:tr2bl w:val="nil"/>
                  </w:tcBorders>
                  <w:shd w:val="clear" w:color="auto" w:fill="auto"/>
                  <w:vAlign w:val="center"/>
                </w:tcPr>
                <w:p w14:paraId="71E1C435">
                  <w:pPr>
                    <w:spacing w:line="320" w:lineRule="exact"/>
                    <w:jc w:val="center"/>
                    <w:rPr>
                      <w:szCs w:val="21"/>
                    </w:rPr>
                  </w:pPr>
                  <w:r>
                    <w:rPr>
                      <w:rFonts w:hint="eastAsia"/>
                      <w:szCs w:val="21"/>
                    </w:rPr>
                    <w:t>考虑1.1的富余系数</w:t>
                  </w:r>
                </w:p>
              </w:tc>
              <w:tc>
                <w:tcPr>
                  <w:tcW w:w="784" w:type="pct"/>
                  <w:tcBorders>
                    <w:tl2br w:val="nil"/>
                    <w:tr2bl w:val="nil"/>
                  </w:tcBorders>
                  <w:vAlign w:val="center"/>
                </w:tcPr>
                <w:p w14:paraId="7D3112F2">
                  <w:pPr>
                    <w:spacing w:line="320" w:lineRule="exact"/>
                    <w:jc w:val="center"/>
                    <w:rPr>
                      <w:szCs w:val="21"/>
                    </w:rPr>
                  </w:pPr>
                  <w:r>
                    <w:rPr>
                      <w:rFonts w:hint="eastAsia"/>
                      <w:szCs w:val="21"/>
                    </w:rPr>
                    <w:t>94850</w:t>
                  </w:r>
                </w:p>
              </w:tc>
            </w:tr>
          </w:tbl>
          <w:p w14:paraId="3F6D2BD2">
            <w:pPr>
              <w:spacing w:line="360" w:lineRule="auto"/>
              <w:ind w:firstLine="480" w:firstLineChars="200"/>
              <w:rPr>
                <w:sz w:val="24"/>
                <w:lang w:bidi="ar"/>
              </w:rPr>
            </w:pPr>
            <w:r>
              <w:rPr>
                <w:rFonts w:hint="eastAsia"/>
                <w:sz w:val="24"/>
                <w:lang w:bidi="ar"/>
              </w:rPr>
              <w:t>本环评建议负压除臭除尘系统风机风量设置为100000m³/h</w:t>
            </w:r>
            <w:r>
              <w:rPr>
                <w:rFonts w:hint="eastAsia"/>
                <w:sz w:val="24"/>
                <w:lang w:eastAsia="zh-CN" w:bidi="ar"/>
              </w:rPr>
              <w:t>.</w:t>
            </w:r>
            <w:r>
              <w:rPr>
                <w:rFonts w:hint="eastAsia"/>
                <w:sz w:val="24"/>
                <w:lang w:bidi="ar"/>
              </w:rPr>
              <w:t xml:space="preserve"> </w:t>
            </w:r>
          </w:p>
          <w:p w14:paraId="5A36DCAC">
            <w:pPr>
              <w:spacing w:line="360" w:lineRule="auto"/>
              <w:ind w:firstLine="480" w:firstLineChars="200"/>
              <w:rPr>
                <w:sz w:val="24"/>
                <w:lang w:bidi="ar"/>
              </w:rPr>
            </w:pPr>
            <w:r>
              <w:rPr>
                <w:rFonts w:hint="eastAsia"/>
                <w:sz w:val="24"/>
                <w:lang w:bidi="ar"/>
              </w:rPr>
              <w:t xml:space="preserve">②另外，本项目设置1套植物液喷淋系统进行辅助除臭，位于卸料区、压缩区及转运区。卸料区、压缩区和转运区四周设置植物液雾化喷淋系统辅助除臭。在卸料区、压缩区和转运区上方布置植物喷淋管线，共布置80个雾化喷嘴。 </w:t>
            </w:r>
          </w:p>
          <w:p w14:paraId="05BC93F8">
            <w:pPr>
              <w:widowControl/>
              <w:spacing w:line="360" w:lineRule="auto"/>
              <w:ind w:firstLine="482" w:firstLineChars="200"/>
              <w:jc w:val="left"/>
              <w:rPr>
                <w:rFonts w:hint="eastAsia" w:ascii="宋体" w:hAnsi="宋体" w:cs="宋体"/>
                <w:b/>
                <w:bCs/>
                <w:kern w:val="0"/>
                <w:sz w:val="24"/>
                <w:lang w:bidi="ar"/>
              </w:rPr>
            </w:pPr>
            <w:r>
              <w:rPr>
                <w:rFonts w:hint="eastAsia"/>
                <w:b/>
                <w:bCs/>
                <w:kern w:val="0"/>
                <w:sz w:val="24"/>
                <w:lang w:bidi="ar"/>
              </w:rPr>
              <w:t>（2）</w:t>
            </w:r>
            <w:r>
              <w:rPr>
                <w:b/>
                <w:bCs/>
                <w:kern w:val="0"/>
                <w:sz w:val="24"/>
                <w:lang w:bidi="ar"/>
              </w:rPr>
              <w:t>汽车尾气</w:t>
            </w:r>
            <w:r>
              <w:rPr>
                <w:rFonts w:hint="eastAsia"/>
                <w:b/>
                <w:bCs/>
                <w:kern w:val="0"/>
                <w:sz w:val="24"/>
                <w:lang w:bidi="ar"/>
              </w:rPr>
              <w:t>治理措施</w:t>
            </w:r>
          </w:p>
          <w:p w14:paraId="2E8550A2">
            <w:pPr>
              <w:spacing w:line="360" w:lineRule="auto"/>
              <w:ind w:firstLine="480"/>
              <w:rPr>
                <w:sz w:val="24"/>
              </w:rPr>
            </w:pPr>
            <w:r>
              <w:rPr>
                <w:sz w:val="24"/>
              </w:rPr>
              <w:t>汽车尾气产生量较小，通过自然扩散，对环境影响较小。</w:t>
            </w:r>
          </w:p>
          <w:p w14:paraId="4B7331E4">
            <w:pPr>
              <w:widowControl/>
              <w:spacing w:line="360" w:lineRule="auto"/>
              <w:ind w:firstLine="482" w:firstLineChars="200"/>
              <w:jc w:val="left"/>
              <w:rPr>
                <w:kern w:val="0"/>
                <w:sz w:val="24"/>
                <w:lang w:bidi="ar"/>
              </w:rPr>
            </w:pPr>
            <w:r>
              <w:rPr>
                <w:rFonts w:hint="eastAsia"/>
                <w:b/>
                <w:bCs/>
                <w:kern w:val="0"/>
                <w:sz w:val="24"/>
                <w:lang w:bidi="ar"/>
              </w:rPr>
              <w:t>（3）</w:t>
            </w:r>
            <w:r>
              <w:rPr>
                <w:b/>
                <w:bCs/>
                <w:color w:val="000000"/>
                <w:kern w:val="0"/>
                <w:sz w:val="24"/>
                <w:lang w:bidi="ar"/>
              </w:rPr>
              <w:t>柴油发电机废气</w:t>
            </w:r>
            <w:r>
              <w:rPr>
                <w:rFonts w:hint="eastAsia"/>
                <w:b/>
                <w:bCs/>
                <w:color w:val="000000"/>
                <w:kern w:val="0"/>
                <w:sz w:val="24"/>
                <w:lang w:bidi="ar"/>
              </w:rPr>
              <w:t>治理措施</w:t>
            </w:r>
          </w:p>
          <w:p w14:paraId="1D4DC5E8">
            <w:pPr>
              <w:widowControl/>
              <w:spacing w:line="360" w:lineRule="auto"/>
              <w:ind w:firstLine="480" w:firstLineChars="200"/>
              <w:jc w:val="left"/>
              <w:rPr>
                <w:kern w:val="0"/>
                <w:sz w:val="24"/>
                <w:lang w:bidi="ar"/>
              </w:rPr>
            </w:pPr>
            <w:r>
              <w:rPr>
                <w:rFonts w:hint="eastAsia"/>
                <w:kern w:val="0"/>
                <w:sz w:val="24"/>
                <w:lang w:bidi="ar"/>
              </w:rPr>
              <w:t>本次评价要求</w:t>
            </w:r>
            <w:r>
              <w:rPr>
                <w:kern w:val="0"/>
                <w:sz w:val="24"/>
                <w:lang w:bidi="ar"/>
              </w:rPr>
              <w:t>柴油发电机房采用机械送、排风的形式保持良好的通风性，柴油发电机排放的废气</w:t>
            </w:r>
            <w:r>
              <w:rPr>
                <w:sz w:val="24"/>
              </w:rPr>
              <w:t>通过设备自带的消烟除尘装置处理后</w:t>
            </w:r>
            <w:r>
              <w:rPr>
                <w:rFonts w:hint="eastAsia"/>
                <w:sz w:val="24"/>
              </w:rPr>
              <w:t>经</w:t>
            </w:r>
            <w:r>
              <w:rPr>
                <w:kern w:val="0"/>
                <w:sz w:val="24"/>
                <w:lang w:bidi="ar"/>
              </w:rPr>
              <w:t>抽风机抽至地面排风口处排放。由于柴油发电机只有停电时才会启用，使用频率小，所产生的污染属于间歇性的，产生的废气量很少，采取上述措施后完全能够达标排放。</w:t>
            </w:r>
          </w:p>
          <w:p w14:paraId="4BAE1319">
            <w:pPr>
              <w:pStyle w:val="11"/>
              <w:numPr>
                <w:ilvl w:val="0"/>
                <w:numId w:val="7"/>
              </w:numPr>
              <w:spacing w:before="120" w:beforeLines="50" w:after="0" w:line="360" w:lineRule="auto"/>
              <w:ind w:firstLine="482" w:firstLineChars="200"/>
              <w:rPr>
                <w:b/>
                <w:bCs/>
                <w:sz w:val="24"/>
              </w:rPr>
            </w:pPr>
            <w:r>
              <w:rPr>
                <w:b/>
                <w:bCs/>
                <w:sz w:val="24"/>
              </w:rPr>
              <w:t>污染物</w:t>
            </w:r>
            <w:r>
              <w:rPr>
                <w:rFonts w:hint="eastAsia"/>
                <w:b/>
                <w:bCs/>
                <w:sz w:val="24"/>
              </w:rPr>
              <w:t>产生、</w:t>
            </w:r>
            <w:r>
              <w:rPr>
                <w:b/>
                <w:bCs/>
                <w:sz w:val="24"/>
              </w:rPr>
              <w:t>排放</w:t>
            </w:r>
            <w:r>
              <w:rPr>
                <w:rFonts w:hint="eastAsia"/>
                <w:b/>
                <w:bCs/>
                <w:sz w:val="24"/>
              </w:rPr>
              <w:t>情况</w:t>
            </w:r>
          </w:p>
          <w:p w14:paraId="701F7A4C">
            <w:pPr>
              <w:widowControl/>
              <w:spacing w:line="360" w:lineRule="auto"/>
              <w:ind w:firstLine="480" w:firstLineChars="200"/>
              <w:jc w:val="left"/>
              <w:rPr>
                <w:kern w:val="0"/>
                <w:sz w:val="24"/>
                <w:lang w:bidi="ar"/>
              </w:rPr>
            </w:pPr>
            <w:r>
              <w:rPr>
                <w:rFonts w:hint="eastAsia"/>
                <w:kern w:val="0"/>
                <w:sz w:val="24"/>
                <w:lang w:bidi="ar"/>
              </w:rPr>
              <w:t>本项目废气有组织收集效率为90</w:t>
            </w:r>
            <w:r>
              <w:rPr>
                <w:kern w:val="0"/>
                <w:sz w:val="24"/>
                <w:lang w:bidi="ar"/>
              </w:rPr>
              <w:t>%</w:t>
            </w:r>
            <w:r>
              <w:rPr>
                <w:rFonts w:hint="eastAsia"/>
                <w:kern w:val="0"/>
                <w:sz w:val="24"/>
                <w:lang w:bidi="ar"/>
              </w:rPr>
              <w:t>，除臭除尘系统配套风机风量100000</w:t>
            </w:r>
            <w:r>
              <w:rPr>
                <w:kern w:val="0"/>
                <w:sz w:val="24"/>
                <w:lang w:bidi="ar"/>
              </w:rPr>
              <w:t>m</w:t>
            </w:r>
            <w:r>
              <w:rPr>
                <w:kern w:val="0"/>
                <w:sz w:val="24"/>
                <w:vertAlign w:val="superscript"/>
                <w:lang w:bidi="ar"/>
              </w:rPr>
              <w:t>3</w:t>
            </w:r>
            <w:r>
              <w:rPr>
                <w:kern w:val="0"/>
                <w:sz w:val="24"/>
                <w:lang w:bidi="ar"/>
              </w:rPr>
              <w:t xml:space="preserve"> /h</w:t>
            </w:r>
            <w:r>
              <w:rPr>
                <w:rFonts w:hint="eastAsia"/>
                <w:kern w:val="0"/>
                <w:sz w:val="24"/>
                <w:lang w:bidi="ar"/>
              </w:rPr>
              <w:t>，</w:t>
            </w:r>
            <w:r>
              <w:rPr>
                <w:kern w:val="0"/>
                <w:sz w:val="24"/>
                <w:lang w:bidi="ar"/>
              </w:rPr>
              <w:t>H</w:t>
            </w:r>
            <w:r>
              <w:rPr>
                <w:kern w:val="0"/>
                <w:sz w:val="24"/>
                <w:vertAlign w:val="subscript"/>
                <w:lang w:bidi="ar"/>
              </w:rPr>
              <w:t>2</w:t>
            </w:r>
            <w:r>
              <w:rPr>
                <w:kern w:val="0"/>
                <w:sz w:val="24"/>
                <w:lang w:bidi="ar"/>
              </w:rPr>
              <w:t>S</w:t>
            </w:r>
            <w:r>
              <w:rPr>
                <w:rFonts w:hint="eastAsia"/>
                <w:kern w:val="0"/>
                <w:sz w:val="24"/>
                <w:lang w:bidi="ar"/>
              </w:rPr>
              <w:t>和</w:t>
            </w:r>
            <w:r>
              <w:rPr>
                <w:kern w:val="0"/>
                <w:sz w:val="24"/>
                <w:lang w:bidi="ar"/>
              </w:rPr>
              <w:t>NH</w:t>
            </w:r>
            <w:r>
              <w:rPr>
                <w:kern w:val="0"/>
                <w:sz w:val="24"/>
                <w:vertAlign w:val="subscript"/>
                <w:lang w:bidi="ar"/>
              </w:rPr>
              <w:t>3</w:t>
            </w:r>
            <w:r>
              <w:rPr>
                <w:rFonts w:hint="eastAsia"/>
                <w:kern w:val="0"/>
                <w:sz w:val="24"/>
                <w:lang w:bidi="ar"/>
              </w:rPr>
              <w:t>去除率可达</w:t>
            </w:r>
            <w:r>
              <w:rPr>
                <w:kern w:val="0"/>
                <w:sz w:val="24"/>
                <w:lang w:bidi="ar"/>
              </w:rPr>
              <w:t>90%</w:t>
            </w:r>
            <w:r>
              <w:rPr>
                <w:rFonts w:hint="eastAsia"/>
                <w:kern w:val="0"/>
                <w:sz w:val="24"/>
                <w:lang w:bidi="ar"/>
              </w:rPr>
              <w:t>，粉尘去除率可达</w:t>
            </w:r>
            <w:r>
              <w:rPr>
                <w:kern w:val="0"/>
                <w:sz w:val="24"/>
                <w:lang w:bidi="ar"/>
              </w:rPr>
              <w:t>90%</w:t>
            </w:r>
            <w:r>
              <w:rPr>
                <w:rFonts w:hint="eastAsia"/>
                <w:kern w:val="0"/>
                <w:sz w:val="24"/>
                <w:lang w:bidi="ar"/>
              </w:rPr>
              <w:t>，废气经处理后由</w:t>
            </w:r>
            <w:r>
              <w:rPr>
                <w:kern w:val="0"/>
                <w:sz w:val="24"/>
                <w:lang w:bidi="ar"/>
              </w:rPr>
              <w:t>1</w:t>
            </w:r>
            <w:r>
              <w:rPr>
                <w:rFonts w:hint="eastAsia"/>
                <w:kern w:val="0"/>
                <w:sz w:val="24"/>
                <w:lang w:bidi="ar"/>
              </w:rPr>
              <w:t>根</w:t>
            </w:r>
            <w:r>
              <w:rPr>
                <w:kern w:val="0"/>
                <w:sz w:val="24"/>
                <w:lang w:bidi="ar"/>
              </w:rPr>
              <w:t>15m</w:t>
            </w:r>
            <w:r>
              <w:rPr>
                <w:rFonts w:hint="eastAsia"/>
                <w:kern w:val="0"/>
                <w:sz w:val="24"/>
                <w:lang w:bidi="ar"/>
              </w:rPr>
              <w:t>高排气筒（</w:t>
            </w:r>
            <w:r>
              <w:rPr>
                <w:kern w:val="0"/>
                <w:sz w:val="24"/>
                <w:lang w:bidi="ar"/>
              </w:rPr>
              <w:t>DA001</w:t>
            </w:r>
            <w:r>
              <w:rPr>
                <w:rFonts w:hint="eastAsia"/>
                <w:kern w:val="0"/>
                <w:sz w:val="24"/>
                <w:lang w:bidi="ar"/>
              </w:rPr>
              <w:t>）排放。</w:t>
            </w:r>
          </w:p>
          <w:p w14:paraId="02A3BC1C">
            <w:pPr>
              <w:widowControl/>
              <w:spacing w:line="360" w:lineRule="auto"/>
              <w:ind w:firstLine="480" w:firstLineChars="200"/>
              <w:jc w:val="left"/>
            </w:pPr>
            <w:r>
              <w:rPr>
                <w:rFonts w:hint="eastAsia"/>
                <w:kern w:val="0"/>
                <w:sz w:val="24"/>
                <w:lang w:bidi="ar"/>
              </w:rPr>
              <w:t>转运站无组织废气采取植物液雾化喷淋系统除臭，去除效率按</w:t>
            </w:r>
            <w:r>
              <w:rPr>
                <w:kern w:val="0"/>
                <w:sz w:val="24"/>
                <w:lang w:bidi="ar"/>
              </w:rPr>
              <w:t>70%</w:t>
            </w:r>
            <w:r>
              <w:rPr>
                <w:rFonts w:hint="eastAsia"/>
                <w:kern w:val="0"/>
                <w:sz w:val="24"/>
                <w:lang w:bidi="ar"/>
              </w:rPr>
              <w:t>计；自建污水处理车间无组织废气，通过喷洒除臭剂对无组织废气进行处理，去除效率按</w:t>
            </w:r>
            <w:r>
              <w:rPr>
                <w:kern w:val="0"/>
                <w:sz w:val="24"/>
                <w:lang w:bidi="ar"/>
              </w:rPr>
              <w:t>70%</w:t>
            </w:r>
            <w:r>
              <w:rPr>
                <w:rFonts w:hint="eastAsia"/>
                <w:kern w:val="0"/>
                <w:sz w:val="24"/>
                <w:lang w:bidi="ar"/>
              </w:rPr>
              <w:t xml:space="preserve">计，可有效减少恶臭气体逸散至环境。 </w:t>
            </w:r>
          </w:p>
          <w:p w14:paraId="5E743372">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①</w:t>
            </w:r>
            <w:r>
              <w:rPr>
                <w:b/>
                <w:bCs/>
                <w:sz w:val="24"/>
              </w:rPr>
              <w:t>废</w:t>
            </w:r>
            <w:r>
              <w:rPr>
                <w:rFonts w:hint="eastAsia"/>
                <w:b/>
                <w:bCs/>
                <w:sz w:val="24"/>
              </w:rPr>
              <w:t>气</w:t>
            </w:r>
            <w:r>
              <w:rPr>
                <w:b/>
                <w:bCs/>
                <w:sz w:val="24"/>
              </w:rPr>
              <w:t>类别、污染物及治理设施信息</w:t>
            </w:r>
          </w:p>
          <w:p w14:paraId="2AE67BE0">
            <w:pPr>
              <w:jc w:val="center"/>
              <w:rPr>
                <w:b/>
                <w:bCs/>
                <w:szCs w:val="21"/>
              </w:rPr>
            </w:pPr>
            <w:r>
              <w:rPr>
                <w:b/>
                <w:bCs/>
                <w:szCs w:val="21"/>
              </w:rPr>
              <w:t>表4-</w:t>
            </w:r>
            <w:r>
              <w:rPr>
                <w:rFonts w:hint="eastAsia"/>
                <w:b/>
                <w:bCs/>
                <w:szCs w:val="21"/>
              </w:rPr>
              <w:t xml:space="preserve">6  </w:t>
            </w:r>
            <w:r>
              <w:rPr>
                <w:b/>
                <w:bCs/>
                <w:szCs w:val="21"/>
              </w:rPr>
              <w:t>废气污染物排放信息</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2"/>
              <w:gridCol w:w="469"/>
              <w:gridCol w:w="469"/>
              <w:gridCol w:w="674"/>
              <w:gridCol w:w="645"/>
              <w:gridCol w:w="678"/>
              <w:gridCol w:w="424"/>
              <w:gridCol w:w="436"/>
              <w:gridCol w:w="443"/>
              <w:gridCol w:w="263"/>
              <w:gridCol w:w="673"/>
              <w:gridCol w:w="619"/>
              <w:gridCol w:w="529"/>
              <w:gridCol w:w="802"/>
              <w:gridCol w:w="448"/>
              <w:gridCol w:w="639"/>
            </w:tblGrid>
            <w:tr w14:paraId="5A5F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restart"/>
                  <w:shd w:val="clear" w:color="auto" w:fill="auto"/>
                  <w:vAlign w:val="center"/>
                </w:tcPr>
                <w:p w14:paraId="672B1A96">
                  <w:pPr>
                    <w:adjustRightInd w:val="0"/>
                    <w:snapToGrid w:val="0"/>
                    <w:spacing w:line="320" w:lineRule="exact"/>
                    <w:jc w:val="center"/>
                    <w:rPr>
                      <w:b/>
                      <w:bCs/>
                      <w:sz w:val="20"/>
                      <w:szCs w:val="20"/>
                    </w:rPr>
                  </w:pPr>
                  <w:r>
                    <w:rPr>
                      <w:rFonts w:hint="eastAsia"/>
                      <w:b/>
                      <w:bCs/>
                      <w:sz w:val="20"/>
                      <w:szCs w:val="20"/>
                    </w:rPr>
                    <w:t>序号</w:t>
                  </w:r>
                </w:p>
              </w:tc>
              <w:tc>
                <w:tcPr>
                  <w:tcW w:w="277" w:type="pct"/>
                  <w:vMerge w:val="restart"/>
                  <w:vAlign w:val="center"/>
                </w:tcPr>
                <w:p w14:paraId="7BA7E101">
                  <w:pPr>
                    <w:adjustRightInd w:val="0"/>
                    <w:snapToGrid w:val="0"/>
                    <w:spacing w:line="320" w:lineRule="exact"/>
                    <w:jc w:val="center"/>
                    <w:rPr>
                      <w:b/>
                      <w:bCs/>
                      <w:sz w:val="20"/>
                      <w:szCs w:val="20"/>
                    </w:rPr>
                  </w:pPr>
                  <w:r>
                    <w:rPr>
                      <w:b/>
                      <w:bCs/>
                      <w:sz w:val="20"/>
                      <w:szCs w:val="20"/>
                    </w:rPr>
                    <w:t>排放生产单元</w:t>
                  </w:r>
                </w:p>
              </w:tc>
              <w:tc>
                <w:tcPr>
                  <w:tcW w:w="277" w:type="pct"/>
                  <w:vMerge w:val="restart"/>
                  <w:vAlign w:val="center"/>
                </w:tcPr>
                <w:p w14:paraId="726FCE82">
                  <w:pPr>
                    <w:adjustRightInd w:val="0"/>
                    <w:snapToGrid w:val="0"/>
                    <w:spacing w:line="320" w:lineRule="exact"/>
                    <w:jc w:val="center"/>
                    <w:rPr>
                      <w:b/>
                      <w:bCs/>
                      <w:sz w:val="20"/>
                      <w:szCs w:val="20"/>
                    </w:rPr>
                  </w:pPr>
                  <w:r>
                    <w:rPr>
                      <w:b/>
                      <w:bCs/>
                      <w:sz w:val="20"/>
                      <w:szCs w:val="20"/>
                    </w:rPr>
                    <w:t>产污</w:t>
                  </w:r>
                </w:p>
                <w:p w14:paraId="465247D7">
                  <w:pPr>
                    <w:adjustRightInd w:val="0"/>
                    <w:snapToGrid w:val="0"/>
                    <w:spacing w:line="320" w:lineRule="exact"/>
                    <w:jc w:val="center"/>
                    <w:rPr>
                      <w:b/>
                      <w:bCs/>
                      <w:sz w:val="20"/>
                      <w:szCs w:val="20"/>
                    </w:rPr>
                  </w:pPr>
                  <w:r>
                    <w:rPr>
                      <w:b/>
                      <w:bCs/>
                      <w:sz w:val="20"/>
                      <w:szCs w:val="20"/>
                    </w:rPr>
                    <w:t>设施</w:t>
                  </w:r>
                </w:p>
              </w:tc>
              <w:tc>
                <w:tcPr>
                  <w:tcW w:w="398" w:type="pct"/>
                  <w:vMerge w:val="restart"/>
                  <w:vAlign w:val="center"/>
                </w:tcPr>
                <w:p w14:paraId="5D9ACB43">
                  <w:pPr>
                    <w:adjustRightInd w:val="0"/>
                    <w:snapToGrid w:val="0"/>
                    <w:spacing w:line="320" w:lineRule="exact"/>
                    <w:jc w:val="center"/>
                    <w:rPr>
                      <w:b/>
                      <w:bCs/>
                      <w:sz w:val="20"/>
                      <w:szCs w:val="20"/>
                    </w:rPr>
                  </w:pPr>
                  <w:r>
                    <w:rPr>
                      <w:b/>
                      <w:bCs/>
                      <w:sz w:val="20"/>
                      <w:szCs w:val="20"/>
                    </w:rPr>
                    <w:t>污染物</w:t>
                  </w:r>
                </w:p>
                <w:p w14:paraId="1674A01C">
                  <w:pPr>
                    <w:adjustRightInd w:val="0"/>
                    <w:snapToGrid w:val="0"/>
                    <w:spacing w:line="320" w:lineRule="exact"/>
                    <w:jc w:val="center"/>
                    <w:rPr>
                      <w:b/>
                      <w:bCs/>
                      <w:sz w:val="20"/>
                      <w:szCs w:val="20"/>
                    </w:rPr>
                  </w:pPr>
                  <w:r>
                    <w:rPr>
                      <w:b/>
                      <w:bCs/>
                      <w:sz w:val="20"/>
                      <w:szCs w:val="20"/>
                    </w:rPr>
                    <w:t>类型</w:t>
                  </w:r>
                </w:p>
              </w:tc>
              <w:tc>
                <w:tcPr>
                  <w:tcW w:w="781" w:type="pct"/>
                  <w:gridSpan w:val="2"/>
                  <w:vAlign w:val="center"/>
                </w:tcPr>
                <w:p w14:paraId="132F12B0">
                  <w:pPr>
                    <w:adjustRightInd w:val="0"/>
                    <w:snapToGrid w:val="0"/>
                    <w:spacing w:line="320" w:lineRule="exact"/>
                    <w:jc w:val="center"/>
                    <w:rPr>
                      <w:b/>
                      <w:bCs/>
                      <w:sz w:val="20"/>
                      <w:szCs w:val="20"/>
                    </w:rPr>
                  </w:pPr>
                  <w:r>
                    <w:rPr>
                      <w:b/>
                      <w:bCs/>
                      <w:sz w:val="20"/>
                      <w:szCs w:val="20"/>
                    </w:rPr>
                    <w:t>污染物产生情况</w:t>
                  </w:r>
                </w:p>
              </w:tc>
              <w:tc>
                <w:tcPr>
                  <w:tcW w:w="768" w:type="pct"/>
                  <w:gridSpan w:val="3"/>
                  <w:vAlign w:val="center"/>
                </w:tcPr>
                <w:p w14:paraId="0FECAC7A">
                  <w:pPr>
                    <w:adjustRightInd w:val="0"/>
                    <w:snapToGrid w:val="0"/>
                    <w:spacing w:line="320" w:lineRule="exact"/>
                    <w:jc w:val="center"/>
                    <w:rPr>
                      <w:b/>
                      <w:bCs/>
                      <w:sz w:val="20"/>
                      <w:szCs w:val="20"/>
                    </w:rPr>
                  </w:pPr>
                  <w:r>
                    <w:rPr>
                      <w:b/>
                      <w:bCs/>
                      <w:sz w:val="20"/>
                      <w:szCs w:val="20"/>
                    </w:rPr>
                    <w:t>废气治理设施</w:t>
                  </w:r>
                </w:p>
              </w:tc>
              <w:tc>
                <w:tcPr>
                  <w:tcW w:w="155" w:type="pct"/>
                  <w:vMerge w:val="restart"/>
                  <w:vAlign w:val="center"/>
                </w:tcPr>
                <w:p w14:paraId="05A18330">
                  <w:pPr>
                    <w:adjustRightInd w:val="0"/>
                    <w:snapToGrid w:val="0"/>
                    <w:spacing w:line="320" w:lineRule="exact"/>
                    <w:jc w:val="center"/>
                    <w:rPr>
                      <w:b/>
                      <w:bCs/>
                      <w:sz w:val="20"/>
                      <w:szCs w:val="20"/>
                    </w:rPr>
                  </w:pPr>
                  <w:r>
                    <w:rPr>
                      <w:b/>
                      <w:bCs/>
                      <w:sz w:val="20"/>
                      <w:szCs w:val="20"/>
                    </w:rPr>
                    <w:t>是否为可行技术</w:t>
                  </w:r>
                </w:p>
              </w:tc>
              <w:tc>
                <w:tcPr>
                  <w:tcW w:w="1543" w:type="pct"/>
                  <w:gridSpan w:val="4"/>
                  <w:vAlign w:val="center"/>
                </w:tcPr>
                <w:p w14:paraId="20328B20">
                  <w:pPr>
                    <w:adjustRightInd w:val="0"/>
                    <w:snapToGrid w:val="0"/>
                    <w:spacing w:line="320" w:lineRule="exact"/>
                    <w:jc w:val="center"/>
                    <w:rPr>
                      <w:b/>
                      <w:bCs/>
                      <w:sz w:val="20"/>
                      <w:szCs w:val="20"/>
                    </w:rPr>
                  </w:pPr>
                  <w:r>
                    <w:rPr>
                      <w:b/>
                      <w:bCs/>
                      <w:sz w:val="20"/>
                      <w:szCs w:val="20"/>
                    </w:rPr>
                    <w:t>污染物排放情况</w:t>
                  </w:r>
                </w:p>
              </w:tc>
              <w:tc>
                <w:tcPr>
                  <w:tcW w:w="641" w:type="pct"/>
                  <w:gridSpan w:val="2"/>
                  <w:noWrap/>
                  <w:vAlign w:val="center"/>
                </w:tcPr>
                <w:p w14:paraId="4E10176D">
                  <w:pPr>
                    <w:adjustRightInd w:val="0"/>
                    <w:snapToGrid w:val="0"/>
                    <w:spacing w:line="320" w:lineRule="exact"/>
                    <w:jc w:val="center"/>
                    <w:rPr>
                      <w:b/>
                      <w:bCs/>
                      <w:sz w:val="20"/>
                      <w:szCs w:val="20"/>
                    </w:rPr>
                  </w:pPr>
                  <w:r>
                    <w:rPr>
                      <w:b/>
                      <w:bCs/>
                      <w:sz w:val="20"/>
                      <w:szCs w:val="20"/>
                    </w:rPr>
                    <w:t>排放标准</w:t>
                  </w:r>
                </w:p>
              </w:tc>
            </w:tr>
            <w:tr w14:paraId="70E1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1F5A1056">
                  <w:pPr>
                    <w:adjustRightInd w:val="0"/>
                    <w:snapToGrid w:val="0"/>
                    <w:spacing w:line="320" w:lineRule="exact"/>
                    <w:jc w:val="center"/>
                    <w:rPr>
                      <w:b/>
                      <w:bCs/>
                      <w:sz w:val="20"/>
                      <w:szCs w:val="20"/>
                    </w:rPr>
                  </w:pPr>
                </w:p>
              </w:tc>
              <w:tc>
                <w:tcPr>
                  <w:tcW w:w="277" w:type="pct"/>
                  <w:vMerge w:val="continue"/>
                  <w:vAlign w:val="center"/>
                </w:tcPr>
                <w:p w14:paraId="5D3166A4">
                  <w:pPr>
                    <w:adjustRightInd w:val="0"/>
                    <w:snapToGrid w:val="0"/>
                    <w:spacing w:line="320" w:lineRule="exact"/>
                    <w:jc w:val="center"/>
                    <w:rPr>
                      <w:b/>
                      <w:bCs/>
                      <w:sz w:val="20"/>
                      <w:szCs w:val="20"/>
                    </w:rPr>
                  </w:pPr>
                </w:p>
              </w:tc>
              <w:tc>
                <w:tcPr>
                  <w:tcW w:w="277" w:type="pct"/>
                  <w:vMerge w:val="continue"/>
                  <w:vAlign w:val="center"/>
                </w:tcPr>
                <w:p w14:paraId="4B3B92A5">
                  <w:pPr>
                    <w:adjustRightInd w:val="0"/>
                    <w:snapToGrid w:val="0"/>
                    <w:spacing w:line="320" w:lineRule="exact"/>
                    <w:jc w:val="center"/>
                    <w:rPr>
                      <w:b/>
                      <w:bCs/>
                      <w:sz w:val="20"/>
                      <w:szCs w:val="20"/>
                    </w:rPr>
                  </w:pPr>
                </w:p>
              </w:tc>
              <w:tc>
                <w:tcPr>
                  <w:tcW w:w="398" w:type="pct"/>
                  <w:vMerge w:val="continue"/>
                  <w:vAlign w:val="center"/>
                </w:tcPr>
                <w:p w14:paraId="4775A174">
                  <w:pPr>
                    <w:adjustRightInd w:val="0"/>
                    <w:snapToGrid w:val="0"/>
                    <w:spacing w:line="320" w:lineRule="exact"/>
                    <w:jc w:val="center"/>
                    <w:rPr>
                      <w:b/>
                      <w:bCs/>
                      <w:sz w:val="20"/>
                      <w:szCs w:val="20"/>
                    </w:rPr>
                  </w:pPr>
                </w:p>
              </w:tc>
              <w:tc>
                <w:tcPr>
                  <w:tcW w:w="381" w:type="pct"/>
                  <w:vAlign w:val="center"/>
                </w:tcPr>
                <w:p w14:paraId="06BFACFF">
                  <w:pPr>
                    <w:adjustRightInd w:val="0"/>
                    <w:snapToGrid w:val="0"/>
                    <w:spacing w:line="320" w:lineRule="exact"/>
                    <w:jc w:val="center"/>
                    <w:rPr>
                      <w:b/>
                      <w:bCs/>
                      <w:sz w:val="20"/>
                      <w:szCs w:val="20"/>
                    </w:rPr>
                  </w:pPr>
                  <w:r>
                    <w:rPr>
                      <w:b/>
                      <w:bCs/>
                      <w:sz w:val="20"/>
                      <w:szCs w:val="20"/>
                    </w:rPr>
                    <w:t>产生量</w:t>
                  </w:r>
                </w:p>
                <w:p w14:paraId="025C5B8D">
                  <w:pPr>
                    <w:adjustRightInd w:val="0"/>
                    <w:snapToGrid w:val="0"/>
                    <w:spacing w:line="320" w:lineRule="exact"/>
                    <w:jc w:val="center"/>
                    <w:rPr>
                      <w:b/>
                      <w:bCs/>
                      <w:sz w:val="20"/>
                      <w:szCs w:val="20"/>
                    </w:rPr>
                  </w:pPr>
                  <w:r>
                    <w:rPr>
                      <w:rFonts w:hint="eastAsia"/>
                      <w:b/>
                      <w:bCs/>
                      <w:sz w:val="20"/>
                      <w:szCs w:val="20"/>
                    </w:rPr>
                    <w:t>t</w:t>
                  </w:r>
                  <w:r>
                    <w:rPr>
                      <w:b/>
                      <w:bCs/>
                      <w:sz w:val="20"/>
                      <w:szCs w:val="20"/>
                    </w:rPr>
                    <w:t>/a</w:t>
                  </w:r>
                </w:p>
              </w:tc>
              <w:tc>
                <w:tcPr>
                  <w:tcW w:w="400" w:type="pct"/>
                  <w:vAlign w:val="center"/>
                </w:tcPr>
                <w:p w14:paraId="2C30EA72">
                  <w:pPr>
                    <w:adjustRightInd w:val="0"/>
                    <w:snapToGrid w:val="0"/>
                    <w:spacing w:line="320" w:lineRule="exact"/>
                    <w:jc w:val="center"/>
                    <w:rPr>
                      <w:b/>
                      <w:bCs/>
                      <w:sz w:val="20"/>
                      <w:szCs w:val="20"/>
                    </w:rPr>
                  </w:pPr>
                  <w:r>
                    <w:rPr>
                      <w:b/>
                      <w:bCs/>
                      <w:sz w:val="20"/>
                      <w:szCs w:val="20"/>
                    </w:rPr>
                    <w:t>产生速率kg/h</w:t>
                  </w:r>
                </w:p>
              </w:tc>
              <w:tc>
                <w:tcPr>
                  <w:tcW w:w="250" w:type="pct"/>
                  <w:vAlign w:val="center"/>
                </w:tcPr>
                <w:p w14:paraId="6B9ED00F">
                  <w:pPr>
                    <w:adjustRightInd w:val="0"/>
                    <w:snapToGrid w:val="0"/>
                    <w:spacing w:line="320" w:lineRule="exact"/>
                    <w:jc w:val="center"/>
                    <w:rPr>
                      <w:b/>
                      <w:bCs/>
                      <w:sz w:val="20"/>
                      <w:szCs w:val="20"/>
                    </w:rPr>
                  </w:pPr>
                  <w:r>
                    <w:rPr>
                      <w:b/>
                      <w:bCs/>
                      <w:sz w:val="20"/>
                      <w:szCs w:val="20"/>
                    </w:rPr>
                    <w:t>治理设施</w:t>
                  </w:r>
                </w:p>
              </w:tc>
              <w:tc>
                <w:tcPr>
                  <w:tcW w:w="257" w:type="pct"/>
                  <w:vAlign w:val="center"/>
                </w:tcPr>
                <w:p w14:paraId="46A0CC94">
                  <w:pPr>
                    <w:adjustRightInd w:val="0"/>
                    <w:snapToGrid w:val="0"/>
                    <w:spacing w:line="320" w:lineRule="exact"/>
                    <w:jc w:val="center"/>
                    <w:rPr>
                      <w:b/>
                      <w:bCs/>
                      <w:sz w:val="20"/>
                      <w:szCs w:val="20"/>
                    </w:rPr>
                  </w:pPr>
                  <w:r>
                    <w:rPr>
                      <w:b/>
                      <w:bCs/>
                      <w:sz w:val="20"/>
                      <w:szCs w:val="20"/>
                    </w:rPr>
                    <w:t>收集效率</w:t>
                  </w:r>
                </w:p>
              </w:tc>
              <w:tc>
                <w:tcPr>
                  <w:tcW w:w="260" w:type="pct"/>
                  <w:vAlign w:val="center"/>
                </w:tcPr>
                <w:p w14:paraId="21D530CB">
                  <w:pPr>
                    <w:adjustRightInd w:val="0"/>
                    <w:snapToGrid w:val="0"/>
                    <w:spacing w:line="320" w:lineRule="exact"/>
                    <w:jc w:val="center"/>
                    <w:rPr>
                      <w:b/>
                      <w:bCs/>
                      <w:sz w:val="20"/>
                      <w:szCs w:val="20"/>
                    </w:rPr>
                  </w:pPr>
                  <w:r>
                    <w:rPr>
                      <w:b/>
                      <w:bCs/>
                      <w:sz w:val="20"/>
                      <w:szCs w:val="20"/>
                    </w:rPr>
                    <w:t>处理效率</w:t>
                  </w:r>
                </w:p>
              </w:tc>
              <w:tc>
                <w:tcPr>
                  <w:tcW w:w="155" w:type="pct"/>
                  <w:vMerge w:val="continue"/>
                  <w:vAlign w:val="center"/>
                </w:tcPr>
                <w:p w14:paraId="0ABDAC39">
                  <w:pPr>
                    <w:adjustRightInd w:val="0"/>
                    <w:snapToGrid w:val="0"/>
                    <w:spacing w:line="320" w:lineRule="exact"/>
                    <w:jc w:val="center"/>
                    <w:rPr>
                      <w:b/>
                      <w:bCs/>
                      <w:sz w:val="20"/>
                      <w:szCs w:val="20"/>
                    </w:rPr>
                  </w:pPr>
                </w:p>
              </w:tc>
              <w:tc>
                <w:tcPr>
                  <w:tcW w:w="397" w:type="pct"/>
                  <w:vAlign w:val="center"/>
                </w:tcPr>
                <w:p w14:paraId="2984BD55">
                  <w:pPr>
                    <w:adjustRightInd w:val="0"/>
                    <w:snapToGrid w:val="0"/>
                    <w:spacing w:line="320" w:lineRule="exact"/>
                    <w:jc w:val="center"/>
                    <w:rPr>
                      <w:b/>
                      <w:bCs/>
                      <w:sz w:val="20"/>
                      <w:szCs w:val="20"/>
                    </w:rPr>
                  </w:pPr>
                  <w:r>
                    <w:rPr>
                      <w:rFonts w:hint="eastAsia"/>
                      <w:b/>
                      <w:bCs/>
                      <w:sz w:val="20"/>
                      <w:szCs w:val="20"/>
                    </w:rPr>
                    <w:t>排放形式</w:t>
                  </w:r>
                </w:p>
              </w:tc>
              <w:tc>
                <w:tcPr>
                  <w:tcW w:w="365" w:type="pct"/>
                  <w:vAlign w:val="center"/>
                </w:tcPr>
                <w:p w14:paraId="64602950">
                  <w:pPr>
                    <w:adjustRightInd w:val="0"/>
                    <w:snapToGrid w:val="0"/>
                    <w:spacing w:line="320" w:lineRule="exact"/>
                    <w:jc w:val="center"/>
                    <w:rPr>
                      <w:b/>
                      <w:bCs/>
                      <w:sz w:val="20"/>
                      <w:szCs w:val="20"/>
                    </w:rPr>
                  </w:pPr>
                  <w:r>
                    <w:rPr>
                      <w:b/>
                      <w:bCs/>
                      <w:sz w:val="20"/>
                      <w:szCs w:val="20"/>
                    </w:rPr>
                    <w:t>排放量</w:t>
                  </w:r>
                  <w:r>
                    <w:rPr>
                      <w:rFonts w:hint="eastAsia"/>
                      <w:b/>
                      <w:bCs/>
                      <w:sz w:val="20"/>
                      <w:szCs w:val="20"/>
                    </w:rPr>
                    <w:t>t</w:t>
                  </w:r>
                  <w:r>
                    <w:rPr>
                      <w:b/>
                      <w:bCs/>
                      <w:sz w:val="20"/>
                      <w:szCs w:val="20"/>
                    </w:rPr>
                    <w:t>/a</w:t>
                  </w:r>
                </w:p>
              </w:tc>
              <w:tc>
                <w:tcPr>
                  <w:tcW w:w="308" w:type="pct"/>
                  <w:vAlign w:val="center"/>
                </w:tcPr>
                <w:p w14:paraId="581DCE2F">
                  <w:pPr>
                    <w:adjustRightInd w:val="0"/>
                    <w:snapToGrid w:val="0"/>
                    <w:spacing w:line="320" w:lineRule="exact"/>
                    <w:jc w:val="center"/>
                    <w:rPr>
                      <w:b/>
                      <w:bCs/>
                      <w:sz w:val="20"/>
                      <w:szCs w:val="20"/>
                    </w:rPr>
                  </w:pPr>
                  <w:r>
                    <w:rPr>
                      <w:b/>
                      <w:bCs/>
                      <w:sz w:val="20"/>
                      <w:szCs w:val="20"/>
                    </w:rPr>
                    <w:t>排放速率g/h</w:t>
                  </w:r>
                </w:p>
              </w:tc>
              <w:tc>
                <w:tcPr>
                  <w:tcW w:w="473" w:type="pct"/>
                  <w:vAlign w:val="center"/>
                </w:tcPr>
                <w:p w14:paraId="0A7BBF0A">
                  <w:pPr>
                    <w:adjustRightInd w:val="0"/>
                    <w:snapToGrid w:val="0"/>
                    <w:spacing w:line="320" w:lineRule="exact"/>
                    <w:jc w:val="center"/>
                    <w:rPr>
                      <w:b/>
                      <w:bCs/>
                      <w:sz w:val="20"/>
                      <w:szCs w:val="20"/>
                    </w:rPr>
                  </w:pPr>
                  <w:r>
                    <w:rPr>
                      <w:b/>
                      <w:bCs/>
                      <w:sz w:val="20"/>
                      <w:szCs w:val="20"/>
                    </w:rPr>
                    <w:t>排放浓度mg/m</w:t>
                  </w:r>
                  <w:r>
                    <w:rPr>
                      <w:b/>
                      <w:bCs/>
                      <w:sz w:val="20"/>
                      <w:szCs w:val="20"/>
                      <w:vertAlign w:val="superscript"/>
                    </w:rPr>
                    <w:t>3</w:t>
                  </w:r>
                </w:p>
              </w:tc>
              <w:tc>
                <w:tcPr>
                  <w:tcW w:w="264" w:type="pct"/>
                  <w:vAlign w:val="center"/>
                </w:tcPr>
                <w:p w14:paraId="485C8D91">
                  <w:pPr>
                    <w:adjustRightInd w:val="0"/>
                    <w:snapToGrid w:val="0"/>
                    <w:spacing w:line="320" w:lineRule="exact"/>
                    <w:jc w:val="center"/>
                    <w:rPr>
                      <w:b/>
                      <w:bCs/>
                      <w:sz w:val="20"/>
                      <w:szCs w:val="20"/>
                    </w:rPr>
                  </w:pPr>
                  <w:r>
                    <w:rPr>
                      <w:b/>
                      <w:bCs/>
                      <w:sz w:val="20"/>
                      <w:szCs w:val="20"/>
                    </w:rPr>
                    <w:t>排放速率kg/h</w:t>
                  </w:r>
                </w:p>
              </w:tc>
              <w:tc>
                <w:tcPr>
                  <w:tcW w:w="377" w:type="pct"/>
                  <w:vAlign w:val="center"/>
                </w:tcPr>
                <w:p w14:paraId="21AFD097">
                  <w:pPr>
                    <w:adjustRightInd w:val="0"/>
                    <w:snapToGrid w:val="0"/>
                    <w:spacing w:line="320" w:lineRule="exact"/>
                    <w:jc w:val="center"/>
                    <w:rPr>
                      <w:b/>
                      <w:bCs/>
                      <w:sz w:val="20"/>
                      <w:szCs w:val="20"/>
                    </w:rPr>
                  </w:pPr>
                  <w:r>
                    <w:rPr>
                      <w:b/>
                      <w:bCs/>
                      <w:sz w:val="20"/>
                      <w:szCs w:val="20"/>
                    </w:rPr>
                    <w:t>排放浓度mg/m</w:t>
                  </w:r>
                  <w:r>
                    <w:rPr>
                      <w:b/>
                      <w:bCs/>
                      <w:sz w:val="20"/>
                      <w:szCs w:val="20"/>
                      <w:vertAlign w:val="superscript"/>
                    </w:rPr>
                    <w:t>3</w:t>
                  </w:r>
                </w:p>
              </w:tc>
            </w:tr>
            <w:tr w14:paraId="623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restart"/>
                  <w:shd w:val="clear" w:color="auto" w:fill="auto"/>
                  <w:vAlign w:val="center"/>
                </w:tcPr>
                <w:p w14:paraId="265A5309">
                  <w:pPr>
                    <w:adjustRightInd w:val="0"/>
                    <w:snapToGrid w:val="0"/>
                    <w:spacing w:line="320" w:lineRule="exact"/>
                    <w:jc w:val="center"/>
                    <w:rPr>
                      <w:sz w:val="20"/>
                      <w:szCs w:val="20"/>
                    </w:rPr>
                  </w:pPr>
                  <w:r>
                    <w:rPr>
                      <w:rFonts w:hint="eastAsia"/>
                      <w:sz w:val="20"/>
                      <w:szCs w:val="20"/>
                    </w:rPr>
                    <w:t>1</w:t>
                  </w:r>
                </w:p>
              </w:tc>
              <w:tc>
                <w:tcPr>
                  <w:tcW w:w="277" w:type="pct"/>
                  <w:vMerge w:val="restart"/>
                  <w:vAlign w:val="center"/>
                </w:tcPr>
                <w:p w14:paraId="723037A4">
                  <w:pPr>
                    <w:adjustRightInd w:val="0"/>
                    <w:snapToGrid w:val="0"/>
                    <w:spacing w:line="320" w:lineRule="exact"/>
                    <w:jc w:val="center"/>
                    <w:rPr>
                      <w:sz w:val="20"/>
                      <w:szCs w:val="20"/>
                    </w:rPr>
                  </w:pPr>
                  <w:r>
                    <w:rPr>
                      <w:rFonts w:hint="eastAsia"/>
                      <w:sz w:val="20"/>
                      <w:szCs w:val="20"/>
                    </w:rPr>
                    <w:t>垃圾站房压缩车间、卸料平台、污水处理车间</w:t>
                  </w:r>
                </w:p>
              </w:tc>
              <w:tc>
                <w:tcPr>
                  <w:tcW w:w="277" w:type="pct"/>
                  <w:vMerge w:val="restart"/>
                  <w:vAlign w:val="center"/>
                </w:tcPr>
                <w:p w14:paraId="3ED37156">
                  <w:pPr>
                    <w:adjustRightInd w:val="0"/>
                    <w:snapToGrid w:val="0"/>
                    <w:spacing w:line="320" w:lineRule="exact"/>
                    <w:jc w:val="center"/>
                    <w:rPr>
                      <w:sz w:val="20"/>
                      <w:szCs w:val="20"/>
                    </w:rPr>
                  </w:pPr>
                  <w:r>
                    <w:rPr>
                      <w:rFonts w:hint="eastAsia"/>
                      <w:sz w:val="20"/>
                      <w:szCs w:val="20"/>
                    </w:rPr>
                    <w:t>垃圾卸料、压缩、污水处理</w:t>
                  </w:r>
                </w:p>
              </w:tc>
              <w:tc>
                <w:tcPr>
                  <w:tcW w:w="398" w:type="pct"/>
                  <w:vMerge w:val="restart"/>
                  <w:shd w:val="clear" w:color="auto" w:fill="auto"/>
                  <w:noWrap/>
                  <w:vAlign w:val="center"/>
                </w:tcPr>
                <w:p w14:paraId="50AFB34D">
                  <w:pPr>
                    <w:adjustRightInd w:val="0"/>
                    <w:snapToGrid w:val="0"/>
                    <w:spacing w:line="320" w:lineRule="exact"/>
                    <w:jc w:val="center"/>
                    <w:rPr>
                      <w:sz w:val="20"/>
                      <w:szCs w:val="20"/>
                    </w:rPr>
                  </w:pPr>
                  <w:r>
                    <w:rPr>
                      <w:rFonts w:hint="eastAsia"/>
                      <w:sz w:val="20"/>
                      <w:szCs w:val="20"/>
                    </w:rPr>
                    <w:t>颗粒物</w:t>
                  </w:r>
                </w:p>
              </w:tc>
              <w:tc>
                <w:tcPr>
                  <w:tcW w:w="381" w:type="pct"/>
                  <w:vMerge w:val="restart"/>
                  <w:vAlign w:val="center"/>
                </w:tcPr>
                <w:p w14:paraId="7F7E809D">
                  <w:pPr>
                    <w:widowControl/>
                    <w:jc w:val="center"/>
                    <w:textAlignment w:val="center"/>
                    <w:rPr>
                      <w:sz w:val="20"/>
                      <w:szCs w:val="20"/>
                    </w:rPr>
                  </w:pPr>
                  <w:r>
                    <w:rPr>
                      <w:color w:val="000000"/>
                      <w:kern w:val="0"/>
                      <w:szCs w:val="21"/>
                      <w:lang w:bidi="ar"/>
                    </w:rPr>
                    <w:t xml:space="preserve">4.01 </w:t>
                  </w:r>
                </w:p>
              </w:tc>
              <w:tc>
                <w:tcPr>
                  <w:tcW w:w="400" w:type="pct"/>
                  <w:vMerge w:val="restart"/>
                  <w:vAlign w:val="center"/>
                </w:tcPr>
                <w:p w14:paraId="3318F99A">
                  <w:pPr>
                    <w:widowControl/>
                    <w:jc w:val="center"/>
                    <w:textAlignment w:val="center"/>
                    <w:rPr>
                      <w:sz w:val="20"/>
                      <w:szCs w:val="20"/>
                    </w:rPr>
                  </w:pPr>
                  <w:r>
                    <w:rPr>
                      <w:color w:val="000000"/>
                      <w:kern w:val="0"/>
                      <w:szCs w:val="21"/>
                      <w:lang w:bidi="ar"/>
                    </w:rPr>
                    <w:t xml:space="preserve">1.374 </w:t>
                  </w:r>
                </w:p>
              </w:tc>
              <w:tc>
                <w:tcPr>
                  <w:tcW w:w="250" w:type="pct"/>
                  <w:vMerge w:val="restart"/>
                  <w:vAlign w:val="center"/>
                </w:tcPr>
                <w:p w14:paraId="602C5871">
                  <w:pPr>
                    <w:adjustRightInd w:val="0"/>
                    <w:snapToGrid w:val="0"/>
                    <w:spacing w:line="320" w:lineRule="exact"/>
                    <w:jc w:val="center"/>
                    <w:rPr>
                      <w:sz w:val="20"/>
                      <w:szCs w:val="20"/>
                    </w:rPr>
                  </w:pPr>
                  <w:r>
                    <w:rPr>
                      <w:rFonts w:hint="eastAsia"/>
                      <w:sz w:val="20"/>
                      <w:szCs w:val="20"/>
                    </w:rPr>
                    <w:t>负压收集+除尘除臭系统+1根15m排气筒排放</w:t>
                  </w:r>
                </w:p>
              </w:tc>
              <w:tc>
                <w:tcPr>
                  <w:tcW w:w="257" w:type="pct"/>
                  <w:vAlign w:val="center"/>
                </w:tcPr>
                <w:p w14:paraId="2049DC8A">
                  <w:pPr>
                    <w:widowControl/>
                    <w:jc w:val="center"/>
                    <w:textAlignment w:val="center"/>
                    <w:rPr>
                      <w:sz w:val="20"/>
                      <w:szCs w:val="20"/>
                    </w:rPr>
                  </w:pPr>
                  <w:r>
                    <w:rPr>
                      <w:color w:val="000000"/>
                      <w:kern w:val="0"/>
                      <w:sz w:val="20"/>
                      <w:szCs w:val="20"/>
                      <w:lang w:bidi="ar"/>
                    </w:rPr>
                    <w:t>90%</w:t>
                  </w:r>
                </w:p>
              </w:tc>
              <w:tc>
                <w:tcPr>
                  <w:tcW w:w="260" w:type="pct"/>
                  <w:vAlign w:val="center"/>
                </w:tcPr>
                <w:p w14:paraId="4C9E6CC7">
                  <w:pPr>
                    <w:widowControl/>
                    <w:jc w:val="center"/>
                    <w:textAlignment w:val="center"/>
                    <w:rPr>
                      <w:sz w:val="20"/>
                      <w:szCs w:val="20"/>
                    </w:rPr>
                  </w:pPr>
                  <w:r>
                    <w:rPr>
                      <w:color w:val="000000"/>
                      <w:kern w:val="0"/>
                      <w:sz w:val="20"/>
                      <w:szCs w:val="20"/>
                      <w:lang w:bidi="ar"/>
                    </w:rPr>
                    <w:t>90%</w:t>
                  </w:r>
                </w:p>
              </w:tc>
              <w:tc>
                <w:tcPr>
                  <w:tcW w:w="155" w:type="pct"/>
                  <w:vMerge w:val="restart"/>
                  <w:vAlign w:val="center"/>
                </w:tcPr>
                <w:p w14:paraId="74BFF58B">
                  <w:pPr>
                    <w:adjustRightInd w:val="0"/>
                    <w:snapToGrid w:val="0"/>
                    <w:spacing w:line="320" w:lineRule="exact"/>
                    <w:jc w:val="center"/>
                    <w:rPr>
                      <w:sz w:val="20"/>
                      <w:szCs w:val="20"/>
                    </w:rPr>
                  </w:pPr>
                  <w:r>
                    <w:rPr>
                      <w:sz w:val="20"/>
                      <w:szCs w:val="20"/>
                    </w:rPr>
                    <w:t>是</w:t>
                  </w:r>
                </w:p>
              </w:tc>
              <w:tc>
                <w:tcPr>
                  <w:tcW w:w="397" w:type="pct"/>
                  <w:shd w:val="clear" w:color="auto" w:fill="auto"/>
                  <w:vAlign w:val="center"/>
                </w:tcPr>
                <w:p w14:paraId="033BBAE1">
                  <w:pPr>
                    <w:adjustRightInd w:val="0"/>
                    <w:snapToGrid w:val="0"/>
                    <w:spacing w:line="320" w:lineRule="exact"/>
                    <w:jc w:val="center"/>
                    <w:rPr>
                      <w:sz w:val="20"/>
                      <w:szCs w:val="20"/>
                    </w:rPr>
                  </w:pPr>
                  <w:r>
                    <w:rPr>
                      <w:rFonts w:hint="eastAsia"/>
                      <w:sz w:val="20"/>
                      <w:szCs w:val="20"/>
                    </w:rPr>
                    <w:t>有组织</w:t>
                  </w:r>
                </w:p>
              </w:tc>
              <w:tc>
                <w:tcPr>
                  <w:tcW w:w="365" w:type="pct"/>
                  <w:vAlign w:val="center"/>
                </w:tcPr>
                <w:p w14:paraId="257CF413">
                  <w:pPr>
                    <w:widowControl/>
                    <w:jc w:val="center"/>
                    <w:textAlignment w:val="center"/>
                    <w:rPr>
                      <w:color w:val="000000"/>
                      <w:kern w:val="0"/>
                      <w:sz w:val="20"/>
                      <w:szCs w:val="20"/>
                      <w:lang w:bidi="ar"/>
                    </w:rPr>
                  </w:pPr>
                  <w:r>
                    <w:rPr>
                      <w:color w:val="000000"/>
                      <w:kern w:val="0"/>
                      <w:sz w:val="20"/>
                      <w:szCs w:val="20"/>
                      <w:lang w:bidi="ar"/>
                    </w:rPr>
                    <w:t xml:space="preserve">0.381 </w:t>
                  </w:r>
                </w:p>
              </w:tc>
              <w:tc>
                <w:tcPr>
                  <w:tcW w:w="308" w:type="pct"/>
                  <w:vAlign w:val="center"/>
                </w:tcPr>
                <w:p w14:paraId="45AC486F">
                  <w:pPr>
                    <w:widowControl/>
                    <w:jc w:val="center"/>
                    <w:textAlignment w:val="center"/>
                    <w:rPr>
                      <w:color w:val="000000"/>
                      <w:kern w:val="0"/>
                      <w:szCs w:val="21"/>
                      <w:lang w:bidi="ar"/>
                    </w:rPr>
                  </w:pPr>
                  <w:r>
                    <w:rPr>
                      <w:color w:val="000000"/>
                      <w:kern w:val="0"/>
                      <w:szCs w:val="21"/>
                      <w:lang w:bidi="ar"/>
                    </w:rPr>
                    <w:t xml:space="preserve">1.044 </w:t>
                  </w:r>
                </w:p>
              </w:tc>
              <w:tc>
                <w:tcPr>
                  <w:tcW w:w="802" w:type="dxa"/>
                  <w:vAlign w:val="center"/>
                </w:tcPr>
                <w:p w14:paraId="7D639865">
                  <w:pPr>
                    <w:widowControl/>
                    <w:jc w:val="center"/>
                    <w:textAlignment w:val="center"/>
                    <w:rPr>
                      <w:color w:val="000000"/>
                      <w:kern w:val="0"/>
                      <w:szCs w:val="21"/>
                      <w:lang w:bidi="ar"/>
                    </w:rPr>
                  </w:pPr>
                  <w:r>
                    <w:rPr>
                      <w:color w:val="000000"/>
                      <w:kern w:val="0"/>
                      <w:szCs w:val="21"/>
                      <w:lang w:bidi="ar"/>
                    </w:rPr>
                    <w:t xml:space="preserve">10.44 </w:t>
                  </w:r>
                </w:p>
              </w:tc>
              <w:tc>
                <w:tcPr>
                  <w:tcW w:w="264" w:type="pct"/>
                  <w:noWrap/>
                  <w:vAlign w:val="center"/>
                </w:tcPr>
                <w:p w14:paraId="70DA653B">
                  <w:pPr>
                    <w:widowControl/>
                    <w:jc w:val="center"/>
                    <w:textAlignment w:val="center"/>
                    <w:rPr>
                      <w:color w:val="000000"/>
                      <w:kern w:val="0"/>
                      <w:szCs w:val="21"/>
                      <w:lang w:bidi="ar"/>
                    </w:rPr>
                  </w:pPr>
                  <w:r>
                    <w:rPr>
                      <w:rFonts w:hint="eastAsia"/>
                      <w:color w:val="000000"/>
                      <w:kern w:val="0"/>
                      <w:szCs w:val="21"/>
                      <w:lang w:bidi="ar"/>
                    </w:rPr>
                    <w:t>1.75</w:t>
                  </w:r>
                </w:p>
              </w:tc>
              <w:tc>
                <w:tcPr>
                  <w:tcW w:w="377" w:type="pct"/>
                  <w:noWrap/>
                  <w:vAlign w:val="center"/>
                </w:tcPr>
                <w:p w14:paraId="056A8318">
                  <w:pPr>
                    <w:widowControl/>
                    <w:jc w:val="center"/>
                    <w:textAlignment w:val="center"/>
                    <w:rPr>
                      <w:color w:val="000000"/>
                      <w:kern w:val="0"/>
                      <w:szCs w:val="21"/>
                      <w:lang w:bidi="ar"/>
                    </w:rPr>
                  </w:pPr>
                  <w:r>
                    <w:rPr>
                      <w:rFonts w:hint="eastAsia"/>
                      <w:color w:val="000000"/>
                      <w:kern w:val="0"/>
                      <w:szCs w:val="21"/>
                      <w:lang w:bidi="ar"/>
                    </w:rPr>
                    <w:t>120</w:t>
                  </w:r>
                </w:p>
              </w:tc>
            </w:tr>
            <w:tr w14:paraId="5F14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7D9F6FD0">
                  <w:pPr>
                    <w:adjustRightInd w:val="0"/>
                    <w:snapToGrid w:val="0"/>
                    <w:spacing w:line="320" w:lineRule="exact"/>
                    <w:jc w:val="center"/>
                    <w:rPr>
                      <w:sz w:val="20"/>
                      <w:szCs w:val="20"/>
                    </w:rPr>
                  </w:pPr>
                </w:p>
              </w:tc>
              <w:tc>
                <w:tcPr>
                  <w:tcW w:w="277" w:type="pct"/>
                  <w:vMerge w:val="continue"/>
                  <w:vAlign w:val="center"/>
                </w:tcPr>
                <w:p w14:paraId="689179AB">
                  <w:pPr>
                    <w:adjustRightInd w:val="0"/>
                    <w:snapToGrid w:val="0"/>
                    <w:spacing w:line="320" w:lineRule="exact"/>
                    <w:jc w:val="center"/>
                    <w:rPr>
                      <w:sz w:val="20"/>
                      <w:szCs w:val="20"/>
                    </w:rPr>
                  </w:pPr>
                </w:p>
              </w:tc>
              <w:tc>
                <w:tcPr>
                  <w:tcW w:w="277" w:type="pct"/>
                  <w:vMerge w:val="continue"/>
                  <w:vAlign w:val="center"/>
                </w:tcPr>
                <w:p w14:paraId="2FF57FBF">
                  <w:pPr>
                    <w:adjustRightInd w:val="0"/>
                    <w:snapToGrid w:val="0"/>
                    <w:spacing w:line="320" w:lineRule="exact"/>
                    <w:jc w:val="center"/>
                    <w:rPr>
                      <w:sz w:val="20"/>
                      <w:szCs w:val="20"/>
                    </w:rPr>
                  </w:pPr>
                </w:p>
              </w:tc>
              <w:tc>
                <w:tcPr>
                  <w:tcW w:w="398" w:type="pct"/>
                  <w:vMerge w:val="continue"/>
                  <w:shd w:val="clear" w:color="auto" w:fill="auto"/>
                  <w:noWrap/>
                  <w:vAlign w:val="center"/>
                </w:tcPr>
                <w:p w14:paraId="78328811">
                  <w:pPr>
                    <w:adjustRightInd w:val="0"/>
                    <w:snapToGrid w:val="0"/>
                    <w:spacing w:line="320" w:lineRule="exact"/>
                    <w:jc w:val="center"/>
                    <w:rPr>
                      <w:sz w:val="20"/>
                      <w:szCs w:val="20"/>
                    </w:rPr>
                  </w:pPr>
                </w:p>
              </w:tc>
              <w:tc>
                <w:tcPr>
                  <w:tcW w:w="381" w:type="pct"/>
                  <w:vMerge w:val="continue"/>
                  <w:vAlign w:val="center"/>
                </w:tcPr>
                <w:p w14:paraId="459AF188">
                  <w:pPr>
                    <w:adjustRightInd w:val="0"/>
                    <w:snapToGrid w:val="0"/>
                    <w:spacing w:line="320" w:lineRule="exact"/>
                    <w:jc w:val="center"/>
                    <w:rPr>
                      <w:sz w:val="20"/>
                      <w:szCs w:val="20"/>
                    </w:rPr>
                  </w:pPr>
                </w:p>
              </w:tc>
              <w:tc>
                <w:tcPr>
                  <w:tcW w:w="400" w:type="pct"/>
                  <w:vMerge w:val="continue"/>
                  <w:vAlign w:val="center"/>
                </w:tcPr>
                <w:p w14:paraId="6430C3E6">
                  <w:pPr>
                    <w:adjustRightInd w:val="0"/>
                    <w:snapToGrid w:val="0"/>
                    <w:spacing w:line="320" w:lineRule="exact"/>
                    <w:jc w:val="center"/>
                    <w:rPr>
                      <w:sz w:val="20"/>
                      <w:szCs w:val="20"/>
                    </w:rPr>
                  </w:pPr>
                </w:p>
              </w:tc>
              <w:tc>
                <w:tcPr>
                  <w:tcW w:w="250" w:type="pct"/>
                  <w:vMerge w:val="continue"/>
                  <w:vAlign w:val="center"/>
                </w:tcPr>
                <w:p w14:paraId="3DD8320F">
                  <w:pPr>
                    <w:adjustRightInd w:val="0"/>
                    <w:snapToGrid w:val="0"/>
                    <w:spacing w:line="320" w:lineRule="exact"/>
                    <w:jc w:val="center"/>
                    <w:rPr>
                      <w:sz w:val="20"/>
                      <w:szCs w:val="20"/>
                    </w:rPr>
                  </w:pPr>
                </w:p>
              </w:tc>
              <w:tc>
                <w:tcPr>
                  <w:tcW w:w="257" w:type="pct"/>
                  <w:shd w:val="clear" w:color="auto" w:fill="auto"/>
                  <w:vAlign w:val="center"/>
                </w:tcPr>
                <w:p w14:paraId="2A054BAF">
                  <w:pPr>
                    <w:widowControl/>
                    <w:jc w:val="center"/>
                    <w:textAlignment w:val="center"/>
                    <w:rPr>
                      <w:sz w:val="20"/>
                      <w:szCs w:val="20"/>
                    </w:rPr>
                  </w:pPr>
                  <w:r>
                    <w:rPr>
                      <w:color w:val="000000"/>
                      <w:kern w:val="0"/>
                      <w:sz w:val="20"/>
                      <w:szCs w:val="20"/>
                      <w:lang w:bidi="ar"/>
                    </w:rPr>
                    <w:t>/</w:t>
                  </w:r>
                </w:p>
              </w:tc>
              <w:tc>
                <w:tcPr>
                  <w:tcW w:w="260" w:type="pct"/>
                  <w:shd w:val="clear" w:color="auto" w:fill="auto"/>
                  <w:vAlign w:val="center"/>
                </w:tcPr>
                <w:p w14:paraId="28353112">
                  <w:pPr>
                    <w:widowControl/>
                    <w:jc w:val="center"/>
                    <w:textAlignment w:val="center"/>
                    <w:rPr>
                      <w:sz w:val="20"/>
                      <w:szCs w:val="20"/>
                    </w:rPr>
                  </w:pPr>
                  <w:r>
                    <w:rPr>
                      <w:color w:val="000000"/>
                      <w:kern w:val="0"/>
                      <w:sz w:val="20"/>
                      <w:szCs w:val="20"/>
                      <w:lang w:bidi="ar"/>
                    </w:rPr>
                    <w:t>70%</w:t>
                  </w:r>
                </w:p>
              </w:tc>
              <w:tc>
                <w:tcPr>
                  <w:tcW w:w="155" w:type="pct"/>
                  <w:vMerge w:val="continue"/>
                  <w:vAlign w:val="center"/>
                </w:tcPr>
                <w:p w14:paraId="1BA857BB">
                  <w:pPr>
                    <w:adjustRightInd w:val="0"/>
                    <w:snapToGrid w:val="0"/>
                    <w:spacing w:line="320" w:lineRule="exact"/>
                    <w:jc w:val="center"/>
                    <w:rPr>
                      <w:sz w:val="20"/>
                      <w:szCs w:val="20"/>
                    </w:rPr>
                  </w:pPr>
                </w:p>
              </w:tc>
              <w:tc>
                <w:tcPr>
                  <w:tcW w:w="397" w:type="pct"/>
                  <w:shd w:val="clear" w:color="auto" w:fill="auto"/>
                  <w:vAlign w:val="center"/>
                </w:tcPr>
                <w:p w14:paraId="243A72C2">
                  <w:pPr>
                    <w:adjustRightInd w:val="0"/>
                    <w:snapToGrid w:val="0"/>
                    <w:spacing w:line="320" w:lineRule="exact"/>
                    <w:jc w:val="center"/>
                    <w:rPr>
                      <w:sz w:val="20"/>
                      <w:szCs w:val="20"/>
                    </w:rPr>
                  </w:pPr>
                  <w:r>
                    <w:rPr>
                      <w:rFonts w:hint="eastAsia"/>
                      <w:sz w:val="20"/>
                      <w:szCs w:val="20"/>
                    </w:rPr>
                    <w:t>无组织</w:t>
                  </w:r>
                </w:p>
              </w:tc>
              <w:tc>
                <w:tcPr>
                  <w:tcW w:w="365" w:type="pct"/>
                  <w:vAlign w:val="center"/>
                </w:tcPr>
                <w:p w14:paraId="71513D70">
                  <w:pPr>
                    <w:widowControl/>
                    <w:jc w:val="center"/>
                    <w:textAlignment w:val="center"/>
                    <w:rPr>
                      <w:color w:val="000000"/>
                      <w:kern w:val="0"/>
                      <w:sz w:val="20"/>
                      <w:szCs w:val="20"/>
                      <w:lang w:bidi="ar"/>
                    </w:rPr>
                  </w:pPr>
                  <w:r>
                    <w:rPr>
                      <w:color w:val="000000"/>
                      <w:kern w:val="0"/>
                      <w:sz w:val="20"/>
                      <w:szCs w:val="20"/>
                      <w:lang w:bidi="ar"/>
                    </w:rPr>
                    <w:t xml:space="preserve">0.127 </w:t>
                  </w:r>
                </w:p>
              </w:tc>
              <w:tc>
                <w:tcPr>
                  <w:tcW w:w="308" w:type="pct"/>
                  <w:vAlign w:val="center"/>
                </w:tcPr>
                <w:p w14:paraId="54AEDE08">
                  <w:pPr>
                    <w:widowControl/>
                    <w:jc w:val="center"/>
                    <w:textAlignment w:val="center"/>
                    <w:rPr>
                      <w:color w:val="000000"/>
                      <w:kern w:val="0"/>
                      <w:szCs w:val="21"/>
                      <w:lang w:bidi="ar"/>
                    </w:rPr>
                  </w:pPr>
                  <w:r>
                    <w:rPr>
                      <w:color w:val="000000"/>
                      <w:kern w:val="0"/>
                      <w:szCs w:val="21"/>
                      <w:lang w:bidi="ar"/>
                    </w:rPr>
                    <w:t xml:space="preserve">/ </w:t>
                  </w:r>
                </w:p>
              </w:tc>
              <w:tc>
                <w:tcPr>
                  <w:tcW w:w="802" w:type="dxa"/>
                  <w:shd w:val="clear" w:color="auto" w:fill="auto"/>
                  <w:vAlign w:val="center"/>
                </w:tcPr>
                <w:p w14:paraId="5388CBEC">
                  <w:pPr>
                    <w:widowControl/>
                    <w:jc w:val="center"/>
                    <w:textAlignment w:val="center"/>
                    <w:rPr>
                      <w:color w:val="000000"/>
                      <w:kern w:val="0"/>
                      <w:szCs w:val="21"/>
                      <w:lang w:bidi="ar"/>
                    </w:rPr>
                  </w:pPr>
                  <w:r>
                    <w:rPr>
                      <w:color w:val="000000"/>
                      <w:kern w:val="0"/>
                      <w:szCs w:val="21"/>
                      <w:lang w:bidi="ar"/>
                    </w:rPr>
                    <w:t>/</w:t>
                  </w:r>
                </w:p>
              </w:tc>
              <w:tc>
                <w:tcPr>
                  <w:tcW w:w="264" w:type="pct"/>
                  <w:shd w:val="clear" w:color="auto" w:fill="auto"/>
                  <w:noWrap/>
                  <w:vAlign w:val="center"/>
                </w:tcPr>
                <w:p w14:paraId="4203EF9B">
                  <w:pPr>
                    <w:widowControl/>
                    <w:jc w:val="center"/>
                    <w:textAlignment w:val="center"/>
                    <w:rPr>
                      <w:color w:val="000000"/>
                      <w:kern w:val="0"/>
                      <w:szCs w:val="21"/>
                      <w:lang w:bidi="ar"/>
                    </w:rPr>
                  </w:pPr>
                  <w:r>
                    <w:rPr>
                      <w:rFonts w:hint="eastAsia"/>
                      <w:color w:val="000000"/>
                      <w:kern w:val="0"/>
                      <w:szCs w:val="21"/>
                      <w:lang w:bidi="ar"/>
                    </w:rPr>
                    <w:t>/</w:t>
                  </w:r>
                </w:p>
              </w:tc>
              <w:tc>
                <w:tcPr>
                  <w:tcW w:w="377" w:type="pct"/>
                  <w:shd w:val="clear" w:color="auto" w:fill="auto"/>
                  <w:noWrap/>
                  <w:vAlign w:val="center"/>
                </w:tcPr>
                <w:p w14:paraId="2C0BE31A">
                  <w:pPr>
                    <w:widowControl/>
                    <w:jc w:val="center"/>
                    <w:textAlignment w:val="center"/>
                    <w:rPr>
                      <w:color w:val="000000"/>
                      <w:kern w:val="0"/>
                      <w:szCs w:val="21"/>
                      <w:lang w:bidi="ar"/>
                    </w:rPr>
                  </w:pPr>
                  <w:r>
                    <w:rPr>
                      <w:rFonts w:hint="eastAsia"/>
                      <w:color w:val="000000"/>
                      <w:kern w:val="0"/>
                      <w:szCs w:val="21"/>
                      <w:lang w:bidi="ar"/>
                    </w:rPr>
                    <w:t>1.0</w:t>
                  </w:r>
                </w:p>
              </w:tc>
            </w:tr>
            <w:tr w14:paraId="44D2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2553C19E">
                  <w:pPr>
                    <w:adjustRightInd w:val="0"/>
                    <w:snapToGrid w:val="0"/>
                    <w:spacing w:line="320" w:lineRule="exact"/>
                    <w:jc w:val="center"/>
                    <w:rPr>
                      <w:sz w:val="20"/>
                      <w:szCs w:val="20"/>
                    </w:rPr>
                  </w:pPr>
                </w:p>
              </w:tc>
              <w:tc>
                <w:tcPr>
                  <w:tcW w:w="277" w:type="pct"/>
                  <w:vMerge w:val="continue"/>
                  <w:vAlign w:val="center"/>
                </w:tcPr>
                <w:p w14:paraId="19378465">
                  <w:pPr>
                    <w:adjustRightInd w:val="0"/>
                    <w:snapToGrid w:val="0"/>
                    <w:spacing w:line="320" w:lineRule="exact"/>
                    <w:jc w:val="center"/>
                    <w:rPr>
                      <w:sz w:val="20"/>
                      <w:szCs w:val="20"/>
                    </w:rPr>
                  </w:pPr>
                </w:p>
              </w:tc>
              <w:tc>
                <w:tcPr>
                  <w:tcW w:w="277" w:type="pct"/>
                  <w:vMerge w:val="continue"/>
                  <w:vAlign w:val="center"/>
                </w:tcPr>
                <w:p w14:paraId="01DEE0CD">
                  <w:pPr>
                    <w:adjustRightInd w:val="0"/>
                    <w:snapToGrid w:val="0"/>
                    <w:spacing w:line="320" w:lineRule="exact"/>
                    <w:jc w:val="center"/>
                    <w:rPr>
                      <w:sz w:val="20"/>
                      <w:szCs w:val="20"/>
                    </w:rPr>
                  </w:pPr>
                </w:p>
              </w:tc>
              <w:tc>
                <w:tcPr>
                  <w:tcW w:w="398" w:type="pct"/>
                  <w:vMerge w:val="restart"/>
                  <w:shd w:val="clear" w:color="auto" w:fill="auto"/>
                  <w:noWrap/>
                  <w:vAlign w:val="center"/>
                </w:tcPr>
                <w:p w14:paraId="5E62BE3C">
                  <w:pPr>
                    <w:adjustRightInd w:val="0"/>
                    <w:snapToGrid w:val="0"/>
                    <w:spacing w:line="320" w:lineRule="exact"/>
                    <w:jc w:val="center"/>
                    <w:rPr>
                      <w:sz w:val="20"/>
                      <w:szCs w:val="20"/>
                    </w:rPr>
                  </w:pPr>
                  <w:r>
                    <w:rPr>
                      <w:rFonts w:hint="eastAsia"/>
                      <w:sz w:val="20"/>
                      <w:szCs w:val="20"/>
                    </w:rPr>
                    <w:t>氨气</w:t>
                  </w:r>
                </w:p>
              </w:tc>
              <w:tc>
                <w:tcPr>
                  <w:tcW w:w="381" w:type="pct"/>
                  <w:vMerge w:val="restart"/>
                  <w:shd w:val="clear" w:color="auto" w:fill="auto"/>
                  <w:noWrap/>
                  <w:vAlign w:val="center"/>
                </w:tcPr>
                <w:p w14:paraId="0D28F29F">
                  <w:pPr>
                    <w:widowControl/>
                    <w:jc w:val="center"/>
                    <w:textAlignment w:val="center"/>
                    <w:rPr>
                      <w:sz w:val="20"/>
                      <w:szCs w:val="20"/>
                    </w:rPr>
                  </w:pPr>
                  <w:r>
                    <w:rPr>
                      <w:color w:val="000000"/>
                      <w:kern w:val="0"/>
                      <w:szCs w:val="21"/>
                      <w:lang w:bidi="ar"/>
                    </w:rPr>
                    <w:t xml:space="preserve">5.95 </w:t>
                  </w:r>
                </w:p>
              </w:tc>
              <w:tc>
                <w:tcPr>
                  <w:tcW w:w="400" w:type="pct"/>
                  <w:vMerge w:val="restart"/>
                  <w:noWrap/>
                  <w:vAlign w:val="center"/>
                </w:tcPr>
                <w:p w14:paraId="76F07AAD">
                  <w:pPr>
                    <w:widowControl/>
                    <w:jc w:val="center"/>
                    <w:textAlignment w:val="center"/>
                    <w:rPr>
                      <w:sz w:val="20"/>
                      <w:szCs w:val="20"/>
                    </w:rPr>
                  </w:pPr>
                  <w:r>
                    <w:rPr>
                      <w:color w:val="000000"/>
                      <w:kern w:val="0"/>
                      <w:szCs w:val="21"/>
                      <w:lang w:bidi="ar"/>
                    </w:rPr>
                    <w:t xml:space="preserve">1.629 </w:t>
                  </w:r>
                </w:p>
              </w:tc>
              <w:tc>
                <w:tcPr>
                  <w:tcW w:w="250" w:type="pct"/>
                  <w:vMerge w:val="continue"/>
                  <w:vAlign w:val="center"/>
                </w:tcPr>
                <w:p w14:paraId="029F328A">
                  <w:pPr>
                    <w:adjustRightInd w:val="0"/>
                    <w:snapToGrid w:val="0"/>
                    <w:spacing w:line="320" w:lineRule="exact"/>
                    <w:jc w:val="center"/>
                    <w:rPr>
                      <w:sz w:val="20"/>
                      <w:szCs w:val="20"/>
                    </w:rPr>
                  </w:pPr>
                </w:p>
              </w:tc>
              <w:tc>
                <w:tcPr>
                  <w:tcW w:w="257" w:type="pct"/>
                  <w:shd w:val="clear" w:color="auto" w:fill="auto"/>
                  <w:vAlign w:val="center"/>
                </w:tcPr>
                <w:p w14:paraId="30629CFE">
                  <w:pPr>
                    <w:widowControl/>
                    <w:jc w:val="center"/>
                    <w:textAlignment w:val="center"/>
                    <w:rPr>
                      <w:sz w:val="20"/>
                      <w:szCs w:val="20"/>
                    </w:rPr>
                  </w:pPr>
                  <w:r>
                    <w:rPr>
                      <w:color w:val="000000"/>
                      <w:kern w:val="0"/>
                      <w:sz w:val="20"/>
                      <w:szCs w:val="20"/>
                      <w:lang w:bidi="ar"/>
                    </w:rPr>
                    <w:t>90%</w:t>
                  </w:r>
                </w:p>
              </w:tc>
              <w:tc>
                <w:tcPr>
                  <w:tcW w:w="260" w:type="pct"/>
                  <w:shd w:val="clear" w:color="auto" w:fill="auto"/>
                  <w:vAlign w:val="center"/>
                </w:tcPr>
                <w:p w14:paraId="522D9357">
                  <w:pPr>
                    <w:widowControl/>
                    <w:jc w:val="center"/>
                    <w:textAlignment w:val="center"/>
                    <w:rPr>
                      <w:sz w:val="20"/>
                      <w:szCs w:val="20"/>
                    </w:rPr>
                  </w:pPr>
                  <w:r>
                    <w:rPr>
                      <w:color w:val="000000"/>
                      <w:kern w:val="0"/>
                      <w:sz w:val="20"/>
                      <w:szCs w:val="20"/>
                      <w:lang w:bidi="ar"/>
                    </w:rPr>
                    <w:t>90%</w:t>
                  </w:r>
                </w:p>
              </w:tc>
              <w:tc>
                <w:tcPr>
                  <w:tcW w:w="155" w:type="pct"/>
                  <w:vMerge w:val="restart"/>
                  <w:vAlign w:val="center"/>
                </w:tcPr>
                <w:p w14:paraId="397A63FF">
                  <w:pPr>
                    <w:adjustRightInd w:val="0"/>
                    <w:snapToGrid w:val="0"/>
                    <w:spacing w:line="320" w:lineRule="exact"/>
                    <w:jc w:val="center"/>
                    <w:rPr>
                      <w:sz w:val="20"/>
                      <w:szCs w:val="20"/>
                    </w:rPr>
                  </w:pPr>
                  <w:r>
                    <w:rPr>
                      <w:sz w:val="20"/>
                      <w:szCs w:val="20"/>
                    </w:rPr>
                    <w:t>是</w:t>
                  </w:r>
                </w:p>
              </w:tc>
              <w:tc>
                <w:tcPr>
                  <w:tcW w:w="397" w:type="pct"/>
                  <w:shd w:val="clear" w:color="auto" w:fill="auto"/>
                  <w:vAlign w:val="center"/>
                </w:tcPr>
                <w:p w14:paraId="275AFCFD">
                  <w:pPr>
                    <w:adjustRightInd w:val="0"/>
                    <w:snapToGrid w:val="0"/>
                    <w:spacing w:line="320" w:lineRule="exact"/>
                    <w:jc w:val="center"/>
                    <w:rPr>
                      <w:sz w:val="20"/>
                      <w:szCs w:val="20"/>
                    </w:rPr>
                  </w:pPr>
                  <w:r>
                    <w:rPr>
                      <w:rFonts w:hint="eastAsia"/>
                      <w:sz w:val="20"/>
                      <w:szCs w:val="20"/>
                    </w:rPr>
                    <w:t>有组织</w:t>
                  </w:r>
                </w:p>
              </w:tc>
              <w:tc>
                <w:tcPr>
                  <w:tcW w:w="365" w:type="pct"/>
                  <w:vAlign w:val="center"/>
                </w:tcPr>
                <w:p w14:paraId="68A83718">
                  <w:pPr>
                    <w:widowControl/>
                    <w:jc w:val="center"/>
                    <w:textAlignment w:val="center"/>
                    <w:rPr>
                      <w:color w:val="000000"/>
                      <w:kern w:val="0"/>
                      <w:sz w:val="20"/>
                      <w:szCs w:val="20"/>
                      <w:lang w:bidi="ar"/>
                    </w:rPr>
                  </w:pPr>
                  <w:r>
                    <w:rPr>
                      <w:color w:val="000000"/>
                      <w:kern w:val="0"/>
                      <w:sz w:val="20"/>
                      <w:szCs w:val="20"/>
                      <w:lang w:bidi="ar"/>
                    </w:rPr>
                    <w:t xml:space="preserve">0.533 </w:t>
                  </w:r>
                </w:p>
              </w:tc>
              <w:tc>
                <w:tcPr>
                  <w:tcW w:w="308" w:type="pct"/>
                  <w:vAlign w:val="center"/>
                </w:tcPr>
                <w:p w14:paraId="185694F9">
                  <w:pPr>
                    <w:widowControl/>
                    <w:jc w:val="center"/>
                    <w:textAlignment w:val="center"/>
                    <w:rPr>
                      <w:color w:val="000000"/>
                      <w:kern w:val="0"/>
                      <w:szCs w:val="21"/>
                      <w:lang w:bidi="ar"/>
                    </w:rPr>
                  </w:pPr>
                  <w:r>
                    <w:rPr>
                      <w:color w:val="000000"/>
                      <w:kern w:val="0"/>
                      <w:szCs w:val="21"/>
                      <w:lang w:bidi="ar"/>
                    </w:rPr>
                    <w:t xml:space="preserve">1.461 </w:t>
                  </w:r>
                </w:p>
              </w:tc>
              <w:tc>
                <w:tcPr>
                  <w:tcW w:w="802" w:type="dxa"/>
                  <w:vAlign w:val="center"/>
                </w:tcPr>
                <w:p w14:paraId="4C9DD498">
                  <w:pPr>
                    <w:widowControl/>
                    <w:jc w:val="center"/>
                    <w:textAlignment w:val="center"/>
                    <w:rPr>
                      <w:color w:val="000000"/>
                      <w:kern w:val="0"/>
                      <w:szCs w:val="21"/>
                      <w:lang w:bidi="ar"/>
                    </w:rPr>
                  </w:pPr>
                  <w:r>
                    <w:rPr>
                      <w:color w:val="000000"/>
                      <w:kern w:val="0"/>
                      <w:szCs w:val="21"/>
                      <w:lang w:bidi="ar"/>
                    </w:rPr>
                    <w:t xml:space="preserve">14.61 </w:t>
                  </w:r>
                </w:p>
              </w:tc>
              <w:tc>
                <w:tcPr>
                  <w:tcW w:w="264" w:type="pct"/>
                  <w:noWrap/>
                  <w:vAlign w:val="center"/>
                </w:tcPr>
                <w:p w14:paraId="5DF1B7A3">
                  <w:pPr>
                    <w:widowControl/>
                    <w:jc w:val="center"/>
                    <w:textAlignment w:val="center"/>
                    <w:rPr>
                      <w:color w:val="000000"/>
                      <w:kern w:val="0"/>
                      <w:szCs w:val="21"/>
                      <w:lang w:bidi="ar"/>
                    </w:rPr>
                  </w:pPr>
                  <w:r>
                    <w:rPr>
                      <w:rFonts w:hint="eastAsia"/>
                      <w:color w:val="000000"/>
                      <w:kern w:val="0"/>
                      <w:szCs w:val="21"/>
                      <w:lang w:bidi="ar"/>
                    </w:rPr>
                    <w:t>4.9</w:t>
                  </w:r>
                </w:p>
              </w:tc>
              <w:tc>
                <w:tcPr>
                  <w:tcW w:w="377" w:type="pct"/>
                  <w:noWrap/>
                  <w:vAlign w:val="center"/>
                </w:tcPr>
                <w:p w14:paraId="1D1EE20D">
                  <w:pPr>
                    <w:widowControl/>
                    <w:jc w:val="center"/>
                    <w:textAlignment w:val="center"/>
                    <w:rPr>
                      <w:color w:val="000000"/>
                      <w:kern w:val="0"/>
                      <w:szCs w:val="21"/>
                      <w:lang w:bidi="ar"/>
                    </w:rPr>
                  </w:pPr>
                  <w:r>
                    <w:rPr>
                      <w:rFonts w:hint="eastAsia"/>
                      <w:color w:val="000000"/>
                      <w:kern w:val="0"/>
                      <w:szCs w:val="21"/>
                      <w:lang w:bidi="ar"/>
                    </w:rPr>
                    <w:t>/</w:t>
                  </w:r>
                </w:p>
              </w:tc>
            </w:tr>
            <w:tr w14:paraId="6C81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6623DF2D">
                  <w:pPr>
                    <w:adjustRightInd w:val="0"/>
                    <w:snapToGrid w:val="0"/>
                    <w:spacing w:line="320" w:lineRule="exact"/>
                    <w:jc w:val="center"/>
                    <w:rPr>
                      <w:sz w:val="20"/>
                      <w:szCs w:val="20"/>
                    </w:rPr>
                  </w:pPr>
                </w:p>
              </w:tc>
              <w:tc>
                <w:tcPr>
                  <w:tcW w:w="277" w:type="pct"/>
                  <w:vMerge w:val="continue"/>
                  <w:vAlign w:val="center"/>
                </w:tcPr>
                <w:p w14:paraId="0935BC75">
                  <w:pPr>
                    <w:adjustRightInd w:val="0"/>
                    <w:snapToGrid w:val="0"/>
                    <w:spacing w:line="320" w:lineRule="exact"/>
                    <w:jc w:val="center"/>
                    <w:rPr>
                      <w:sz w:val="20"/>
                      <w:szCs w:val="20"/>
                    </w:rPr>
                  </w:pPr>
                </w:p>
              </w:tc>
              <w:tc>
                <w:tcPr>
                  <w:tcW w:w="277" w:type="pct"/>
                  <w:vMerge w:val="continue"/>
                  <w:vAlign w:val="center"/>
                </w:tcPr>
                <w:p w14:paraId="6D8B98B0">
                  <w:pPr>
                    <w:adjustRightInd w:val="0"/>
                    <w:snapToGrid w:val="0"/>
                    <w:spacing w:line="320" w:lineRule="exact"/>
                    <w:jc w:val="center"/>
                    <w:rPr>
                      <w:sz w:val="20"/>
                      <w:szCs w:val="20"/>
                    </w:rPr>
                  </w:pPr>
                </w:p>
              </w:tc>
              <w:tc>
                <w:tcPr>
                  <w:tcW w:w="398" w:type="pct"/>
                  <w:vMerge w:val="continue"/>
                  <w:shd w:val="clear" w:color="auto" w:fill="auto"/>
                  <w:noWrap/>
                  <w:vAlign w:val="center"/>
                </w:tcPr>
                <w:p w14:paraId="1F6D7D05">
                  <w:pPr>
                    <w:adjustRightInd w:val="0"/>
                    <w:snapToGrid w:val="0"/>
                    <w:spacing w:line="320" w:lineRule="exact"/>
                    <w:jc w:val="center"/>
                    <w:rPr>
                      <w:sz w:val="20"/>
                      <w:szCs w:val="20"/>
                    </w:rPr>
                  </w:pPr>
                </w:p>
              </w:tc>
              <w:tc>
                <w:tcPr>
                  <w:tcW w:w="381" w:type="pct"/>
                  <w:vMerge w:val="continue"/>
                  <w:shd w:val="clear" w:color="auto" w:fill="auto"/>
                  <w:noWrap/>
                  <w:vAlign w:val="center"/>
                </w:tcPr>
                <w:p w14:paraId="4661DDA4">
                  <w:pPr>
                    <w:adjustRightInd w:val="0"/>
                    <w:snapToGrid w:val="0"/>
                    <w:spacing w:line="320" w:lineRule="exact"/>
                    <w:jc w:val="center"/>
                    <w:rPr>
                      <w:sz w:val="20"/>
                      <w:szCs w:val="20"/>
                    </w:rPr>
                  </w:pPr>
                </w:p>
              </w:tc>
              <w:tc>
                <w:tcPr>
                  <w:tcW w:w="400" w:type="pct"/>
                  <w:vMerge w:val="continue"/>
                  <w:noWrap/>
                  <w:vAlign w:val="center"/>
                </w:tcPr>
                <w:p w14:paraId="3380B897">
                  <w:pPr>
                    <w:adjustRightInd w:val="0"/>
                    <w:snapToGrid w:val="0"/>
                    <w:spacing w:line="320" w:lineRule="exact"/>
                    <w:jc w:val="center"/>
                    <w:rPr>
                      <w:sz w:val="20"/>
                      <w:szCs w:val="20"/>
                    </w:rPr>
                  </w:pPr>
                </w:p>
              </w:tc>
              <w:tc>
                <w:tcPr>
                  <w:tcW w:w="250" w:type="pct"/>
                  <w:vMerge w:val="continue"/>
                  <w:vAlign w:val="center"/>
                </w:tcPr>
                <w:p w14:paraId="6C3654CA">
                  <w:pPr>
                    <w:adjustRightInd w:val="0"/>
                    <w:snapToGrid w:val="0"/>
                    <w:spacing w:line="320" w:lineRule="exact"/>
                    <w:jc w:val="center"/>
                    <w:rPr>
                      <w:sz w:val="20"/>
                      <w:szCs w:val="20"/>
                    </w:rPr>
                  </w:pPr>
                </w:p>
              </w:tc>
              <w:tc>
                <w:tcPr>
                  <w:tcW w:w="257" w:type="pct"/>
                  <w:shd w:val="clear" w:color="auto" w:fill="auto"/>
                  <w:vAlign w:val="center"/>
                </w:tcPr>
                <w:p w14:paraId="7B5FC4B6">
                  <w:pPr>
                    <w:widowControl/>
                    <w:jc w:val="center"/>
                    <w:textAlignment w:val="center"/>
                    <w:rPr>
                      <w:sz w:val="20"/>
                      <w:szCs w:val="20"/>
                    </w:rPr>
                  </w:pPr>
                  <w:r>
                    <w:rPr>
                      <w:color w:val="000000"/>
                      <w:kern w:val="0"/>
                      <w:sz w:val="20"/>
                      <w:szCs w:val="20"/>
                      <w:lang w:bidi="ar"/>
                    </w:rPr>
                    <w:t>/</w:t>
                  </w:r>
                </w:p>
              </w:tc>
              <w:tc>
                <w:tcPr>
                  <w:tcW w:w="260" w:type="pct"/>
                  <w:shd w:val="clear" w:color="auto" w:fill="auto"/>
                  <w:vAlign w:val="center"/>
                </w:tcPr>
                <w:p w14:paraId="240A79B9">
                  <w:pPr>
                    <w:widowControl/>
                    <w:jc w:val="center"/>
                    <w:textAlignment w:val="center"/>
                    <w:rPr>
                      <w:sz w:val="20"/>
                      <w:szCs w:val="20"/>
                    </w:rPr>
                  </w:pPr>
                  <w:r>
                    <w:rPr>
                      <w:color w:val="000000"/>
                      <w:kern w:val="0"/>
                      <w:sz w:val="20"/>
                      <w:szCs w:val="20"/>
                      <w:lang w:bidi="ar"/>
                    </w:rPr>
                    <w:t>70%</w:t>
                  </w:r>
                </w:p>
              </w:tc>
              <w:tc>
                <w:tcPr>
                  <w:tcW w:w="155" w:type="pct"/>
                  <w:vMerge w:val="continue"/>
                  <w:vAlign w:val="center"/>
                </w:tcPr>
                <w:p w14:paraId="40EC6E92">
                  <w:pPr>
                    <w:adjustRightInd w:val="0"/>
                    <w:snapToGrid w:val="0"/>
                    <w:spacing w:line="320" w:lineRule="exact"/>
                    <w:jc w:val="center"/>
                    <w:rPr>
                      <w:sz w:val="20"/>
                      <w:szCs w:val="20"/>
                    </w:rPr>
                  </w:pPr>
                </w:p>
              </w:tc>
              <w:tc>
                <w:tcPr>
                  <w:tcW w:w="397" w:type="pct"/>
                  <w:shd w:val="clear" w:color="auto" w:fill="auto"/>
                  <w:vAlign w:val="center"/>
                </w:tcPr>
                <w:p w14:paraId="495AB200">
                  <w:pPr>
                    <w:adjustRightInd w:val="0"/>
                    <w:snapToGrid w:val="0"/>
                    <w:spacing w:line="320" w:lineRule="exact"/>
                    <w:jc w:val="center"/>
                    <w:rPr>
                      <w:sz w:val="20"/>
                      <w:szCs w:val="20"/>
                    </w:rPr>
                  </w:pPr>
                  <w:r>
                    <w:rPr>
                      <w:rFonts w:hint="eastAsia"/>
                      <w:sz w:val="20"/>
                      <w:szCs w:val="20"/>
                    </w:rPr>
                    <w:t>无组织</w:t>
                  </w:r>
                </w:p>
              </w:tc>
              <w:tc>
                <w:tcPr>
                  <w:tcW w:w="365" w:type="pct"/>
                  <w:vAlign w:val="center"/>
                </w:tcPr>
                <w:p w14:paraId="376B9779">
                  <w:pPr>
                    <w:widowControl/>
                    <w:jc w:val="center"/>
                    <w:textAlignment w:val="center"/>
                    <w:rPr>
                      <w:color w:val="000000"/>
                      <w:kern w:val="0"/>
                      <w:sz w:val="20"/>
                      <w:szCs w:val="20"/>
                      <w:lang w:bidi="ar"/>
                    </w:rPr>
                  </w:pPr>
                  <w:r>
                    <w:rPr>
                      <w:color w:val="000000"/>
                      <w:kern w:val="0"/>
                      <w:sz w:val="20"/>
                      <w:szCs w:val="20"/>
                      <w:lang w:bidi="ar"/>
                    </w:rPr>
                    <w:t xml:space="preserve">0.178 </w:t>
                  </w:r>
                </w:p>
              </w:tc>
              <w:tc>
                <w:tcPr>
                  <w:tcW w:w="308" w:type="pct"/>
                  <w:vAlign w:val="center"/>
                </w:tcPr>
                <w:p w14:paraId="359EBEE5">
                  <w:pPr>
                    <w:widowControl/>
                    <w:jc w:val="center"/>
                    <w:textAlignment w:val="center"/>
                    <w:rPr>
                      <w:color w:val="000000"/>
                      <w:kern w:val="0"/>
                      <w:szCs w:val="21"/>
                      <w:lang w:bidi="ar"/>
                    </w:rPr>
                  </w:pPr>
                  <w:r>
                    <w:rPr>
                      <w:color w:val="000000"/>
                      <w:kern w:val="0"/>
                      <w:szCs w:val="21"/>
                      <w:lang w:bidi="ar"/>
                    </w:rPr>
                    <w:t xml:space="preserve">/ </w:t>
                  </w:r>
                </w:p>
              </w:tc>
              <w:tc>
                <w:tcPr>
                  <w:tcW w:w="802" w:type="dxa"/>
                  <w:shd w:val="clear" w:color="auto" w:fill="auto"/>
                  <w:vAlign w:val="center"/>
                </w:tcPr>
                <w:p w14:paraId="260E2B0A">
                  <w:pPr>
                    <w:widowControl/>
                    <w:jc w:val="center"/>
                    <w:textAlignment w:val="center"/>
                    <w:rPr>
                      <w:color w:val="000000"/>
                      <w:kern w:val="0"/>
                      <w:szCs w:val="21"/>
                      <w:lang w:bidi="ar"/>
                    </w:rPr>
                  </w:pPr>
                  <w:r>
                    <w:rPr>
                      <w:color w:val="000000"/>
                      <w:kern w:val="0"/>
                      <w:szCs w:val="21"/>
                      <w:lang w:bidi="ar"/>
                    </w:rPr>
                    <w:t>/</w:t>
                  </w:r>
                </w:p>
              </w:tc>
              <w:tc>
                <w:tcPr>
                  <w:tcW w:w="264" w:type="pct"/>
                  <w:shd w:val="clear" w:color="auto" w:fill="auto"/>
                  <w:noWrap/>
                  <w:vAlign w:val="center"/>
                </w:tcPr>
                <w:p w14:paraId="0895DBEE">
                  <w:pPr>
                    <w:widowControl/>
                    <w:jc w:val="center"/>
                    <w:textAlignment w:val="center"/>
                    <w:rPr>
                      <w:color w:val="000000"/>
                      <w:kern w:val="0"/>
                      <w:szCs w:val="21"/>
                      <w:lang w:bidi="ar"/>
                    </w:rPr>
                  </w:pPr>
                  <w:r>
                    <w:rPr>
                      <w:rFonts w:hint="eastAsia"/>
                      <w:color w:val="000000"/>
                      <w:kern w:val="0"/>
                      <w:szCs w:val="21"/>
                      <w:lang w:bidi="ar"/>
                    </w:rPr>
                    <w:t>/</w:t>
                  </w:r>
                </w:p>
              </w:tc>
              <w:tc>
                <w:tcPr>
                  <w:tcW w:w="377" w:type="pct"/>
                  <w:shd w:val="clear" w:color="auto" w:fill="auto"/>
                  <w:noWrap/>
                  <w:vAlign w:val="center"/>
                </w:tcPr>
                <w:p w14:paraId="7822DCE6">
                  <w:pPr>
                    <w:widowControl/>
                    <w:jc w:val="center"/>
                    <w:textAlignment w:val="center"/>
                    <w:rPr>
                      <w:color w:val="000000"/>
                      <w:kern w:val="0"/>
                      <w:szCs w:val="21"/>
                      <w:lang w:bidi="ar"/>
                    </w:rPr>
                  </w:pPr>
                  <w:r>
                    <w:rPr>
                      <w:rFonts w:hint="eastAsia"/>
                      <w:color w:val="000000"/>
                      <w:kern w:val="0"/>
                      <w:szCs w:val="21"/>
                      <w:lang w:bidi="ar"/>
                    </w:rPr>
                    <w:t>1.5</w:t>
                  </w:r>
                </w:p>
              </w:tc>
            </w:tr>
            <w:tr w14:paraId="4C99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3A6140B6">
                  <w:pPr>
                    <w:adjustRightInd w:val="0"/>
                    <w:snapToGrid w:val="0"/>
                    <w:spacing w:line="320" w:lineRule="exact"/>
                    <w:jc w:val="center"/>
                    <w:rPr>
                      <w:sz w:val="20"/>
                      <w:szCs w:val="20"/>
                    </w:rPr>
                  </w:pPr>
                </w:p>
              </w:tc>
              <w:tc>
                <w:tcPr>
                  <w:tcW w:w="277" w:type="pct"/>
                  <w:vMerge w:val="continue"/>
                  <w:vAlign w:val="center"/>
                </w:tcPr>
                <w:p w14:paraId="3FFC50F9">
                  <w:pPr>
                    <w:adjustRightInd w:val="0"/>
                    <w:snapToGrid w:val="0"/>
                    <w:spacing w:line="320" w:lineRule="exact"/>
                    <w:jc w:val="center"/>
                    <w:rPr>
                      <w:sz w:val="20"/>
                      <w:szCs w:val="20"/>
                    </w:rPr>
                  </w:pPr>
                </w:p>
              </w:tc>
              <w:tc>
                <w:tcPr>
                  <w:tcW w:w="277" w:type="pct"/>
                  <w:vMerge w:val="continue"/>
                  <w:vAlign w:val="center"/>
                </w:tcPr>
                <w:p w14:paraId="4DBB258A">
                  <w:pPr>
                    <w:adjustRightInd w:val="0"/>
                    <w:snapToGrid w:val="0"/>
                    <w:spacing w:line="320" w:lineRule="exact"/>
                    <w:jc w:val="center"/>
                    <w:rPr>
                      <w:sz w:val="20"/>
                      <w:szCs w:val="20"/>
                    </w:rPr>
                  </w:pPr>
                </w:p>
              </w:tc>
              <w:tc>
                <w:tcPr>
                  <w:tcW w:w="398" w:type="pct"/>
                  <w:vMerge w:val="restart"/>
                  <w:shd w:val="clear" w:color="auto" w:fill="auto"/>
                  <w:noWrap/>
                  <w:vAlign w:val="center"/>
                </w:tcPr>
                <w:p w14:paraId="1F9C0B1B">
                  <w:pPr>
                    <w:adjustRightInd w:val="0"/>
                    <w:snapToGrid w:val="0"/>
                    <w:spacing w:line="320" w:lineRule="exact"/>
                    <w:jc w:val="center"/>
                    <w:rPr>
                      <w:sz w:val="20"/>
                      <w:szCs w:val="20"/>
                    </w:rPr>
                  </w:pPr>
                  <w:r>
                    <w:rPr>
                      <w:rFonts w:hint="eastAsia"/>
                      <w:sz w:val="20"/>
                      <w:szCs w:val="20"/>
                    </w:rPr>
                    <w:t>硫化氢</w:t>
                  </w:r>
                </w:p>
              </w:tc>
              <w:tc>
                <w:tcPr>
                  <w:tcW w:w="381" w:type="pct"/>
                  <w:vMerge w:val="restart"/>
                  <w:shd w:val="clear" w:color="auto" w:fill="auto"/>
                  <w:noWrap/>
                  <w:vAlign w:val="center"/>
                </w:tcPr>
                <w:p w14:paraId="4062DAD5">
                  <w:pPr>
                    <w:widowControl/>
                    <w:jc w:val="center"/>
                    <w:textAlignment w:val="center"/>
                    <w:rPr>
                      <w:sz w:val="20"/>
                      <w:szCs w:val="20"/>
                    </w:rPr>
                  </w:pPr>
                  <w:r>
                    <w:rPr>
                      <w:color w:val="000000"/>
                      <w:kern w:val="0"/>
                      <w:szCs w:val="21"/>
                      <w:lang w:bidi="ar"/>
                    </w:rPr>
                    <w:t xml:space="preserve">0.55 </w:t>
                  </w:r>
                </w:p>
              </w:tc>
              <w:tc>
                <w:tcPr>
                  <w:tcW w:w="400" w:type="pct"/>
                  <w:vMerge w:val="restart"/>
                  <w:noWrap/>
                  <w:vAlign w:val="center"/>
                </w:tcPr>
                <w:p w14:paraId="2B71F6EB">
                  <w:pPr>
                    <w:widowControl/>
                    <w:jc w:val="center"/>
                    <w:textAlignment w:val="center"/>
                    <w:rPr>
                      <w:sz w:val="20"/>
                      <w:szCs w:val="20"/>
                    </w:rPr>
                  </w:pPr>
                  <w:r>
                    <w:rPr>
                      <w:color w:val="000000"/>
                      <w:kern w:val="0"/>
                      <w:szCs w:val="21"/>
                      <w:lang w:bidi="ar"/>
                    </w:rPr>
                    <w:t xml:space="preserve">0.151 </w:t>
                  </w:r>
                </w:p>
              </w:tc>
              <w:tc>
                <w:tcPr>
                  <w:tcW w:w="250" w:type="pct"/>
                  <w:vMerge w:val="continue"/>
                  <w:vAlign w:val="center"/>
                </w:tcPr>
                <w:p w14:paraId="4E1A7188">
                  <w:pPr>
                    <w:adjustRightInd w:val="0"/>
                    <w:snapToGrid w:val="0"/>
                    <w:spacing w:line="320" w:lineRule="exact"/>
                    <w:jc w:val="center"/>
                    <w:rPr>
                      <w:sz w:val="20"/>
                      <w:szCs w:val="20"/>
                    </w:rPr>
                  </w:pPr>
                </w:p>
              </w:tc>
              <w:tc>
                <w:tcPr>
                  <w:tcW w:w="257" w:type="pct"/>
                  <w:shd w:val="clear" w:color="auto" w:fill="auto"/>
                  <w:vAlign w:val="center"/>
                </w:tcPr>
                <w:p w14:paraId="67825847">
                  <w:pPr>
                    <w:widowControl/>
                    <w:jc w:val="center"/>
                    <w:textAlignment w:val="center"/>
                    <w:rPr>
                      <w:sz w:val="20"/>
                      <w:szCs w:val="20"/>
                    </w:rPr>
                  </w:pPr>
                  <w:r>
                    <w:rPr>
                      <w:color w:val="000000"/>
                      <w:kern w:val="0"/>
                      <w:sz w:val="20"/>
                      <w:szCs w:val="20"/>
                      <w:lang w:bidi="ar"/>
                    </w:rPr>
                    <w:t>90%</w:t>
                  </w:r>
                </w:p>
              </w:tc>
              <w:tc>
                <w:tcPr>
                  <w:tcW w:w="260" w:type="pct"/>
                  <w:shd w:val="clear" w:color="auto" w:fill="auto"/>
                  <w:vAlign w:val="center"/>
                </w:tcPr>
                <w:p w14:paraId="0E818EE3">
                  <w:pPr>
                    <w:widowControl/>
                    <w:jc w:val="center"/>
                    <w:textAlignment w:val="center"/>
                    <w:rPr>
                      <w:sz w:val="20"/>
                      <w:szCs w:val="20"/>
                    </w:rPr>
                  </w:pPr>
                  <w:r>
                    <w:rPr>
                      <w:color w:val="000000"/>
                      <w:kern w:val="0"/>
                      <w:sz w:val="20"/>
                      <w:szCs w:val="20"/>
                      <w:lang w:bidi="ar"/>
                    </w:rPr>
                    <w:t>90%</w:t>
                  </w:r>
                </w:p>
              </w:tc>
              <w:tc>
                <w:tcPr>
                  <w:tcW w:w="155" w:type="pct"/>
                  <w:vMerge w:val="restart"/>
                  <w:vAlign w:val="center"/>
                </w:tcPr>
                <w:p w14:paraId="1B534DF1">
                  <w:pPr>
                    <w:adjustRightInd w:val="0"/>
                    <w:snapToGrid w:val="0"/>
                    <w:spacing w:line="320" w:lineRule="exact"/>
                    <w:jc w:val="center"/>
                    <w:rPr>
                      <w:sz w:val="20"/>
                      <w:szCs w:val="20"/>
                    </w:rPr>
                  </w:pPr>
                  <w:r>
                    <w:rPr>
                      <w:sz w:val="20"/>
                      <w:szCs w:val="20"/>
                    </w:rPr>
                    <w:t>是</w:t>
                  </w:r>
                </w:p>
              </w:tc>
              <w:tc>
                <w:tcPr>
                  <w:tcW w:w="397" w:type="pct"/>
                  <w:shd w:val="clear" w:color="auto" w:fill="auto"/>
                  <w:vAlign w:val="center"/>
                </w:tcPr>
                <w:p w14:paraId="65E1E838">
                  <w:pPr>
                    <w:adjustRightInd w:val="0"/>
                    <w:snapToGrid w:val="0"/>
                    <w:spacing w:line="320" w:lineRule="exact"/>
                    <w:jc w:val="center"/>
                    <w:rPr>
                      <w:sz w:val="20"/>
                      <w:szCs w:val="20"/>
                    </w:rPr>
                  </w:pPr>
                  <w:r>
                    <w:rPr>
                      <w:rFonts w:hint="eastAsia"/>
                      <w:sz w:val="20"/>
                      <w:szCs w:val="20"/>
                    </w:rPr>
                    <w:t>有组织</w:t>
                  </w:r>
                </w:p>
              </w:tc>
              <w:tc>
                <w:tcPr>
                  <w:tcW w:w="365" w:type="pct"/>
                  <w:vAlign w:val="center"/>
                </w:tcPr>
                <w:p w14:paraId="2696AC19">
                  <w:pPr>
                    <w:widowControl/>
                    <w:jc w:val="center"/>
                    <w:textAlignment w:val="center"/>
                    <w:rPr>
                      <w:color w:val="000000"/>
                      <w:kern w:val="0"/>
                      <w:sz w:val="20"/>
                      <w:szCs w:val="20"/>
                      <w:lang w:bidi="ar"/>
                    </w:rPr>
                  </w:pPr>
                  <w:r>
                    <w:rPr>
                      <w:color w:val="000000"/>
                      <w:kern w:val="0"/>
                      <w:sz w:val="20"/>
                      <w:szCs w:val="20"/>
                      <w:lang w:bidi="ar"/>
                    </w:rPr>
                    <w:t xml:space="preserve">0.050 </w:t>
                  </w:r>
                </w:p>
              </w:tc>
              <w:tc>
                <w:tcPr>
                  <w:tcW w:w="308" w:type="pct"/>
                  <w:vAlign w:val="center"/>
                </w:tcPr>
                <w:p w14:paraId="7D55094E">
                  <w:pPr>
                    <w:widowControl/>
                    <w:jc w:val="center"/>
                    <w:textAlignment w:val="center"/>
                    <w:rPr>
                      <w:color w:val="000000"/>
                      <w:kern w:val="0"/>
                      <w:szCs w:val="21"/>
                      <w:lang w:bidi="ar"/>
                    </w:rPr>
                  </w:pPr>
                  <w:r>
                    <w:rPr>
                      <w:color w:val="000000"/>
                      <w:kern w:val="0"/>
                      <w:szCs w:val="21"/>
                      <w:lang w:bidi="ar"/>
                    </w:rPr>
                    <w:t xml:space="preserve">0.136 </w:t>
                  </w:r>
                </w:p>
              </w:tc>
              <w:tc>
                <w:tcPr>
                  <w:tcW w:w="802" w:type="dxa"/>
                  <w:shd w:val="clear" w:color="auto" w:fill="auto"/>
                  <w:vAlign w:val="center"/>
                </w:tcPr>
                <w:p w14:paraId="4252E774">
                  <w:pPr>
                    <w:widowControl/>
                    <w:jc w:val="center"/>
                    <w:textAlignment w:val="center"/>
                    <w:rPr>
                      <w:color w:val="000000"/>
                      <w:kern w:val="0"/>
                      <w:szCs w:val="21"/>
                      <w:lang w:bidi="ar"/>
                    </w:rPr>
                  </w:pPr>
                  <w:r>
                    <w:rPr>
                      <w:color w:val="000000"/>
                      <w:kern w:val="0"/>
                      <w:szCs w:val="21"/>
                      <w:lang w:bidi="ar"/>
                    </w:rPr>
                    <w:t xml:space="preserve">1.36 </w:t>
                  </w:r>
                </w:p>
              </w:tc>
              <w:tc>
                <w:tcPr>
                  <w:tcW w:w="264" w:type="pct"/>
                  <w:shd w:val="clear" w:color="auto" w:fill="auto"/>
                  <w:noWrap/>
                  <w:vAlign w:val="center"/>
                </w:tcPr>
                <w:p w14:paraId="01861932">
                  <w:pPr>
                    <w:widowControl/>
                    <w:jc w:val="center"/>
                    <w:textAlignment w:val="center"/>
                    <w:rPr>
                      <w:color w:val="000000"/>
                      <w:kern w:val="0"/>
                      <w:szCs w:val="21"/>
                      <w:lang w:bidi="ar"/>
                    </w:rPr>
                  </w:pPr>
                  <w:r>
                    <w:rPr>
                      <w:rFonts w:hint="eastAsia"/>
                      <w:color w:val="000000"/>
                      <w:kern w:val="0"/>
                      <w:szCs w:val="21"/>
                      <w:lang w:bidi="ar"/>
                    </w:rPr>
                    <w:t>0.33</w:t>
                  </w:r>
                </w:p>
              </w:tc>
              <w:tc>
                <w:tcPr>
                  <w:tcW w:w="377" w:type="pct"/>
                  <w:noWrap/>
                  <w:vAlign w:val="center"/>
                </w:tcPr>
                <w:p w14:paraId="108154A8">
                  <w:pPr>
                    <w:widowControl/>
                    <w:jc w:val="center"/>
                    <w:textAlignment w:val="center"/>
                    <w:rPr>
                      <w:color w:val="000000"/>
                      <w:kern w:val="0"/>
                      <w:szCs w:val="21"/>
                      <w:lang w:bidi="ar"/>
                    </w:rPr>
                  </w:pPr>
                  <w:r>
                    <w:rPr>
                      <w:rFonts w:hint="eastAsia"/>
                      <w:color w:val="000000"/>
                      <w:kern w:val="0"/>
                      <w:szCs w:val="21"/>
                      <w:lang w:bidi="ar"/>
                    </w:rPr>
                    <w:t>/</w:t>
                  </w:r>
                </w:p>
              </w:tc>
            </w:tr>
            <w:tr w14:paraId="1BB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55" w:type="pct"/>
                  <w:vMerge w:val="continue"/>
                  <w:shd w:val="clear" w:color="auto" w:fill="auto"/>
                  <w:vAlign w:val="center"/>
                </w:tcPr>
                <w:p w14:paraId="32477CB2">
                  <w:pPr>
                    <w:adjustRightInd w:val="0"/>
                    <w:snapToGrid w:val="0"/>
                    <w:spacing w:line="320" w:lineRule="exact"/>
                    <w:jc w:val="center"/>
                    <w:rPr>
                      <w:sz w:val="20"/>
                      <w:szCs w:val="20"/>
                    </w:rPr>
                  </w:pPr>
                </w:p>
              </w:tc>
              <w:tc>
                <w:tcPr>
                  <w:tcW w:w="277" w:type="pct"/>
                  <w:vMerge w:val="continue"/>
                  <w:vAlign w:val="center"/>
                </w:tcPr>
                <w:p w14:paraId="7B878ED4">
                  <w:pPr>
                    <w:adjustRightInd w:val="0"/>
                    <w:snapToGrid w:val="0"/>
                    <w:spacing w:line="320" w:lineRule="exact"/>
                    <w:jc w:val="center"/>
                    <w:rPr>
                      <w:sz w:val="20"/>
                      <w:szCs w:val="20"/>
                    </w:rPr>
                  </w:pPr>
                </w:p>
              </w:tc>
              <w:tc>
                <w:tcPr>
                  <w:tcW w:w="277" w:type="pct"/>
                  <w:vMerge w:val="continue"/>
                  <w:vAlign w:val="center"/>
                </w:tcPr>
                <w:p w14:paraId="1A7F56E0">
                  <w:pPr>
                    <w:adjustRightInd w:val="0"/>
                    <w:snapToGrid w:val="0"/>
                    <w:spacing w:line="320" w:lineRule="exact"/>
                    <w:jc w:val="center"/>
                    <w:rPr>
                      <w:sz w:val="20"/>
                      <w:szCs w:val="20"/>
                    </w:rPr>
                  </w:pPr>
                </w:p>
              </w:tc>
              <w:tc>
                <w:tcPr>
                  <w:tcW w:w="398" w:type="pct"/>
                  <w:vMerge w:val="continue"/>
                  <w:shd w:val="clear" w:color="auto" w:fill="auto"/>
                  <w:noWrap/>
                  <w:vAlign w:val="center"/>
                </w:tcPr>
                <w:p w14:paraId="22348C98">
                  <w:pPr>
                    <w:adjustRightInd w:val="0"/>
                    <w:snapToGrid w:val="0"/>
                    <w:spacing w:line="320" w:lineRule="exact"/>
                    <w:jc w:val="center"/>
                    <w:rPr>
                      <w:sz w:val="20"/>
                      <w:szCs w:val="20"/>
                    </w:rPr>
                  </w:pPr>
                </w:p>
              </w:tc>
              <w:tc>
                <w:tcPr>
                  <w:tcW w:w="381" w:type="pct"/>
                  <w:vMerge w:val="continue"/>
                  <w:shd w:val="clear" w:color="auto" w:fill="auto"/>
                  <w:noWrap/>
                  <w:vAlign w:val="center"/>
                </w:tcPr>
                <w:p w14:paraId="5502660E">
                  <w:pPr>
                    <w:widowControl/>
                    <w:jc w:val="center"/>
                    <w:textAlignment w:val="center"/>
                    <w:rPr>
                      <w:kern w:val="0"/>
                      <w:szCs w:val="21"/>
                      <w:lang w:bidi="ar"/>
                    </w:rPr>
                  </w:pPr>
                </w:p>
              </w:tc>
              <w:tc>
                <w:tcPr>
                  <w:tcW w:w="400" w:type="pct"/>
                  <w:vMerge w:val="continue"/>
                  <w:noWrap/>
                  <w:vAlign w:val="center"/>
                </w:tcPr>
                <w:p w14:paraId="581201D3">
                  <w:pPr>
                    <w:widowControl/>
                    <w:jc w:val="center"/>
                    <w:textAlignment w:val="center"/>
                    <w:rPr>
                      <w:kern w:val="0"/>
                      <w:szCs w:val="21"/>
                      <w:lang w:bidi="ar"/>
                    </w:rPr>
                  </w:pPr>
                </w:p>
              </w:tc>
              <w:tc>
                <w:tcPr>
                  <w:tcW w:w="250" w:type="pct"/>
                  <w:vMerge w:val="continue"/>
                  <w:vAlign w:val="center"/>
                </w:tcPr>
                <w:p w14:paraId="45DCD438">
                  <w:pPr>
                    <w:adjustRightInd w:val="0"/>
                    <w:snapToGrid w:val="0"/>
                    <w:spacing w:line="320" w:lineRule="exact"/>
                    <w:jc w:val="center"/>
                    <w:rPr>
                      <w:sz w:val="20"/>
                      <w:szCs w:val="20"/>
                    </w:rPr>
                  </w:pPr>
                </w:p>
              </w:tc>
              <w:tc>
                <w:tcPr>
                  <w:tcW w:w="257" w:type="pct"/>
                  <w:shd w:val="clear" w:color="auto" w:fill="auto"/>
                  <w:vAlign w:val="center"/>
                </w:tcPr>
                <w:p w14:paraId="43C636A5">
                  <w:pPr>
                    <w:jc w:val="center"/>
                    <w:rPr>
                      <w:sz w:val="20"/>
                      <w:szCs w:val="20"/>
                    </w:rPr>
                  </w:pPr>
                  <w:r>
                    <w:rPr>
                      <w:color w:val="000000"/>
                      <w:kern w:val="0"/>
                      <w:sz w:val="20"/>
                      <w:szCs w:val="20"/>
                      <w:lang w:bidi="ar"/>
                    </w:rPr>
                    <w:t>/</w:t>
                  </w:r>
                </w:p>
              </w:tc>
              <w:tc>
                <w:tcPr>
                  <w:tcW w:w="260" w:type="pct"/>
                  <w:shd w:val="clear" w:color="auto" w:fill="auto"/>
                  <w:vAlign w:val="center"/>
                </w:tcPr>
                <w:p w14:paraId="262B2AAA">
                  <w:pPr>
                    <w:widowControl/>
                    <w:jc w:val="center"/>
                    <w:textAlignment w:val="center"/>
                    <w:rPr>
                      <w:sz w:val="20"/>
                      <w:szCs w:val="20"/>
                    </w:rPr>
                  </w:pPr>
                  <w:r>
                    <w:rPr>
                      <w:color w:val="000000"/>
                      <w:kern w:val="0"/>
                      <w:sz w:val="20"/>
                      <w:szCs w:val="20"/>
                      <w:lang w:bidi="ar"/>
                    </w:rPr>
                    <w:t>70%</w:t>
                  </w:r>
                </w:p>
              </w:tc>
              <w:tc>
                <w:tcPr>
                  <w:tcW w:w="155" w:type="pct"/>
                  <w:vMerge w:val="continue"/>
                  <w:vAlign w:val="center"/>
                </w:tcPr>
                <w:p w14:paraId="6110839D">
                  <w:pPr>
                    <w:adjustRightInd w:val="0"/>
                    <w:snapToGrid w:val="0"/>
                    <w:spacing w:line="320" w:lineRule="exact"/>
                    <w:jc w:val="center"/>
                    <w:rPr>
                      <w:sz w:val="20"/>
                      <w:szCs w:val="20"/>
                    </w:rPr>
                  </w:pPr>
                </w:p>
              </w:tc>
              <w:tc>
                <w:tcPr>
                  <w:tcW w:w="397" w:type="pct"/>
                  <w:shd w:val="clear" w:color="auto" w:fill="auto"/>
                  <w:vAlign w:val="center"/>
                </w:tcPr>
                <w:p w14:paraId="5195FF4B">
                  <w:pPr>
                    <w:adjustRightInd w:val="0"/>
                    <w:snapToGrid w:val="0"/>
                    <w:spacing w:line="320" w:lineRule="exact"/>
                    <w:jc w:val="center"/>
                    <w:rPr>
                      <w:sz w:val="20"/>
                      <w:szCs w:val="20"/>
                    </w:rPr>
                  </w:pPr>
                  <w:r>
                    <w:rPr>
                      <w:rFonts w:hint="eastAsia"/>
                      <w:sz w:val="20"/>
                      <w:szCs w:val="20"/>
                    </w:rPr>
                    <w:t>无组织</w:t>
                  </w:r>
                </w:p>
              </w:tc>
              <w:tc>
                <w:tcPr>
                  <w:tcW w:w="365" w:type="pct"/>
                  <w:vAlign w:val="center"/>
                </w:tcPr>
                <w:p w14:paraId="026FB13F">
                  <w:pPr>
                    <w:widowControl/>
                    <w:jc w:val="center"/>
                    <w:textAlignment w:val="center"/>
                    <w:rPr>
                      <w:color w:val="000000"/>
                      <w:kern w:val="0"/>
                      <w:sz w:val="20"/>
                      <w:szCs w:val="20"/>
                      <w:lang w:bidi="ar"/>
                    </w:rPr>
                  </w:pPr>
                  <w:r>
                    <w:rPr>
                      <w:color w:val="000000"/>
                      <w:kern w:val="0"/>
                      <w:sz w:val="20"/>
                      <w:szCs w:val="20"/>
                      <w:lang w:bidi="ar"/>
                    </w:rPr>
                    <w:t xml:space="preserve">0.017 </w:t>
                  </w:r>
                </w:p>
              </w:tc>
              <w:tc>
                <w:tcPr>
                  <w:tcW w:w="308" w:type="pct"/>
                  <w:vAlign w:val="center"/>
                </w:tcPr>
                <w:p w14:paraId="11EF7EED">
                  <w:pPr>
                    <w:widowControl/>
                    <w:jc w:val="center"/>
                    <w:textAlignment w:val="center"/>
                    <w:rPr>
                      <w:color w:val="000000"/>
                      <w:kern w:val="0"/>
                      <w:szCs w:val="21"/>
                      <w:lang w:bidi="ar"/>
                    </w:rPr>
                  </w:pPr>
                  <w:r>
                    <w:rPr>
                      <w:color w:val="000000"/>
                      <w:kern w:val="0"/>
                      <w:szCs w:val="21"/>
                      <w:lang w:bidi="ar"/>
                    </w:rPr>
                    <w:t xml:space="preserve">/ </w:t>
                  </w:r>
                </w:p>
              </w:tc>
              <w:tc>
                <w:tcPr>
                  <w:tcW w:w="802" w:type="dxa"/>
                  <w:shd w:val="clear" w:color="auto" w:fill="auto"/>
                  <w:vAlign w:val="center"/>
                </w:tcPr>
                <w:p w14:paraId="2BE5170E">
                  <w:pPr>
                    <w:widowControl/>
                    <w:jc w:val="center"/>
                    <w:textAlignment w:val="center"/>
                    <w:rPr>
                      <w:color w:val="000000"/>
                      <w:kern w:val="0"/>
                      <w:szCs w:val="21"/>
                      <w:lang w:bidi="ar"/>
                    </w:rPr>
                  </w:pPr>
                  <w:r>
                    <w:rPr>
                      <w:color w:val="000000"/>
                      <w:kern w:val="0"/>
                      <w:szCs w:val="21"/>
                      <w:lang w:bidi="ar"/>
                    </w:rPr>
                    <w:t>/</w:t>
                  </w:r>
                </w:p>
              </w:tc>
              <w:tc>
                <w:tcPr>
                  <w:tcW w:w="264" w:type="pct"/>
                  <w:shd w:val="clear" w:color="auto" w:fill="auto"/>
                  <w:noWrap/>
                  <w:vAlign w:val="center"/>
                </w:tcPr>
                <w:p w14:paraId="0EB22D1C">
                  <w:pPr>
                    <w:widowControl/>
                    <w:jc w:val="center"/>
                    <w:textAlignment w:val="center"/>
                    <w:rPr>
                      <w:color w:val="000000"/>
                      <w:kern w:val="0"/>
                      <w:szCs w:val="21"/>
                      <w:lang w:bidi="ar"/>
                    </w:rPr>
                  </w:pPr>
                  <w:r>
                    <w:rPr>
                      <w:rFonts w:hint="eastAsia"/>
                      <w:color w:val="000000"/>
                      <w:kern w:val="0"/>
                      <w:szCs w:val="21"/>
                      <w:lang w:bidi="ar"/>
                    </w:rPr>
                    <w:t>/</w:t>
                  </w:r>
                </w:p>
              </w:tc>
              <w:tc>
                <w:tcPr>
                  <w:tcW w:w="377" w:type="pct"/>
                  <w:noWrap/>
                  <w:vAlign w:val="center"/>
                </w:tcPr>
                <w:p w14:paraId="6479476A">
                  <w:pPr>
                    <w:widowControl/>
                    <w:jc w:val="center"/>
                    <w:textAlignment w:val="center"/>
                    <w:rPr>
                      <w:color w:val="000000"/>
                      <w:kern w:val="0"/>
                      <w:szCs w:val="21"/>
                      <w:lang w:bidi="ar"/>
                    </w:rPr>
                  </w:pPr>
                  <w:r>
                    <w:rPr>
                      <w:rFonts w:hint="eastAsia"/>
                      <w:color w:val="000000"/>
                      <w:kern w:val="0"/>
                      <w:szCs w:val="21"/>
                      <w:lang w:bidi="ar"/>
                    </w:rPr>
                    <w:t>0.06</w:t>
                  </w:r>
                </w:p>
              </w:tc>
            </w:tr>
          </w:tbl>
          <w:p w14:paraId="1E4FB06B">
            <w:pPr>
              <w:pStyle w:val="83"/>
              <w:spacing w:before="32" w:line="350" w:lineRule="auto"/>
              <w:ind w:left="107" w:right="104" w:firstLine="481"/>
              <w:rPr>
                <w:rFonts w:ascii="Times New Roman" w:hAnsi="Times New Roman"/>
                <w:b/>
                <w:bCs/>
                <w:lang w:eastAsia="zh-CN"/>
              </w:rPr>
            </w:pPr>
            <w:r>
              <w:rPr>
                <w:rFonts w:ascii="Times New Roman" w:hAnsi="Times New Roman"/>
                <w:b/>
                <w:bCs/>
                <w:spacing w:val="3"/>
                <w:lang w:eastAsia="zh-CN"/>
              </w:rPr>
              <w:t>综上，评价认为本项目营运产生的废气经治理后，</w:t>
            </w:r>
            <w:r>
              <w:rPr>
                <w:rFonts w:ascii="Times New Roman" w:hAnsi="Times New Roman"/>
                <w:b/>
                <w:bCs/>
                <w:spacing w:val="2"/>
                <w:lang w:eastAsia="zh-CN"/>
              </w:rPr>
              <w:t>对评</w:t>
            </w:r>
            <w:r>
              <w:rPr>
                <w:rFonts w:ascii="Times New Roman" w:hAnsi="Times New Roman"/>
                <w:b/>
                <w:bCs/>
                <w:spacing w:val="3"/>
                <w:lang w:eastAsia="zh-CN"/>
              </w:rPr>
              <w:t>价区域内大气环境质量影响较小。废气治理措施有</w:t>
            </w:r>
            <w:r>
              <w:rPr>
                <w:rFonts w:ascii="Times New Roman" w:hAnsi="Times New Roman"/>
                <w:b/>
                <w:bCs/>
                <w:spacing w:val="2"/>
                <w:lang w:eastAsia="zh-CN"/>
              </w:rPr>
              <w:t>效可行，不会对区域大气环境产生</w:t>
            </w:r>
            <w:r>
              <w:rPr>
                <w:rFonts w:ascii="Times New Roman" w:hAnsi="Times New Roman"/>
                <w:b/>
                <w:bCs/>
                <w:spacing w:val="-1"/>
                <w:lang w:eastAsia="zh-CN"/>
              </w:rPr>
              <w:t>明显的不良影响，不会改变其现有环境质量功能和级别。</w:t>
            </w:r>
          </w:p>
          <w:p w14:paraId="722FCC90">
            <w:pPr>
              <w:widowControl/>
              <w:spacing w:before="120" w:beforeLines="50" w:line="360" w:lineRule="auto"/>
              <w:ind w:firstLine="482" w:firstLineChars="200"/>
              <w:rPr>
                <w:rFonts w:eastAsia="黑体"/>
                <w:bCs/>
                <w:szCs w:val="21"/>
              </w:rPr>
            </w:pPr>
            <w:r>
              <w:rPr>
                <w:rFonts w:hint="eastAsia"/>
                <w:b/>
                <w:bCs/>
                <w:color w:val="000000"/>
                <w:kern w:val="0"/>
                <w:sz w:val="24"/>
                <w:lang w:bidi="ar"/>
              </w:rPr>
              <w:t>②排放口基本信息</w:t>
            </w:r>
          </w:p>
          <w:p w14:paraId="2EC7AC65">
            <w:pPr>
              <w:jc w:val="center"/>
              <w:rPr>
                <w:b/>
                <w:bCs/>
                <w:szCs w:val="21"/>
              </w:rPr>
            </w:pPr>
            <w:r>
              <w:rPr>
                <w:b/>
                <w:bCs/>
                <w:szCs w:val="21"/>
              </w:rPr>
              <w:t>表4-</w:t>
            </w:r>
            <w:r>
              <w:rPr>
                <w:rFonts w:hint="eastAsia"/>
                <w:b/>
                <w:bCs/>
                <w:szCs w:val="21"/>
              </w:rPr>
              <w:t xml:space="preserve">7  </w:t>
            </w:r>
            <w:r>
              <w:rPr>
                <w:b/>
                <w:bCs/>
                <w:szCs w:val="21"/>
              </w:rPr>
              <w:t>项目排放口基本情况及执行标准一览表</w:t>
            </w:r>
          </w:p>
          <w:tbl>
            <w:tblPr>
              <w:tblStyle w:val="28"/>
              <w:tblW w:w="8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427"/>
              <w:gridCol w:w="478"/>
              <w:gridCol w:w="1536"/>
              <w:gridCol w:w="1499"/>
              <w:gridCol w:w="427"/>
              <w:gridCol w:w="479"/>
              <w:gridCol w:w="427"/>
              <w:gridCol w:w="427"/>
              <w:gridCol w:w="1943"/>
            </w:tblGrid>
            <w:tr w14:paraId="3A9D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tcBorders>
                    <w:tl2br w:val="nil"/>
                    <w:tr2bl w:val="nil"/>
                  </w:tcBorders>
                  <w:vAlign w:val="center"/>
                </w:tcPr>
                <w:p w14:paraId="3D2D70BD">
                  <w:pPr>
                    <w:adjustRightInd w:val="0"/>
                    <w:snapToGrid w:val="0"/>
                    <w:spacing w:line="25" w:lineRule="atLeast"/>
                    <w:jc w:val="center"/>
                    <w:rPr>
                      <w:b/>
                      <w:bCs/>
                      <w:kern w:val="0"/>
                      <w:szCs w:val="21"/>
                    </w:rPr>
                  </w:pPr>
                  <w:r>
                    <w:rPr>
                      <w:rFonts w:hint="eastAsia"/>
                      <w:b/>
                      <w:bCs/>
                      <w:kern w:val="0"/>
                      <w:szCs w:val="21"/>
                    </w:rPr>
                    <w:t>排放口编号</w:t>
                  </w:r>
                </w:p>
              </w:tc>
              <w:tc>
                <w:tcPr>
                  <w:tcW w:w="422" w:type="dxa"/>
                  <w:vMerge w:val="restart"/>
                  <w:tcBorders>
                    <w:tl2br w:val="nil"/>
                    <w:tr2bl w:val="nil"/>
                  </w:tcBorders>
                  <w:vAlign w:val="center"/>
                </w:tcPr>
                <w:p w14:paraId="134AD888">
                  <w:pPr>
                    <w:adjustRightInd w:val="0"/>
                    <w:snapToGrid w:val="0"/>
                    <w:spacing w:line="25" w:lineRule="atLeast"/>
                    <w:jc w:val="center"/>
                    <w:rPr>
                      <w:b/>
                      <w:bCs/>
                      <w:kern w:val="0"/>
                      <w:szCs w:val="21"/>
                    </w:rPr>
                  </w:pPr>
                  <w:r>
                    <w:rPr>
                      <w:rFonts w:hint="eastAsia"/>
                      <w:b/>
                      <w:bCs/>
                      <w:kern w:val="0"/>
                      <w:szCs w:val="21"/>
                    </w:rPr>
                    <w:t>排放口名称</w:t>
                  </w:r>
                </w:p>
              </w:tc>
              <w:tc>
                <w:tcPr>
                  <w:tcW w:w="655" w:type="dxa"/>
                  <w:vMerge w:val="restart"/>
                  <w:tcBorders>
                    <w:tl2br w:val="nil"/>
                    <w:tr2bl w:val="nil"/>
                  </w:tcBorders>
                  <w:vAlign w:val="center"/>
                </w:tcPr>
                <w:p w14:paraId="39619307">
                  <w:pPr>
                    <w:adjustRightInd w:val="0"/>
                    <w:snapToGrid w:val="0"/>
                    <w:spacing w:line="25" w:lineRule="atLeast"/>
                    <w:jc w:val="center"/>
                    <w:rPr>
                      <w:b/>
                      <w:bCs/>
                      <w:kern w:val="0"/>
                      <w:szCs w:val="21"/>
                    </w:rPr>
                  </w:pPr>
                  <w:r>
                    <w:rPr>
                      <w:rFonts w:hint="eastAsia"/>
                      <w:b/>
                      <w:bCs/>
                      <w:kern w:val="0"/>
                      <w:szCs w:val="21"/>
                    </w:rPr>
                    <w:t>污染物</w:t>
                  </w:r>
                </w:p>
              </w:tc>
              <w:tc>
                <w:tcPr>
                  <w:tcW w:w="3070" w:type="dxa"/>
                  <w:gridSpan w:val="2"/>
                  <w:tcBorders>
                    <w:tl2br w:val="nil"/>
                    <w:tr2bl w:val="nil"/>
                  </w:tcBorders>
                  <w:vAlign w:val="center"/>
                </w:tcPr>
                <w:p w14:paraId="6F52412B">
                  <w:pPr>
                    <w:adjustRightInd w:val="0"/>
                    <w:snapToGrid w:val="0"/>
                    <w:spacing w:line="25" w:lineRule="atLeast"/>
                    <w:jc w:val="center"/>
                    <w:rPr>
                      <w:b/>
                      <w:bCs/>
                      <w:kern w:val="0"/>
                      <w:szCs w:val="21"/>
                    </w:rPr>
                  </w:pPr>
                  <w:r>
                    <w:rPr>
                      <w:rFonts w:hint="eastAsia"/>
                      <w:b/>
                      <w:bCs/>
                      <w:kern w:val="0"/>
                      <w:szCs w:val="21"/>
                    </w:rPr>
                    <w:t>地理坐标</w:t>
                  </w:r>
                </w:p>
              </w:tc>
              <w:tc>
                <w:tcPr>
                  <w:tcW w:w="427" w:type="dxa"/>
                  <w:vMerge w:val="restart"/>
                  <w:tcBorders>
                    <w:tl2br w:val="nil"/>
                    <w:tr2bl w:val="nil"/>
                  </w:tcBorders>
                  <w:vAlign w:val="center"/>
                </w:tcPr>
                <w:p w14:paraId="419AEF5B">
                  <w:pPr>
                    <w:adjustRightInd w:val="0"/>
                    <w:snapToGrid w:val="0"/>
                    <w:spacing w:line="25" w:lineRule="atLeast"/>
                    <w:jc w:val="center"/>
                    <w:rPr>
                      <w:b/>
                      <w:bCs/>
                      <w:kern w:val="0"/>
                      <w:szCs w:val="21"/>
                    </w:rPr>
                  </w:pPr>
                  <w:r>
                    <w:rPr>
                      <w:rFonts w:hint="eastAsia"/>
                      <w:b/>
                      <w:bCs/>
                      <w:kern w:val="0"/>
                      <w:szCs w:val="21"/>
                    </w:rPr>
                    <w:t>高度m</w:t>
                  </w:r>
                </w:p>
              </w:tc>
              <w:tc>
                <w:tcPr>
                  <w:tcW w:w="479" w:type="dxa"/>
                  <w:vMerge w:val="restart"/>
                  <w:tcBorders>
                    <w:tl2br w:val="nil"/>
                    <w:tr2bl w:val="nil"/>
                  </w:tcBorders>
                  <w:vAlign w:val="center"/>
                </w:tcPr>
                <w:p w14:paraId="6FDD3CB7">
                  <w:pPr>
                    <w:adjustRightInd w:val="0"/>
                    <w:snapToGrid w:val="0"/>
                    <w:spacing w:line="25" w:lineRule="atLeast"/>
                    <w:jc w:val="center"/>
                    <w:rPr>
                      <w:b/>
                      <w:bCs/>
                      <w:kern w:val="0"/>
                      <w:szCs w:val="21"/>
                    </w:rPr>
                  </w:pPr>
                  <w:r>
                    <w:rPr>
                      <w:rFonts w:hint="eastAsia"/>
                      <w:b/>
                      <w:bCs/>
                      <w:kern w:val="0"/>
                      <w:szCs w:val="21"/>
                    </w:rPr>
                    <w:t>内径</w:t>
                  </w:r>
                </w:p>
              </w:tc>
              <w:tc>
                <w:tcPr>
                  <w:tcW w:w="427" w:type="dxa"/>
                  <w:vMerge w:val="restart"/>
                  <w:tcBorders>
                    <w:tl2br w:val="nil"/>
                    <w:tr2bl w:val="nil"/>
                  </w:tcBorders>
                  <w:vAlign w:val="center"/>
                </w:tcPr>
                <w:p w14:paraId="156F1D56">
                  <w:pPr>
                    <w:adjustRightInd w:val="0"/>
                    <w:snapToGrid w:val="0"/>
                    <w:spacing w:line="25" w:lineRule="atLeast"/>
                    <w:jc w:val="center"/>
                    <w:rPr>
                      <w:b/>
                      <w:bCs/>
                      <w:kern w:val="0"/>
                      <w:szCs w:val="21"/>
                    </w:rPr>
                  </w:pPr>
                  <w:r>
                    <w:rPr>
                      <w:rFonts w:hint="eastAsia"/>
                      <w:b/>
                      <w:bCs/>
                      <w:kern w:val="0"/>
                      <w:szCs w:val="21"/>
                    </w:rPr>
                    <w:t>类型</w:t>
                  </w:r>
                </w:p>
              </w:tc>
              <w:tc>
                <w:tcPr>
                  <w:tcW w:w="427" w:type="dxa"/>
                  <w:vMerge w:val="restart"/>
                  <w:tcBorders>
                    <w:tl2br w:val="nil"/>
                    <w:tr2bl w:val="nil"/>
                  </w:tcBorders>
                  <w:vAlign w:val="center"/>
                </w:tcPr>
                <w:p w14:paraId="62C53299">
                  <w:pPr>
                    <w:adjustRightInd w:val="0"/>
                    <w:snapToGrid w:val="0"/>
                    <w:spacing w:line="25" w:lineRule="atLeast"/>
                    <w:jc w:val="center"/>
                    <w:rPr>
                      <w:b/>
                      <w:bCs/>
                      <w:kern w:val="0"/>
                      <w:szCs w:val="21"/>
                    </w:rPr>
                  </w:pPr>
                  <w:r>
                    <w:rPr>
                      <w:rFonts w:hint="eastAsia"/>
                      <w:b/>
                      <w:bCs/>
                      <w:kern w:val="0"/>
                      <w:szCs w:val="21"/>
                    </w:rPr>
                    <w:t>排放形式</w:t>
                  </w:r>
                </w:p>
              </w:tc>
              <w:tc>
                <w:tcPr>
                  <w:tcW w:w="1732" w:type="dxa"/>
                  <w:vMerge w:val="restart"/>
                  <w:tcBorders>
                    <w:tl2br w:val="nil"/>
                    <w:tr2bl w:val="nil"/>
                  </w:tcBorders>
                  <w:vAlign w:val="center"/>
                </w:tcPr>
                <w:p w14:paraId="423306ED">
                  <w:pPr>
                    <w:adjustRightInd w:val="0"/>
                    <w:snapToGrid w:val="0"/>
                    <w:spacing w:line="25" w:lineRule="atLeast"/>
                    <w:jc w:val="center"/>
                    <w:rPr>
                      <w:b/>
                      <w:bCs/>
                      <w:kern w:val="0"/>
                      <w:szCs w:val="21"/>
                    </w:rPr>
                  </w:pPr>
                  <w:r>
                    <w:rPr>
                      <w:rFonts w:hint="eastAsia"/>
                      <w:b/>
                      <w:bCs/>
                      <w:kern w:val="0"/>
                      <w:szCs w:val="21"/>
                    </w:rPr>
                    <w:t>执行标准</w:t>
                  </w:r>
                </w:p>
              </w:tc>
            </w:tr>
            <w:tr w14:paraId="7AA6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39" w:type="dxa"/>
                  <w:vMerge w:val="continue"/>
                  <w:tcBorders>
                    <w:tl2br w:val="nil"/>
                    <w:tr2bl w:val="nil"/>
                  </w:tcBorders>
                  <w:vAlign w:val="center"/>
                </w:tcPr>
                <w:p w14:paraId="48958D4A">
                  <w:pPr>
                    <w:adjustRightInd w:val="0"/>
                    <w:snapToGrid w:val="0"/>
                    <w:spacing w:line="25" w:lineRule="atLeast"/>
                    <w:jc w:val="center"/>
                    <w:rPr>
                      <w:b/>
                      <w:bCs/>
                      <w:kern w:val="0"/>
                      <w:szCs w:val="21"/>
                    </w:rPr>
                  </w:pPr>
                </w:p>
              </w:tc>
              <w:tc>
                <w:tcPr>
                  <w:tcW w:w="422" w:type="dxa"/>
                  <w:vMerge w:val="continue"/>
                  <w:tcBorders>
                    <w:tl2br w:val="nil"/>
                    <w:tr2bl w:val="nil"/>
                  </w:tcBorders>
                  <w:vAlign w:val="center"/>
                </w:tcPr>
                <w:p w14:paraId="2C5A3CE8">
                  <w:pPr>
                    <w:adjustRightInd w:val="0"/>
                    <w:snapToGrid w:val="0"/>
                    <w:spacing w:line="25" w:lineRule="atLeast"/>
                    <w:jc w:val="center"/>
                    <w:rPr>
                      <w:b/>
                      <w:bCs/>
                      <w:kern w:val="0"/>
                      <w:szCs w:val="21"/>
                    </w:rPr>
                  </w:pPr>
                </w:p>
              </w:tc>
              <w:tc>
                <w:tcPr>
                  <w:tcW w:w="655" w:type="dxa"/>
                  <w:vMerge w:val="continue"/>
                  <w:tcBorders>
                    <w:tl2br w:val="nil"/>
                    <w:tr2bl w:val="nil"/>
                  </w:tcBorders>
                  <w:vAlign w:val="center"/>
                </w:tcPr>
                <w:p w14:paraId="1CDF4EC6">
                  <w:pPr>
                    <w:adjustRightInd w:val="0"/>
                    <w:snapToGrid w:val="0"/>
                    <w:spacing w:line="25" w:lineRule="atLeast"/>
                    <w:jc w:val="center"/>
                    <w:rPr>
                      <w:b/>
                      <w:bCs/>
                      <w:kern w:val="0"/>
                      <w:szCs w:val="21"/>
                    </w:rPr>
                  </w:pPr>
                </w:p>
              </w:tc>
              <w:tc>
                <w:tcPr>
                  <w:tcW w:w="1334" w:type="dxa"/>
                  <w:tcBorders>
                    <w:tl2br w:val="nil"/>
                    <w:tr2bl w:val="nil"/>
                  </w:tcBorders>
                  <w:vAlign w:val="center"/>
                </w:tcPr>
                <w:p w14:paraId="3DDDC823">
                  <w:pPr>
                    <w:adjustRightInd w:val="0"/>
                    <w:snapToGrid w:val="0"/>
                    <w:spacing w:line="25" w:lineRule="atLeast"/>
                    <w:jc w:val="center"/>
                    <w:rPr>
                      <w:b/>
                      <w:bCs/>
                      <w:kern w:val="0"/>
                      <w:szCs w:val="21"/>
                    </w:rPr>
                  </w:pPr>
                  <w:r>
                    <w:rPr>
                      <w:rFonts w:hint="eastAsia"/>
                      <w:b/>
                      <w:bCs/>
                      <w:kern w:val="0"/>
                      <w:szCs w:val="21"/>
                    </w:rPr>
                    <w:t>经度°</w:t>
                  </w:r>
                </w:p>
              </w:tc>
              <w:tc>
                <w:tcPr>
                  <w:tcW w:w="1736" w:type="dxa"/>
                  <w:tcBorders>
                    <w:tl2br w:val="nil"/>
                    <w:tr2bl w:val="nil"/>
                  </w:tcBorders>
                  <w:vAlign w:val="center"/>
                </w:tcPr>
                <w:p w14:paraId="0053C820">
                  <w:pPr>
                    <w:adjustRightInd w:val="0"/>
                    <w:snapToGrid w:val="0"/>
                    <w:spacing w:line="25" w:lineRule="atLeast"/>
                    <w:jc w:val="center"/>
                    <w:rPr>
                      <w:b/>
                      <w:bCs/>
                      <w:kern w:val="0"/>
                      <w:szCs w:val="21"/>
                    </w:rPr>
                  </w:pPr>
                  <w:r>
                    <w:rPr>
                      <w:rFonts w:hint="eastAsia"/>
                      <w:b/>
                      <w:bCs/>
                      <w:kern w:val="0"/>
                      <w:szCs w:val="21"/>
                    </w:rPr>
                    <w:t>纬度°</w:t>
                  </w:r>
                </w:p>
              </w:tc>
              <w:tc>
                <w:tcPr>
                  <w:tcW w:w="427" w:type="dxa"/>
                  <w:vMerge w:val="continue"/>
                  <w:tcBorders>
                    <w:tl2br w:val="nil"/>
                    <w:tr2bl w:val="nil"/>
                  </w:tcBorders>
                  <w:vAlign w:val="center"/>
                </w:tcPr>
                <w:p w14:paraId="29312C33">
                  <w:pPr>
                    <w:adjustRightInd w:val="0"/>
                    <w:snapToGrid w:val="0"/>
                    <w:spacing w:line="25" w:lineRule="atLeast"/>
                    <w:jc w:val="center"/>
                    <w:rPr>
                      <w:b/>
                      <w:bCs/>
                      <w:kern w:val="0"/>
                      <w:szCs w:val="21"/>
                    </w:rPr>
                  </w:pPr>
                </w:p>
              </w:tc>
              <w:tc>
                <w:tcPr>
                  <w:tcW w:w="479" w:type="dxa"/>
                  <w:vMerge w:val="continue"/>
                  <w:tcBorders>
                    <w:tl2br w:val="nil"/>
                    <w:tr2bl w:val="nil"/>
                  </w:tcBorders>
                  <w:vAlign w:val="center"/>
                </w:tcPr>
                <w:p w14:paraId="5E795953">
                  <w:pPr>
                    <w:adjustRightInd w:val="0"/>
                    <w:snapToGrid w:val="0"/>
                    <w:spacing w:line="25" w:lineRule="atLeast"/>
                    <w:jc w:val="center"/>
                    <w:rPr>
                      <w:b/>
                      <w:bCs/>
                      <w:kern w:val="0"/>
                      <w:szCs w:val="21"/>
                    </w:rPr>
                  </w:pPr>
                </w:p>
              </w:tc>
              <w:tc>
                <w:tcPr>
                  <w:tcW w:w="427" w:type="dxa"/>
                  <w:vMerge w:val="continue"/>
                  <w:tcBorders>
                    <w:tl2br w:val="nil"/>
                    <w:tr2bl w:val="nil"/>
                  </w:tcBorders>
                  <w:vAlign w:val="center"/>
                </w:tcPr>
                <w:p w14:paraId="7064A13D">
                  <w:pPr>
                    <w:adjustRightInd w:val="0"/>
                    <w:snapToGrid w:val="0"/>
                    <w:spacing w:line="25" w:lineRule="atLeast"/>
                    <w:jc w:val="center"/>
                    <w:rPr>
                      <w:b/>
                      <w:bCs/>
                      <w:kern w:val="0"/>
                      <w:szCs w:val="21"/>
                    </w:rPr>
                  </w:pPr>
                </w:p>
              </w:tc>
              <w:tc>
                <w:tcPr>
                  <w:tcW w:w="427" w:type="dxa"/>
                  <w:vMerge w:val="continue"/>
                  <w:tcBorders>
                    <w:tl2br w:val="nil"/>
                    <w:tr2bl w:val="nil"/>
                  </w:tcBorders>
                  <w:vAlign w:val="center"/>
                </w:tcPr>
                <w:p w14:paraId="5F8A8410">
                  <w:pPr>
                    <w:adjustRightInd w:val="0"/>
                    <w:snapToGrid w:val="0"/>
                    <w:spacing w:line="25" w:lineRule="atLeast"/>
                    <w:jc w:val="center"/>
                    <w:rPr>
                      <w:b/>
                      <w:bCs/>
                      <w:kern w:val="0"/>
                      <w:szCs w:val="21"/>
                    </w:rPr>
                  </w:pPr>
                </w:p>
              </w:tc>
              <w:tc>
                <w:tcPr>
                  <w:tcW w:w="1732" w:type="dxa"/>
                  <w:vMerge w:val="continue"/>
                  <w:tcBorders>
                    <w:tl2br w:val="nil"/>
                    <w:tr2bl w:val="nil"/>
                  </w:tcBorders>
                  <w:vAlign w:val="center"/>
                </w:tcPr>
                <w:p w14:paraId="5FF95106">
                  <w:pPr>
                    <w:adjustRightInd w:val="0"/>
                    <w:snapToGrid w:val="0"/>
                    <w:spacing w:line="25" w:lineRule="atLeast"/>
                    <w:jc w:val="center"/>
                    <w:rPr>
                      <w:b/>
                      <w:bCs/>
                      <w:kern w:val="0"/>
                      <w:szCs w:val="21"/>
                    </w:rPr>
                  </w:pPr>
                </w:p>
              </w:tc>
            </w:tr>
            <w:tr w14:paraId="4B08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39" w:type="dxa"/>
                  <w:vMerge w:val="restart"/>
                  <w:tcBorders>
                    <w:tl2br w:val="nil"/>
                    <w:tr2bl w:val="nil"/>
                  </w:tcBorders>
                  <w:vAlign w:val="center"/>
                </w:tcPr>
                <w:p w14:paraId="540B8B22">
                  <w:pPr>
                    <w:adjustRightInd w:val="0"/>
                    <w:snapToGrid w:val="0"/>
                    <w:spacing w:line="25" w:lineRule="atLeast"/>
                    <w:jc w:val="center"/>
                    <w:rPr>
                      <w:kern w:val="0"/>
                      <w:szCs w:val="21"/>
                    </w:rPr>
                  </w:pPr>
                  <w:r>
                    <w:rPr>
                      <w:kern w:val="0"/>
                      <w:szCs w:val="21"/>
                      <w:lang w:bidi="ar"/>
                    </w:rPr>
                    <w:t>DA00</w:t>
                  </w:r>
                  <w:r>
                    <w:rPr>
                      <w:rFonts w:hint="eastAsia"/>
                      <w:kern w:val="0"/>
                      <w:szCs w:val="21"/>
                      <w:lang w:bidi="ar"/>
                    </w:rPr>
                    <w:t>1</w:t>
                  </w:r>
                </w:p>
              </w:tc>
              <w:tc>
                <w:tcPr>
                  <w:tcW w:w="422" w:type="dxa"/>
                  <w:vMerge w:val="restart"/>
                  <w:tcBorders>
                    <w:tl2br w:val="nil"/>
                    <w:tr2bl w:val="nil"/>
                  </w:tcBorders>
                  <w:vAlign w:val="center"/>
                </w:tcPr>
                <w:p w14:paraId="59E5856C">
                  <w:pPr>
                    <w:adjustRightInd w:val="0"/>
                    <w:snapToGrid w:val="0"/>
                    <w:spacing w:line="25" w:lineRule="atLeast"/>
                    <w:jc w:val="center"/>
                    <w:rPr>
                      <w:kern w:val="0"/>
                      <w:szCs w:val="21"/>
                    </w:rPr>
                  </w:pPr>
                  <w:r>
                    <w:rPr>
                      <w:rFonts w:hint="eastAsia"/>
                      <w:kern w:val="0"/>
                      <w:szCs w:val="21"/>
                    </w:rPr>
                    <w:t>废气排放口</w:t>
                  </w:r>
                </w:p>
              </w:tc>
              <w:tc>
                <w:tcPr>
                  <w:tcW w:w="655" w:type="dxa"/>
                  <w:tcBorders>
                    <w:tl2br w:val="nil"/>
                    <w:tr2bl w:val="nil"/>
                  </w:tcBorders>
                  <w:vAlign w:val="center"/>
                </w:tcPr>
                <w:p w14:paraId="553C538E">
                  <w:pPr>
                    <w:widowControl/>
                    <w:adjustRightInd w:val="0"/>
                    <w:snapToGrid w:val="0"/>
                    <w:spacing w:line="260" w:lineRule="exact"/>
                    <w:jc w:val="center"/>
                    <w:rPr>
                      <w:kern w:val="0"/>
                      <w:szCs w:val="21"/>
                    </w:rPr>
                  </w:pPr>
                  <w:r>
                    <w:rPr>
                      <w:rFonts w:hint="eastAsia"/>
                      <w:sz w:val="20"/>
                      <w:szCs w:val="20"/>
                    </w:rPr>
                    <w:t>颗粒物</w:t>
                  </w:r>
                </w:p>
              </w:tc>
              <w:tc>
                <w:tcPr>
                  <w:tcW w:w="1334" w:type="dxa"/>
                  <w:vMerge w:val="restart"/>
                  <w:tcBorders>
                    <w:tl2br w:val="nil"/>
                    <w:tr2bl w:val="nil"/>
                  </w:tcBorders>
                  <w:vAlign w:val="center"/>
                </w:tcPr>
                <w:p w14:paraId="065E47D4">
                  <w:pPr>
                    <w:adjustRightInd w:val="0"/>
                    <w:snapToGrid w:val="0"/>
                    <w:jc w:val="center"/>
                    <w:rPr>
                      <w:kern w:val="0"/>
                      <w:szCs w:val="21"/>
                    </w:rPr>
                  </w:pPr>
                  <w:r>
                    <w:rPr>
                      <w:kern w:val="0"/>
                      <w:szCs w:val="21"/>
                    </w:rPr>
                    <w:t>107°31′58.946″</w:t>
                  </w:r>
                </w:p>
              </w:tc>
              <w:tc>
                <w:tcPr>
                  <w:tcW w:w="1736" w:type="dxa"/>
                  <w:vMerge w:val="restart"/>
                  <w:tcBorders>
                    <w:tl2br w:val="nil"/>
                    <w:tr2bl w:val="nil"/>
                  </w:tcBorders>
                  <w:vAlign w:val="center"/>
                </w:tcPr>
                <w:p w14:paraId="69F6504D">
                  <w:pPr>
                    <w:adjustRightInd w:val="0"/>
                    <w:snapToGrid w:val="0"/>
                    <w:jc w:val="center"/>
                    <w:rPr>
                      <w:kern w:val="0"/>
                      <w:szCs w:val="21"/>
                      <w:vertAlign w:val="superscript"/>
                    </w:rPr>
                  </w:pPr>
                  <w:r>
                    <w:rPr>
                      <w:kern w:val="0"/>
                      <w:szCs w:val="21"/>
                    </w:rPr>
                    <w:t>31°15′48.899″</w:t>
                  </w:r>
                </w:p>
              </w:tc>
              <w:tc>
                <w:tcPr>
                  <w:tcW w:w="427" w:type="dxa"/>
                  <w:vMerge w:val="restart"/>
                  <w:tcBorders>
                    <w:tl2br w:val="nil"/>
                    <w:tr2bl w:val="nil"/>
                  </w:tcBorders>
                  <w:vAlign w:val="center"/>
                </w:tcPr>
                <w:p w14:paraId="29739455">
                  <w:pPr>
                    <w:adjustRightInd w:val="0"/>
                    <w:snapToGrid w:val="0"/>
                    <w:spacing w:line="25" w:lineRule="atLeast"/>
                    <w:jc w:val="center"/>
                    <w:rPr>
                      <w:kern w:val="0"/>
                      <w:szCs w:val="21"/>
                    </w:rPr>
                  </w:pPr>
                  <w:r>
                    <w:rPr>
                      <w:rFonts w:hint="eastAsia"/>
                      <w:kern w:val="0"/>
                      <w:szCs w:val="21"/>
                    </w:rPr>
                    <w:t>15</w:t>
                  </w:r>
                </w:p>
              </w:tc>
              <w:tc>
                <w:tcPr>
                  <w:tcW w:w="479" w:type="dxa"/>
                  <w:vMerge w:val="restart"/>
                  <w:tcBorders>
                    <w:tl2br w:val="nil"/>
                    <w:tr2bl w:val="nil"/>
                  </w:tcBorders>
                  <w:vAlign w:val="center"/>
                </w:tcPr>
                <w:p w14:paraId="520E4C1B">
                  <w:pPr>
                    <w:adjustRightInd w:val="0"/>
                    <w:snapToGrid w:val="0"/>
                    <w:spacing w:line="25" w:lineRule="atLeast"/>
                    <w:jc w:val="center"/>
                    <w:rPr>
                      <w:kern w:val="0"/>
                      <w:szCs w:val="21"/>
                    </w:rPr>
                  </w:pPr>
                  <w:r>
                    <w:rPr>
                      <w:rFonts w:hint="eastAsia"/>
                      <w:kern w:val="0"/>
                      <w:szCs w:val="21"/>
                    </w:rPr>
                    <w:t>0.5</w:t>
                  </w:r>
                </w:p>
              </w:tc>
              <w:tc>
                <w:tcPr>
                  <w:tcW w:w="427" w:type="dxa"/>
                  <w:vMerge w:val="restart"/>
                  <w:tcBorders>
                    <w:tl2br w:val="nil"/>
                    <w:tr2bl w:val="nil"/>
                  </w:tcBorders>
                  <w:vAlign w:val="center"/>
                </w:tcPr>
                <w:p w14:paraId="098A8FBD">
                  <w:pPr>
                    <w:adjustRightInd w:val="0"/>
                    <w:snapToGrid w:val="0"/>
                    <w:spacing w:line="25" w:lineRule="atLeast"/>
                    <w:jc w:val="center"/>
                    <w:rPr>
                      <w:kern w:val="0"/>
                      <w:szCs w:val="21"/>
                    </w:rPr>
                  </w:pPr>
                  <w:r>
                    <w:rPr>
                      <w:rFonts w:hint="eastAsia"/>
                      <w:kern w:val="0"/>
                      <w:szCs w:val="21"/>
                    </w:rPr>
                    <w:t>一般排放口</w:t>
                  </w:r>
                </w:p>
              </w:tc>
              <w:tc>
                <w:tcPr>
                  <w:tcW w:w="427" w:type="dxa"/>
                  <w:vMerge w:val="restart"/>
                  <w:tcBorders>
                    <w:tl2br w:val="nil"/>
                    <w:tr2bl w:val="nil"/>
                  </w:tcBorders>
                  <w:vAlign w:val="center"/>
                </w:tcPr>
                <w:p w14:paraId="23B8F6AA">
                  <w:pPr>
                    <w:adjustRightInd w:val="0"/>
                    <w:snapToGrid w:val="0"/>
                    <w:spacing w:line="25" w:lineRule="atLeast"/>
                    <w:jc w:val="center"/>
                    <w:rPr>
                      <w:kern w:val="0"/>
                      <w:szCs w:val="21"/>
                    </w:rPr>
                  </w:pPr>
                  <w:r>
                    <w:rPr>
                      <w:rFonts w:hint="eastAsia"/>
                      <w:kern w:val="0"/>
                      <w:szCs w:val="21"/>
                    </w:rPr>
                    <w:t>有组织</w:t>
                  </w:r>
                </w:p>
              </w:tc>
              <w:tc>
                <w:tcPr>
                  <w:tcW w:w="1732" w:type="dxa"/>
                  <w:tcBorders>
                    <w:tl2br w:val="nil"/>
                    <w:tr2bl w:val="nil"/>
                  </w:tcBorders>
                  <w:vAlign w:val="center"/>
                </w:tcPr>
                <w:p w14:paraId="09DBA9A8">
                  <w:pPr>
                    <w:widowControl/>
                    <w:adjustRightInd w:val="0"/>
                    <w:snapToGrid w:val="0"/>
                    <w:spacing w:line="260" w:lineRule="exact"/>
                    <w:jc w:val="center"/>
                    <w:rPr>
                      <w:kern w:val="0"/>
                      <w:szCs w:val="21"/>
                    </w:rPr>
                  </w:pPr>
                  <w:r>
                    <w:rPr>
                      <w:kern w:val="0"/>
                      <w:szCs w:val="21"/>
                    </w:rPr>
                    <w:t>《大气污染物综合排放标准》</w:t>
                  </w:r>
                  <w:r>
                    <w:rPr>
                      <w:rFonts w:hint="eastAsia"/>
                      <w:kern w:val="0"/>
                      <w:szCs w:val="21"/>
                      <w:lang w:eastAsia="zh-CN"/>
                    </w:rPr>
                    <w:t>（</w:t>
                  </w:r>
                  <w:r>
                    <w:rPr>
                      <w:kern w:val="0"/>
                      <w:szCs w:val="21"/>
                    </w:rPr>
                    <w:t>GB16297-1996</w:t>
                  </w:r>
                  <w:r>
                    <w:rPr>
                      <w:rFonts w:hint="eastAsia"/>
                      <w:kern w:val="0"/>
                      <w:szCs w:val="21"/>
                      <w:lang w:eastAsia="zh-CN"/>
                    </w:rPr>
                    <w:t>）</w:t>
                  </w:r>
                </w:p>
              </w:tc>
            </w:tr>
            <w:tr w14:paraId="192C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39" w:type="dxa"/>
                  <w:vMerge w:val="continue"/>
                  <w:tcBorders>
                    <w:tl2br w:val="nil"/>
                    <w:tr2bl w:val="nil"/>
                  </w:tcBorders>
                  <w:vAlign w:val="center"/>
                </w:tcPr>
                <w:p w14:paraId="1A701A98">
                  <w:pPr>
                    <w:adjustRightInd w:val="0"/>
                    <w:snapToGrid w:val="0"/>
                    <w:spacing w:line="25" w:lineRule="atLeast"/>
                    <w:jc w:val="center"/>
                    <w:rPr>
                      <w:kern w:val="0"/>
                      <w:szCs w:val="21"/>
                      <w:highlight w:val="cyan"/>
                      <w:lang w:bidi="ar"/>
                    </w:rPr>
                  </w:pPr>
                </w:p>
              </w:tc>
              <w:tc>
                <w:tcPr>
                  <w:tcW w:w="422" w:type="dxa"/>
                  <w:vMerge w:val="continue"/>
                  <w:tcBorders>
                    <w:tl2br w:val="nil"/>
                    <w:tr2bl w:val="nil"/>
                  </w:tcBorders>
                  <w:vAlign w:val="center"/>
                </w:tcPr>
                <w:p w14:paraId="59B90618">
                  <w:pPr>
                    <w:adjustRightInd w:val="0"/>
                    <w:snapToGrid w:val="0"/>
                    <w:spacing w:line="25" w:lineRule="atLeast"/>
                    <w:jc w:val="center"/>
                    <w:rPr>
                      <w:kern w:val="0"/>
                      <w:szCs w:val="21"/>
                      <w:highlight w:val="cyan"/>
                    </w:rPr>
                  </w:pPr>
                </w:p>
              </w:tc>
              <w:tc>
                <w:tcPr>
                  <w:tcW w:w="655" w:type="dxa"/>
                  <w:tcBorders>
                    <w:tl2br w:val="nil"/>
                    <w:tr2bl w:val="nil"/>
                  </w:tcBorders>
                  <w:vAlign w:val="center"/>
                </w:tcPr>
                <w:p w14:paraId="2A2BAE7F">
                  <w:pPr>
                    <w:widowControl/>
                    <w:adjustRightInd w:val="0"/>
                    <w:snapToGrid w:val="0"/>
                    <w:spacing w:line="260" w:lineRule="exact"/>
                    <w:jc w:val="center"/>
                    <w:rPr>
                      <w:kern w:val="0"/>
                      <w:szCs w:val="21"/>
                      <w:highlight w:val="cyan"/>
                    </w:rPr>
                  </w:pPr>
                  <w:r>
                    <w:rPr>
                      <w:rFonts w:hint="eastAsia"/>
                      <w:sz w:val="20"/>
                      <w:szCs w:val="20"/>
                    </w:rPr>
                    <w:t>氨气</w:t>
                  </w:r>
                </w:p>
              </w:tc>
              <w:tc>
                <w:tcPr>
                  <w:tcW w:w="1334" w:type="dxa"/>
                  <w:vMerge w:val="continue"/>
                  <w:tcBorders>
                    <w:tl2br w:val="nil"/>
                    <w:tr2bl w:val="nil"/>
                  </w:tcBorders>
                  <w:vAlign w:val="center"/>
                </w:tcPr>
                <w:p w14:paraId="68D20790">
                  <w:pPr>
                    <w:adjustRightInd w:val="0"/>
                    <w:snapToGrid w:val="0"/>
                    <w:jc w:val="center"/>
                    <w:rPr>
                      <w:kern w:val="0"/>
                      <w:szCs w:val="21"/>
                      <w:highlight w:val="cyan"/>
                    </w:rPr>
                  </w:pPr>
                </w:p>
              </w:tc>
              <w:tc>
                <w:tcPr>
                  <w:tcW w:w="1736" w:type="dxa"/>
                  <w:vMerge w:val="continue"/>
                  <w:tcBorders>
                    <w:tl2br w:val="nil"/>
                    <w:tr2bl w:val="nil"/>
                  </w:tcBorders>
                  <w:vAlign w:val="center"/>
                </w:tcPr>
                <w:p w14:paraId="5C791FD0">
                  <w:pPr>
                    <w:adjustRightInd w:val="0"/>
                    <w:snapToGrid w:val="0"/>
                    <w:jc w:val="center"/>
                    <w:rPr>
                      <w:kern w:val="0"/>
                      <w:szCs w:val="21"/>
                      <w:highlight w:val="cyan"/>
                      <w:vertAlign w:val="superscript"/>
                    </w:rPr>
                  </w:pPr>
                </w:p>
              </w:tc>
              <w:tc>
                <w:tcPr>
                  <w:tcW w:w="427" w:type="dxa"/>
                  <w:vMerge w:val="continue"/>
                  <w:tcBorders>
                    <w:tl2br w:val="nil"/>
                    <w:tr2bl w:val="nil"/>
                  </w:tcBorders>
                  <w:vAlign w:val="center"/>
                </w:tcPr>
                <w:p w14:paraId="2DC65C1C">
                  <w:pPr>
                    <w:adjustRightInd w:val="0"/>
                    <w:snapToGrid w:val="0"/>
                    <w:spacing w:line="25" w:lineRule="atLeast"/>
                    <w:jc w:val="center"/>
                    <w:rPr>
                      <w:kern w:val="0"/>
                      <w:szCs w:val="21"/>
                      <w:highlight w:val="cyan"/>
                    </w:rPr>
                  </w:pPr>
                </w:p>
              </w:tc>
              <w:tc>
                <w:tcPr>
                  <w:tcW w:w="479" w:type="dxa"/>
                  <w:vMerge w:val="continue"/>
                  <w:tcBorders>
                    <w:tl2br w:val="nil"/>
                    <w:tr2bl w:val="nil"/>
                  </w:tcBorders>
                  <w:vAlign w:val="center"/>
                </w:tcPr>
                <w:p w14:paraId="2DC86714">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7C2739FC">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07E882F1">
                  <w:pPr>
                    <w:adjustRightInd w:val="0"/>
                    <w:snapToGrid w:val="0"/>
                    <w:spacing w:line="25" w:lineRule="atLeast"/>
                    <w:jc w:val="center"/>
                    <w:rPr>
                      <w:kern w:val="0"/>
                      <w:szCs w:val="21"/>
                      <w:highlight w:val="cyan"/>
                    </w:rPr>
                  </w:pPr>
                </w:p>
              </w:tc>
              <w:tc>
                <w:tcPr>
                  <w:tcW w:w="1732" w:type="dxa"/>
                  <w:vMerge w:val="restart"/>
                  <w:tcBorders>
                    <w:tl2br w:val="nil"/>
                    <w:tr2bl w:val="nil"/>
                  </w:tcBorders>
                  <w:vAlign w:val="center"/>
                </w:tcPr>
                <w:p w14:paraId="7DF41DE8">
                  <w:pPr>
                    <w:widowControl/>
                    <w:adjustRightInd w:val="0"/>
                    <w:snapToGrid w:val="0"/>
                    <w:spacing w:line="260" w:lineRule="exact"/>
                    <w:jc w:val="center"/>
                    <w:rPr>
                      <w:kern w:val="0"/>
                      <w:szCs w:val="21"/>
                      <w:highlight w:val="cyan"/>
                    </w:rPr>
                  </w:pPr>
                  <w:r>
                    <w:rPr>
                      <w:kern w:val="0"/>
                      <w:szCs w:val="21"/>
                    </w:rPr>
                    <w:t>《恶臭污染物排放标准》（GB14554-93）</w:t>
                  </w:r>
                </w:p>
              </w:tc>
            </w:tr>
            <w:tr w14:paraId="1FAC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39" w:type="dxa"/>
                  <w:vMerge w:val="continue"/>
                  <w:tcBorders>
                    <w:tl2br w:val="nil"/>
                    <w:tr2bl w:val="nil"/>
                  </w:tcBorders>
                  <w:vAlign w:val="center"/>
                </w:tcPr>
                <w:p w14:paraId="511E9CF7">
                  <w:pPr>
                    <w:adjustRightInd w:val="0"/>
                    <w:snapToGrid w:val="0"/>
                    <w:spacing w:line="25" w:lineRule="atLeast"/>
                    <w:jc w:val="center"/>
                    <w:rPr>
                      <w:kern w:val="0"/>
                      <w:szCs w:val="21"/>
                      <w:highlight w:val="cyan"/>
                      <w:lang w:bidi="ar"/>
                    </w:rPr>
                  </w:pPr>
                </w:p>
              </w:tc>
              <w:tc>
                <w:tcPr>
                  <w:tcW w:w="422" w:type="dxa"/>
                  <w:vMerge w:val="continue"/>
                  <w:tcBorders>
                    <w:tl2br w:val="nil"/>
                    <w:tr2bl w:val="nil"/>
                  </w:tcBorders>
                  <w:vAlign w:val="center"/>
                </w:tcPr>
                <w:p w14:paraId="1E789D94">
                  <w:pPr>
                    <w:adjustRightInd w:val="0"/>
                    <w:snapToGrid w:val="0"/>
                    <w:spacing w:line="25" w:lineRule="atLeast"/>
                    <w:jc w:val="center"/>
                    <w:rPr>
                      <w:kern w:val="0"/>
                      <w:szCs w:val="21"/>
                      <w:highlight w:val="cyan"/>
                    </w:rPr>
                  </w:pPr>
                </w:p>
              </w:tc>
              <w:tc>
                <w:tcPr>
                  <w:tcW w:w="655" w:type="dxa"/>
                  <w:tcBorders>
                    <w:tl2br w:val="nil"/>
                    <w:tr2bl w:val="nil"/>
                  </w:tcBorders>
                  <w:vAlign w:val="center"/>
                </w:tcPr>
                <w:p w14:paraId="1441F52F">
                  <w:pPr>
                    <w:widowControl/>
                    <w:adjustRightInd w:val="0"/>
                    <w:snapToGrid w:val="0"/>
                    <w:spacing w:line="260" w:lineRule="exact"/>
                    <w:jc w:val="center"/>
                    <w:rPr>
                      <w:kern w:val="0"/>
                      <w:szCs w:val="21"/>
                      <w:highlight w:val="cyan"/>
                    </w:rPr>
                  </w:pPr>
                  <w:r>
                    <w:rPr>
                      <w:rFonts w:hint="eastAsia"/>
                      <w:sz w:val="20"/>
                      <w:szCs w:val="20"/>
                    </w:rPr>
                    <w:t>硫化氢</w:t>
                  </w:r>
                </w:p>
              </w:tc>
              <w:tc>
                <w:tcPr>
                  <w:tcW w:w="1334" w:type="dxa"/>
                  <w:vMerge w:val="continue"/>
                  <w:tcBorders>
                    <w:tl2br w:val="nil"/>
                    <w:tr2bl w:val="nil"/>
                  </w:tcBorders>
                  <w:vAlign w:val="center"/>
                </w:tcPr>
                <w:p w14:paraId="4167CB50">
                  <w:pPr>
                    <w:adjustRightInd w:val="0"/>
                    <w:snapToGrid w:val="0"/>
                    <w:jc w:val="center"/>
                    <w:rPr>
                      <w:kern w:val="0"/>
                      <w:szCs w:val="21"/>
                      <w:highlight w:val="cyan"/>
                    </w:rPr>
                  </w:pPr>
                </w:p>
              </w:tc>
              <w:tc>
                <w:tcPr>
                  <w:tcW w:w="1736" w:type="dxa"/>
                  <w:vMerge w:val="continue"/>
                  <w:tcBorders>
                    <w:tl2br w:val="nil"/>
                    <w:tr2bl w:val="nil"/>
                  </w:tcBorders>
                  <w:vAlign w:val="center"/>
                </w:tcPr>
                <w:p w14:paraId="45EFA197">
                  <w:pPr>
                    <w:adjustRightInd w:val="0"/>
                    <w:snapToGrid w:val="0"/>
                    <w:jc w:val="center"/>
                    <w:rPr>
                      <w:kern w:val="0"/>
                      <w:szCs w:val="21"/>
                      <w:highlight w:val="cyan"/>
                      <w:vertAlign w:val="superscript"/>
                    </w:rPr>
                  </w:pPr>
                </w:p>
              </w:tc>
              <w:tc>
                <w:tcPr>
                  <w:tcW w:w="427" w:type="dxa"/>
                  <w:vMerge w:val="continue"/>
                  <w:tcBorders>
                    <w:tl2br w:val="nil"/>
                    <w:tr2bl w:val="nil"/>
                  </w:tcBorders>
                  <w:vAlign w:val="center"/>
                </w:tcPr>
                <w:p w14:paraId="1516FC6B">
                  <w:pPr>
                    <w:adjustRightInd w:val="0"/>
                    <w:snapToGrid w:val="0"/>
                    <w:spacing w:line="25" w:lineRule="atLeast"/>
                    <w:jc w:val="center"/>
                    <w:rPr>
                      <w:kern w:val="0"/>
                      <w:szCs w:val="21"/>
                      <w:highlight w:val="cyan"/>
                    </w:rPr>
                  </w:pPr>
                </w:p>
              </w:tc>
              <w:tc>
                <w:tcPr>
                  <w:tcW w:w="479" w:type="dxa"/>
                  <w:vMerge w:val="continue"/>
                  <w:tcBorders>
                    <w:tl2br w:val="nil"/>
                    <w:tr2bl w:val="nil"/>
                  </w:tcBorders>
                  <w:vAlign w:val="center"/>
                </w:tcPr>
                <w:p w14:paraId="2DDE5131">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44DD80BE">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00A0DEDB">
                  <w:pPr>
                    <w:adjustRightInd w:val="0"/>
                    <w:snapToGrid w:val="0"/>
                    <w:spacing w:line="25" w:lineRule="atLeast"/>
                    <w:jc w:val="center"/>
                    <w:rPr>
                      <w:kern w:val="0"/>
                      <w:szCs w:val="21"/>
                      <w:highlight w:val="cyan"/>
                    </w:rPr>
                  </w:pPr>
                </w:p>
              </w:tc>
              <w:tc>
                <w:tcPr>
                  <w:tcW w:w="1732" w:type="dxa"/>
                  <w:vMerge w:val="continue"/>
                  <w:tcBorders>
                    <w:tl2br w:val="nil"/>
                    <w:tr2bl w:val="nil"/>
                  </w:tcBorders>
                  <w:vAlign w:val="center"/>
                </w:tcPr>
                <w:p w14:paraId="36922544">
                  <w:pPr>
                    <w:widowControl/>
                    <w:adjustRightInd w:val="0"/>
                    <w:snapToGrid w:val="0"/>
                    <w:spacing w:line="260" w:lineRule="exact"/>
                    <w:jc w:val="center"/>
                    <w:rPr>
                      <w:kern w:val="0"/>
                      <w:szCs w:val="21"/>
                      <w:highlight w:val="cyan"/>
                    </w:rPr>
                  </w:pPr>
                </w:p>
              </w:tc>
            </w:tr>
            <w:tr w14:paraId="76BA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39" w:type="dxa"/>
                  <w:vMerge w:val="continue"/>
                  <w:tcBorders>
                    <w:tl2br w:val="nil"/>
                    <w:tr2bl w:val="nil"/>
                  </w:tcBorders>
                  <w:vAlign w:val="center"/>
                </w:tcPr>
                <w:p w14:paraId="35E72DD3">
                  <w:pPr>
                    <w:adjustRightInd w:val="0"/>
                    <w:snapToGrid w:val="0"/>
                    <w:spacing w:line="25" w:lineRule="atLeast"/>
                    <w:jc w:val="center"/>
                    <w:rPr>
                      <w:kern w:val="0"/>
                      <w:szCs w:val="21"/>
                      <w:highlight w:val="cyan"/>
                      <w:lang w:bidi="ar"/>
                    </w:rPr>
                  </w:pPr>
                </w:p>
              </w:tc>
              <w:tc>
                <w:tcPr>
                  <w:tcW w:w="422" w:type="dxa"/>
                  <w:vMerge w:val="continue"/>
                  <w:tcBorders>
                    <w:tl2br w:val="nil"/>
                    <w:tr2bl w:val="nil"/>
                  </w:tcBorders>
                  <w:vAlign w:val="center"/>
                </w:tcPr>
                <w:p w14:paraId="00D5C761">
                  <w:pPr>
                    <w:adjustRightInd w:val="0"/>
                    <w:snapToGrid w:val="0"/>
                    <w:spacing w:line="25" w:lineRule="atLeast"/>
                    <w:jc w:val="center"/>
                    <w:rPr>
                      <w:kern w:val="0"/>
                      <w:szCs w:val="21"/>
                      <w:highlight w:val="cyan"/>
                    </w:rPr>
                  </w:pPr>
                </w:p>
              </w:tc>
              <w:tc>
                <w:tcPr>
                  <w:tcW w:w="655" w:type="dxa"/>
                  <w:tcBorders>
                    <w:tl2br w:val="nil"/>
                    <w:tr2bl w:val="nil"/>
                  </w:tcBorders>
                  <w:vAlign w:val="center"/>
                </w:tcPr>
                <w:p w14:paraId="244E91E8">
                  <w:pPr>
                    <w:widowControl/>
                    <w:adjustRightInd w:val="0"/>
                    <w:snapToGrid w:val="0"/>
                    <w:spacing w:line="260" w:lineRule="exact"/>
                    <w:jc w:val="center"/>
                    <w:rPr>
                      <w:sz w:val="20"/>
                      <w:szCs w:val="20"/>
                    </w:rPr>
                  </w:pPr>
                  <w:r>
                    <w:rPr>
                      <w:rFonts w:hint="eastAsia"/>
                      <w:sz w:val="20"/>
                      <w:szCs w:val="20"/>
                    </w:rPr>
                    <w:t>臭气浓度</w:t>
                  </w:r>
                </w:p>
              </w:tc>
              <w:tc>
                <w:tcPr>
                  <w:tcW w:w="1334" w:type="dxa"/>
                  <w:vMerge w:val="continue"/>
                  <w:tcBorders>
                    <w:tl2br w:val="nil"/>
                    <w:tr2bl w:val="nil"/>
                  </w:tcBorders>
                  <w:vAlign w:val="center"/>
                </w:tcPr>
                <w:p w14:paraId="75403790">
                  <w:pPr>
                    <w:adjustRightInd w:val="0"/>
                    <w:snapToGrid w:val="0"/>
                    <w:jc w:val="center"/>
                    <w:rPr>
                      <w:kern w:val="0"/>
                      <w:szCs w:val="21"/>
                      <w:highlight w:val="cyan"/>
                    </w:rPr>
                  </w:pPr>
                </w:p>
              </w:tc>
              <w:tc>
                <w:tcPr>
                  <w:tcW w:w="1736" w:type="dxa"/>
                  <w:vMerge w:val="continue"/>
                  <w:tcBorders>
                    <w:tl2br w:val="nil"/>
                    <w:tr2bl w:val="nil"/>
                  </w:tcBorders>
                  <w:vAlign w:val="center"/>
                </w:tcPr>
                <w:p w14:paraId="3BA08331">
                  <w:pPr>
                    <w:adjustRightInd w:val="0"/>
                    <w:snapToGrid w:val="0"/>
                    <w:jc w:val="center"/>
                    <w:rPr>
                      <w:kern w:val="0"/>
                      <w:szCs w:val="21"/>
                      <w:highlight w:val="cyan"/>
                      <w:vertAlign w:val="superscript"/>
                    </w:rPr>
                  </w:pPr>
                </w:p>
              </w:tc>
              <w:tc>
                <w:tcPr>
                  <w:tcW w:w="427" w:type="dxa"/>
                  <w:vMerge w:val="continue"/>
                  <w:tcBorders>
                    <w:tl2br w:val="nil"/>
                    <w:tr2bl w:val="nil"/>
                  </w:tcBorders>
                  <w:vAlign w:val="center"/>
                </w:tcPr>
                <w:p w14:paraId="17D5B204">
                  <w:pPr>
                    <w:adjustRightInd w:val="0"/>
                    <w:snapToGrid w:val="0"/>
                    <w:spacing w:line="25" w:lineRule="atLeast"/>
                    <w:jc w:val="center"/>
                    <w:rPr>
                      <w:kern w:val="0"/>
                      <w:szCs w:val="21"/>
                      <w:highlight w:val="cyan"/>
                    </w:rPr>
                  </w:pPr>
                </w:p>
              </w:tc>
              <w:tc>
                <w:tcPr>
                  <w:tcW w:w="479" w:type="dxa"/>
                  <w:vMerge w:val="continue"/>
                  <w:tcBorders>
                    <w:tl2br w:val="nil"/>
                    <w:tr2bl w:val="nil"/>
                  </w:tcBorders>
                  <w:vAlign w:val="center"/>
                </w:tcPr>
                <w:p w14:paraId="7C1AF44E">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311B3EA9">
                  <w:pPr>
                    <w:adjustRightInd w:val="0"/>
                    <w:snapToGrid w:val="0"/>
                    <w:spacing w:line="25" w:lineRule="atLeast"/>
                    <w:jc w:val="center"/>
                    <w:rPr>
                      <w:kern w:val="0"/>
                      <w:szCs w:val="21"/>
                      <w:highlight w:val="cyan"/>
                    </w:rPr>
                  </w:pPr>
                </w:p>
              </w:tc>
              <w:tc>
                <w:tcPr>
                  <w:tcW w:w="427" w:type="dxa"/>
                  <w:vMerge w:val="continue"/>
                  <w:tcBorders>
                    <w:tl2br w:val="nil"/>
                    <w:tr2bl w:val="nil"/>
                  </w:tcBorders>
                  <w:vAlign w:val="center"/>
                </w:tcPr>
                <w:p w14:paraId="7D3FA9A4">
                  <w:pPr>
                    <w:adjustRightInd w:val="0"/>
                    <w:snapToGrid w:val="0"/>
                    <w:spacing w:line="25" w:lineRule="atLeast"/>
                    <w:jc w:val="center"/>
                    <w:rPr>
                      <w:kern w:val="0"/>
                      <w:szCs w:val="21"/>
                      <w:highlight w:val="cyan"/>
                    </w:rPr>
                  </w:pPr>
                </w:p>
              </w:tc>
              <w:tc>
                <w:tcPr>
                  <w:tcW w:w="1732" w:type="dxa"/>
                  <w:vMerge w:val="continue"/>
                  <w:tcBorders>
                    <w:tl2br w:val="nil"/>
                    <w:tr2bl w:val="nil"/>
                  </w:tcBorders>
                  <w:vAlign w:val="center"/>
                </w:tcPr>
                <w:p w14:paraId="0E5BE707">
                  <w:pPr>
                    <w:widowControl/>
                    <w:adjustRightInd w:val="0"/>
                    <w:snapToGrid w:val="0"/>
                    <w:spacing w:line="260" w:lineRule="exact"/>
                    <w:jc w:val="center"/>
                    <w:rPr>
                      <w:kern w:val="0"/>
                      <w:szCs w:val="21"/>
                      <w:highlight w:val="cyan"/>
                    </w:rPr>
                  </w:pPr>
                </w:p>
              </w:tc>
            </w:tr>
          </w:tbl>
          <w:p w14:paraId="70C4418E">
            <w:pPr>
              <w:spacing w:line="360" w:lineRule="auto"/>
              <w:ind w:firstLine="482" w:firstLineChars="200"/>
              <w:rPr>
                <w:b/>
                <w:kern w:val="0"/>
                <w:sz w:val="24"/>
              </w:rPr>
            </w:pPr>
            <w:r>
              <w:rPr>
                <w:rFonts w:hint="eastAsia"/>
                <w:b/>
                <w:bCs/>
                <w:kern w:val="0"/>
                <w:sz w:val="24"/>
                <w:lang w:bidi="ar"/>
              </w:rPr>
              <w:t>4、</w:t>
            </w:r>
            <w:r>
              <w:rPr>
                <w:rFonts w:hint="eastAsia" w:ascii="宋体" w:hAnsi="宋体"/>
                <w:b/>
                <w:kern w:val="0"/>
                <w:sz w:val="24"/>
              </w:rPr>
              <w:t>项目非正常工况下废气排放情况</w:t>
            </w:r>
          </w:p>
          <w:p w14:paraId="3413EB62">
            <w:pPr>
              <w:pStyle w:val="83"/>
              <w:adjustRightInd w:val="0"/>
              <w:snapToGrid w:val="0"/>
              <w:spacing w:line="360" w:lineRule="auto"/>
              <w:ind w:firstLine="481"/>
              <w:rPr>
                <w:rFonts w:hint="eastAsia"/>
                <w:szCs w:val="21"/>
                <w:lang w:eastAsia="zh-CN"/>
              </w:rPr>
            </w:pPr>
            <w:r>
              <w:rPr>
                <w:rFonts w:hint="eastAsia" w:cs="Times New Roman"/>
                <w:kern w:val="0"/>
                <w:lang w:eastAsia="zh-CN"/>
              </w:rPr>
              <w:t>本项目营运期非正常工况主要包括：①废气处理设施集气系统故障，停机检修，废气未得到有效收集，呈无组织排放；②废气处理设施处理系统故障，有废气未得到有效处理而由排气筒直接排放。本次评价从最不利（去除效率0%）环境影响分析非正常工况下污染物的排放情况。</w:t>
            </w:r>
            <w:r>
              <w:rPr>
                <w:rFonts w:hint="eastAsia"/>
                <w:kern w:val="0"/>
                <w:lang w:eastAsia="zh-CN"/>
              </w:rPr>
              <w:t>项目废气非正常情况下排放源强计算结果见下表。</w:t>
            </w:r>
          </w:p>
          <w:p w14:paraId="7B39DFBF">
            <w:pPr>
              <w:jc w:val="center"/>
              <w:rPr>
                <w:b/>
                <w:bCs/>
                <w:szCs w:val="21"/>
              </w:rPr>
            </w:pPr>
            <w:r>
              <w:rPr>
                <w:rFonts w:hint="eastAsia"/>
                <w:b/>
                <w:bCs/>
                <w:szCs w:val="21"/>
              </w:rPr>
              <w:t>表4-8   转运站非正常工况废气产生及排放情况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988"/>
              <w:gridCol w:w="777"/>
              <w:gridCol w:w="528"/>
              <w:gridCol w:w="1037"/>
              <w:gridCol w:w="1164"/>
              <w:gridCol w:w="719"/>
              <w:gridCol w:w="692"/>
              <w:gridCol w:w="1947"/>
            </w:tblGrid>
            <w:tr w14:paraId="2E5B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shd w:val="clear" w:color="auto" w:fill="auto"/>
                  <w:vAlign w:val="center"/>
                </w:tcPr>
                <w:p w14:paraId="764997B9">
                  <w:pPr>
                    <w:adjustRightInd w:val="0"/>
                    <w:snapToGrid w:val="0"/>
                    <w:spacing w:line="320" w:lineRule="exact"/>
                    <w:jc w:val="center"/>
                    <w:rPr>
                      <w:b/>
                      <w:bCs/>
                      <w:szCs w:val="21"/>
                    </w:rPr>
                  </w:pPr>
                  <w:r>
                    <w:rPr>
                      <w:rFonts w:hint="eastAsia"/>
                      <w:b/>
                      <w:bCs/>
                      <w:szCs w:val="21"/>
                    </w:rPr>
                    <w:t>名称</w:t>
                  </w:r>
                </w:p>
              </w:tc>
              <w:tc>
                <w:tcPr>
                  <w:tcW w:w="582" w:type="pct"/>
                  <w:vAlign w:val="center"/>
                </w:tcPr>
                <w:p w14:paraId="004E7F6F">
                  <w:pPr>
                    <w:adjustRightInd w:val="0"/>
                    <w:snapToGrid w:val="0"/>
                    <w:jc w:val="center"/>
                    <w:rPr>
                      <w:b/>
                      <w:bCs/>
                      <w:szCs w:val="21"/>
                    </w:rPr>
                  </w:pPr>
                  <w:r>
                    <w:rPr>
                      <w:rFonts w:hint="eastAsia"/>
                      <w:b/>
                      <w:bCs/>
                      <w:szCs w:val="21"/>
                    </w:rPr>
                    <w:t>非正常排放源</w:t>
                  </w:r>
                </w:p>
              </w:tc>
              <w:tc>
                <w:tcPr>
                  <w:tcW w:w="458" w:type="pct"/>
                  <w:vAlign w:val="center"/>
                </w:tcPr>
                <w:p w14:paraId="5E7B761A">
                  <w:pPr>
                    <w:adjustRightInd w:val="0"/>
                    <w:snapToGrid w:val="0"/>
                    <w:jc w:val="center"/>
                    <w:rPr>
                      <w:b/>
                      <w:bCs/>
                      <w:szCs w:val="21"/>
                    </w:rPr>
                  </w:pPr>
                  <w:r>
                    <w:rPr>
                      <w:rFonts w:hint="eastAsia"/>
                      <w:b/>
                      <w:bCs/>
                      <w:szCs w:val="21"/>
                    </w:rPr>
                    <w:t>非正常排放原因</w:t>
                  </w:r>
                </w:p>
              </w:tc>
              <w:tc>
                <w:tcPr>
                  <w:tcW w:w="311" w:type="pct"/>
                  <w:vAlign w:val="center"/>
                </w:tcPr>
                <w:p w14:paraId="416EA6CD">
                  <w:pPr>
                    <w:adjustRightInd w:val="0"/>
                    <w:snapToGrid w:val="0"/>
                    <w:jc w:val="center"/>
                    <w:rPr>
                      <w:b/>
                      <w:bCs/>
                      <w:szCs w:val="21"/>
                    </w:rPr>
                  </w:pPr>
                  <w:r>
                    <w:rPr>
                      <w:rFonts w:hint="eastAsia"/>
                      <w:b/>
                      <w:bCs/>
                      <w:szCs w:val="21"/>
                    </w:rPr>
                    <w:t>污染物</w:t>
                  </w:r>
                </w:p>
              </w:tc>
              <w:tc>
                <w:tcPr>
                  <w:tcW w:w="611" w:type="pct"/>
                  <w:shd w:val="clear" w:color="auto" w:fill="auto"/>
                  <w:vAlign w:val="center"/>
                </w:tcPr>
                <w:p w14:paraId="4D01E927">
                  <w:pPr>
                    <w:pStyle w:val="86"/>
                    <w:rPr>
                      <w:b/>
                      <w:bCs/>
                      <w:sz w:val="21"/>
                      <w:szCs w:val="21"/>
                    </w:rPr>
                  </w:pPr>
                  <w:r>
                    <w:rPr>
                      <w:b/>
                      <w:bCs/>
                      <w:sz w:val="21"/>
                      <w:szCs w:val="21"/>
                    </w:rPr>
                    <w:t>非正常排放速率kg/h</w:t>
                  </w:r>
                </w:p>
              </w:tc>
              <w:tc>
                <w:tcPr>
                  <w:tcW w:w="686" w:type="pct"/>
                  <w:shd w:val="clear" w:color="auto" w:fill="auto"/>
                  <w:vAlign w:val="center"/>
                </w:tcPr>
                <w:p w14:paraId="5D5A5F79">
                  <w:pPr>
                    <w:pStyle w:val="86"/>
                    <w:rPr>
                      <w:b/>
                      <w:bCs/>
                      <w:sz w:val="21"/>
                      <w:szCs w:val="21"/>
                    </w:rPr>
                  </w:pPr>
                  <w:r>
                    <w:rPr>
                      <w:b/>
                      <w:bCs/>
                      <w:sz w:val="21"/>
                      <w:szCs w:val="21"/>
                    </w:rPr>
                    <w:t>非正常排放浓度mg/m</w:t>
                  </w:r>
                  <w:r>
                    <w:rPr>
                      <w:b/>
                      <w:bCs/>
                      <w:sz w:val="21"/>
                      <w:szCs w:val="21"/>
                      <w:vertAlign w:val="superscript"/>
                    </w:rPr>
                    <w:t>3</w:t>
                  </w:r>
                </w:p>
              </w:tc>
              <w:tc>
                <w:tcPr>
                  <w:tcW w:w="424" w:type="pct"/>
                  <w:shd w:val="clear" w:color="auto" w:fill="auto"/>
                  <w:vAlign w:val="center"/>
                </w:tcPr>
                <w:p w14:paraId="6F0D8AC8">
                  <w:pPr>
                    <w:pStyle w:val="86"/>
                    <w:rPr>
                      <w:b/>
                      <w:bCs/>
                      <w:sz w:val="21"/>
                      <w:szCs w:val="21"/>
                    </w:rPr>
                  </w:pPr>
                  <w:r>
                    <w:rPr>
                      <w:b/>
                      <w:bCs/>
                      <w:sz w:val="21"/>
                      <w:szCs w:val="21"/>
                    </w:rPr>
                    <w:t>单次持续时间h</w:t>
                  </w:r>
                </w:p>
              </w:tc>
              <w:tc>
                <w:tcPr>
                  <w:tcW w:w="408" w:type="pct"/>
                  <w:shd w:val="clear" w:color="auto" w:fill="auto"/>
                  <w:vAlign w:val="center"/>
                </w:tcPr>
                <w:p w14:paraId="75921516">
                  <w:pPr>
                    <w:pStyle w:val="86"/>
                    <w:rPr>
                      <w:b/>
                      <w:bCs/>
                      <w:sz w:val="21"/>
                      <w:szCs w:val="21"/>
                    </w:rPr>
                  </w:pPr>
                  <w:r>
                    <w:rPr>
                      <w:b/>
                      <w:bCs/>
                      <w:sz w:val="21"/>
                      <w:szCs w:val="21"/>
                    </w:rPr>
                    <w:t>年发生频次/次</w:t>
                  </w:r>
                </w:p>
              </w:tc>
              <w:tc>
                <w:tcPr>
                  <w:tcW w:w="1147" w:type="pct"/>
                  <w:vAlign w:val="center"/>
                </w:tcPr>
                <w:p w14:paraId="003FE5B5">
                  <w:pPr>
                    <w:adjustRightInd w:val="0"/>
                    <w:snapToGrid w:val="0"/>
                    <w:jc w:val="center"/>
                    <w:rPr>
                      <w:b/>
                      <w:bCs/>
                      <w:szCs w:val="21"/>
                    </w:rPr>
                  </w:pPr>
                  <w:r>
                    <w:rPr>
                      <w:rFonts w:hint="eastAsia"/>
                      <w:b/>
                      <w:bCs/>
                      <w:szCs w:val="21"/>
                    </w:rPr>
                    <w:t>应对措施</w:t>
                  </w:r>
                </w:p>
              </w:tc>
            </w:tr>
            <w:tr w14:paraId="0FFC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restart"/>
                  <w:vAlign w:val="center"/>
                </w:tcPr>
                <w:p w14:paraId="18F335F1">
                  <w:pPr>
                    <w:adjustRightInd w:val="0"/>
                    <w:snapToGrid w:val="0"/>
                    <w:spacing w:line="320" w:lineRule="exact"/>
                    <w:jc w:val="center"/>
                    <w:rPr>
                      <w:szCs w:val="21"/>
                    </w:rPr>
                  </w:pPr>
                  <w:r>
                    <w:rPr>
                      <w:rFonts w:hint="eastAsia"/>
                      <w:szCs w:val="21"/>
                    </w:rPr>
                    <w:t>垃圾转运站</w:t>
                  </w:r>
                </w:p>
              </w:tc>
              <w:tc>
                <w:tcPr>
                  <w:tcW w:w="582" w:type="pct"/>
                  <w:vMerge w:val="restart"/>
                  <w:vAlign w:val="center"/>
                </w:tcPr>
                <w:p w14:paraId="45691194">
                  <w:pPr>
                    <w:adjustRightInd w:val="0"/>
                    <w:snapToGrid w:val="0"/>
                    <w:jc w:val="center"/>
                    <w:rPr>
                      <w:bCs/>
                      <w:szCs w:val="21"/>
                    </w:rPr>
                  </w:pPr>
                  <w:r>
                    <w:rPr>
                      <w:szCs w:val="21"/>
                    </w:rPr>
                    <w:t>DA001</w:t>
                  </w:r>
                </w:p>
              </w:tc>
              <w:tc>
                <w:tcPr>
                  <w:tcW w:w="458" w:type="pct"/>
                  <w:vMerge w:val="restart"/>
                  <w:vAlign w:val="center"/>
                </w:tcPr>
                <w:p w14:paraId="6AD428FD">
                  <w:pPr>
                    <w:adjustRightInd w:val="0"/>
                    <w:snapToGrid w:val="0"/>
                    <w:jc w:val="center"/>
                    <w:rPr>
                      <w:bCs/>
                      <w:szCs w:val="21"/>
                    </w:rPr>
                  </w:pPr>
                  <w:r>
                    <w:rPr>
                      <w:bCs/>
                      <w:szCs w:val="21"/>
                    </w:rPr>
                    <w:t>废气处理设施损坏</w:t>
                  </w:r>
                </w:p>
              </w:tc>
              <w:tc>
                <w:tcPr>
                  <w:tcW w:w="311" w:type="pct"/>
                  <w:shd w:val="clear" w:color="auto" w:fill="auto"/>
                  <w:vAlign w:val="center"/>
                </w:tcPr>
                <w:p w14:paraId="68356406">
                  <w:pPr>
                    <w:adjustRightInd w:val="0"/>
                    <w:snapToGrid w:val="0"/>
                    <w:spacing w:line="320" w:lineRule="exact"/>
                    <w:jc w:val="center"/>
                    <w:rPr>
                      <w:szCs w:val="21"/>
                    </w:rPr>
                  </w:pPr>
                  <w:r>
                    <w:rPr>
                      <w:rFonts w:hint="eastAsia"/>
                      <w:szCs w:val="21"/>
                    </w:rPr>
                    <w:t>颗粒物</w:t>
                  </w:r>
                </w:p>
              </w:tc>
              <w:tc>
                <w:tcPr>
                  <w:tcW w:w="1035" w:type="dxa"/>
                  <w:shd w:val="clear" w:color="auto" w:fill="auto"/>
                  <w:vAlign w:val="center"/>
                </w:tcPr>
                <w:p w14:paraId="634B2C98">
                  <w:pPr>
                    <w:widowControl/>
                    <w:jc w:val="center"/>
                    <w:textAlignment w:val="center"/>
                    <w:rPr>
                      <w:szCs w:val="21"/>
                    </w:rPr>
                  </w:pPr>
                  <w:r>
                    <w:rPr>
                      <w:color w:val="000000"/>
                      <w:kern w:val="0"/>
                      <w:szCs w:val="21"/>
                      <w:lang w:bidi="ar"/>
                    </w:rPr>
                    <w:t xml:space="preserve">1.374 </w:t>
                  </w:r>
                </w:p>
              </w:tc>
              <w:tc>
                <w:tcPr>
                  <w:tcW w:w="686" w:type="pct"/>
                  <w:vAlign w:val="center"/>
                </w:tcPr>
                <w:p w14:paraId="55FAAB11">
                  <w:pPr>
                    <w:widowControl/>
                    <w:jc w:val="center"/>
                    <w:textAlignment w:val="center"/>
                    <w:rPr>
                      <w:kern w:val="0"/>
                      <w:szCs w:val="21"/>
                      <w:lang w:bidi="ar"/>
                    </w:rPr>
                  </w:pPr>
                  <w:r>
                    <w:rPr>
                      <w:rFonts w:hint="eastAsia" w:cs="宋体"/>
                      <w:kern w:val="0"/>
                      <w:szCs w:val="21"/>
                      <w:lang w:bidi="ar"/>
                    </w:rPr>
                    <w:t>13.74</w:t>
                  </w:r>
                </w:p>
              </w:tc>
              <w:tc>
                <w:tcPr>
                  <w:tcW w:w="424" w:type="pct"/>
                  <w:vMerge w:val="restart"/>
                  <w:vAlign w:val="center"/>
                </w:tcPr>
                <w:p w14:paraId="0C81A1F1">
                  <w:pPr>
                    <w:pStyle w:val="86"/>
                    <w:rPr>
                      <w:bCs/>
                      <w:sz w:val="21"/>
                      <w:szCs w:val="21"/>
                    </w:rPr>
                  </w:pPr>
                  <w:r>
                    <w:rPr>
                      <w:rFonts w:hint="eastAsia"/>
                      <w:sz w:val="21"/>
                      <w:szCs w:val="21"/>
                    </w:rPr>
                    <w:t>1</w:t>
                  </w:r>
                </w:p>
              </w:tc>
              <w:tc>
                <w:tcPr>
                  <w:tcW w:w="408" w:type="pct"/>
                  <w:vMerge w:val="restart"/>
                  <w:vAlign w:val="center"/>
                </w:tcPr>
                <w:p w14:paraId="642E4A34">
                  <w:pPr>
                    <w:pStyle w:val="86"/>
                    <w:rPr>
                      <w:bCs/>
                      <w:sz w:val="21"/>
                      <w:szCs w:val="21"/>
                    </w:rPr>
                  </w:pPr>
                  <w:r>
                    <w:rPr>
                      <w:sz w:val="21"/>
                      <w:szCs w:val="21"/>
                    </w:rPr>
                    <w:t>小概率</w:t>
                  </w:r>
                </w:p>
              </w:tc>
              <w:tc>
                <w:tcPr>
                  <w:tcW w:w="1147" w:type="pct"/>
                  <w:vMerge w:val="restart"/>
                  <w:vAlign w:val="center"/>
                </w:tcPr>
                <w:p w14:paraId="5EE19ACF">
                  <w:pPr>
                    <w:pStyle w:val="87"/>
                    <w:adjustRightInd w:val="0"/>
                    <w:snapToGrid w:val="0"/>
                    <w:jc w:val="center"/>
                    <w:rPr>
                      <w:bCs/>
                    </w:rPr>
                  </w:pPr>
                  <w:r>
                    <w:rPr>
                      <w:rFonts w:hint="eastAsia"/>
                      <w:bCs/>
                    </w:rPr>
                    <w:t>立即停产，修复后恢复生产；做好调度，禁止收集车入站卸料。</w:t>
                  </w:r>
                </w:p>
              </w:tc>
            </w:tr>
            <w:tr w14:paraId="3C11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shd w:val="clear" w:color="auto" w:fill="auto"/>
                  <w:vAlign w:val="center"/>
                </w:tcPr>
                <w:p w14:paraId="739B3F65">
                  <w:pPr>
                    <w:adjustRightInd w:val="0"/>
                    <w:snapToGrid w:val="0"/>
                    <w:spacing w:line="320" w:lineRule="exact"/>
                    <w:jc w:val="center"/>
                    <w:rPr>
                      <w:szCs w:val="21"/>
                    </w:rPr>
                  </w:pPr>
                </w:p>
              </w:tc>
              <w:tc>
                <w:tcPr>
                  <w:tcW w:w="582" w:type="pct"/>
                  <w:vMerge w:val="continue"/>
                  <w:vAlign w:val="center"/>
                </w:tcPr>
                <w:p w14:paraId="25DBEB99">
                  <w:pPr>
                    <w:adjustRightInd w:val="0"/>
                    <w:snapToGrid w:val="0"/>
                    <w:jc w:val="center"/>
                    <w:rPr>
                      <w:szCs w:val="21"/>
                    </w:rPr>
                  </w:pPr>
                </w:p>
              </w:tc>
              <w:tc>
                <w:tcPr>
                  <w:tcW w:w="458" w:type="pct"/>
                  <w:vMerge w:val="continue"/>
                  <w:vAlign w:val="center"/>
                </w:tcPr>
                <w:p w14:paraId="00EA0143">
                  <w:pPr>
                    <w:adjustRightInd w:val="0"/>
                    <w:snapToGrid w:val="0"/>
                    <w:jc w:val="center"/>
                    <w:rPr>
                      <w:bCs/>
                      <w:szCs w:val="21"/>
                    </w:rPr>
                  </w:pPr>
                </w:p>
              </w:tc>
              <w:tc>
                <w:tcPr>
                  <w:tcW w:w="311" w:type="pct"/>
                  <w:vAlign w:val="center"/>
                </w:tcPr>
                <w:p w14:paraId="2C3F0F0E">
                  <w:pPr>
                    <w:widowControl/>
                    <w:adjustRightInd w:val="0"/>
                    <w:snapToGrid w:val="0"/>
                    <w:jc w:val="center"/>
                    <w:rPr>
                      <w:bCs/>
                      <w:szCs w:val="21"/>
                    </w:rPr>
                  </w:pPr>
                  <w:r>
                    <w:rPr>
                      <w:rFonts w:hint="eastAsia"/>
                      <w:szCs w:val="21"/>
                    </w:rPr>
                    <w:t>氨气</w:t>
                  </w:r>
                </w:p>
              </w:tc>
              <w:tc>
                <w:tcPr>
                  <w:tcW w:w="1035" w:type="dxa"/>
                  <w:vAlign w:val="center"/>
                </w:tcPr>
                <w:p w14:paraId="0A3149E8">
                  <w:pPr>
                    <w:widowControl/>
                    <w:jc w:val="center"/>
                    <w:textAlignment w:val="center"/>
                    <w:rPr>
                      <w:bCs/>
                      <w:szCs w:val="21"/>
                    </w:rPr>
                  </w:pPr>
                  <w:r>
                    <w:rPr>
                      <w:rFonts w:hint="eastAsia"/>
                      <w:color w:val="000000"/>
                      <w:kern w:val="0"/>
                      <w:szCs w:val="21"/>
                      <w:lang w:bidi="ar"/>
                    </w:rPr>
                    <w:t>2.029</w:t>
                  </w:r>
                </w:p>
              </w:tc>
              <w:tc>
                <w:tcPr>
                  <w:tcW w:w="686" w:type="pct"/>
                  <w:vAlign w:val="center"/>
                </w:tcPr>
                <w:p w14:paraId="1FED02A4">
                  <w:pPr>
                    <w:widowControl/>
                    <w:jc w:val="center"/>
                    <w:textAlignment w:val="center"/>
                    <w:rPr>
                      <w:kern w:val="0"/>
                      <w:szCs w:val="21"/>
                      <w:lang w:bidi="ar"/>
                    </w:rPr>
                  </w:pPr>
                  <w:r>
                    <w:rPr>
                      <w:rFonts w:hint="eastAsia" w:cs="宋体"/>
                      <w:kern w:val="0"/>
                      <w:szCs w:val="21"/>
                      <w:lang w:bidi="ar"/>
                    </w:rPr>
                    <w:t>20.29</w:t>
                  </w:r>
                </w:p>
              </w:tc>
              <w:tc>
                <w:tcPr>
                  <w:tcW w:w="424" w:type="pct"/>
                  <w:vMerge w:val="continue"/>
                  <w:vAlign w:val="center"/>
                </w:tcPr>
                <w:p w14:paraId="628B15FF">
                  <w:pPr>
                    <w:pStyle w:val="86"/>
                    <w:rPr>
                      <w:bCs/>
                      <w:sz w:val="21"/>
                      <w:szCs w:val="21"/>
                    </w:rPr>
                  </w:pPr>
                </w:p>
              </w:tc>
              <w:tc>
                <w:tcPr>
                  <w:tcW w:w="408" w:type="pct"/>
                  <w:vMerge w:val="continue"/>
                  <w:vAlign w:val="center"/>
                </w:tcPr>
                <w:p w14:paraId="0CD7B39D">
                  <w:pPr>
                    <w:pStyle w:val="86"/>
                    <w:rPr>
                      <w:bCs/>
                      <w:sz w:val="21"/>
                      <w:szCs w:val="21"/>
                    </w:rPr>
                  </w:pPr>
                </w:p>
              </w:tc>
              <w:tc>
                <w:tcPr>
                  <w:tcW w:w="1147" w:type="pct"/>
                  <w:vMerge w:val="continue"/>
                  <w:vAlign w:val="center"/>
                </w:tcPr>
                <w:p w14:paraId="4A125345">
                  <w:pPr>
                    <w:pStyle w:val="87"/>
                    <w:adjustRightInd w:val="0"/>
                    <w:snapToGrid w:val="0"/>
                    <w:jc w:val="center"/>
                    <w:rPr>
                      <w:rFonts w:cs="黑体"/>
                    </w:rPr>
                  </w:pPr>
                </w:p>
              </w:tc>
            </w:tr>
            <w:tr w14:paraId="6E28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 w:type="pct"/>
                  <w:vMerge w:val="continue"/>
                  <w:vAlign w:val="center"/>
                </w:tcPr>
                <w:p w14:paraId="7F74BBD0">
                  <w:pPr>
                    <w:adjustRightInd w:val="0"/>
                    <w:snapToGrid w:val="0"/>
                    <w:jc w:val="center"/>
                    <w:rPr>
                      <w:szCs w:val="21"/>
                    </w:rPr>
                  </w:pPr>
                </w:p>
              </w:tc>
              <w:tc>
                <w:tcPr>
                  <w:tcW w:w="582" w:type="pct"/>
                  <w:vMerge w:val="continue"/>
                  <w:vAlign w:val="center"/>
                </w:tcPr>
                <w:p w14:paraId="3C561B37">
                  <w:pPr>
                    <w:adjustRightInd w:val="0"/>
                    <w:snapToGrid w:val="0"/>
                    <w:jc w:val="center"/>
                    <w:rPr>
                      <w:szCs w:val="21"/>
                    </w:rPr>
                  </w:pPr>
                </w:p>
              </w:tc>
              <w:tc>
                <w:tcPr>
                  <w:tcW w:w="458" w:type="pct"/>
                  <w:vMerge w:val="continue"/>
                  <w:vAlign w:val="center"/>
                </w:tcPr>
                <w:p w14:paraId="4E5EE22C">
                  <w:pPr>
                    <w:adjustRightInd w:val="0"/>
                    <w:snapToGrid w:val="0"/>
                    <w:jc w:val="center"/>
                    <w:rPr>
                      <w:bCs/>
                      <w:szCs w:val="21"/>
                    </w:rPr>
                  </w:pPr>
                </w:p>
              </w:tc>
              <w:tc>
                <w:tcPr>
                  <w:tcW w:w="311" w:type="pct"/>
                  <w:shd w:val="clear" w:color="auto" w:fill="auto"/>
                  <w:vAlign w:val="center"/>
                </w:tcPr>
                <w:p w14:paraId="29179FFB">
                  <w:pPr>
                    <w:adjustRightInd w:val="0"/>
                    <w:snapToGrid w:val="0"/>
                    <w:spacing w:line="320" w:lineRule="exact"/>
                    <w:jc w:val="center"/>
                    <w:rPr>
                      <w:szCs w:val="21"/>
                    </w:rPr>
                  </w:pPr>
                  <w:r>
                    <w:rPr>
                      <w:rFonts w:hint="eastAsia"/>
                      <w:szCs w:val="21"/>
                    </w:rPr>
                    <w:t>硫化氢</w:t>
                  </w:r>
                </w:p>
              </w:tc>
              <w:tc>
                <w:tcPr>
                  <w:tcW w:w="1035" w:type="dxa"/>
                  <w:shd w:val="clear" w:color="auto" w:fill="auto"/>
                  <w:vAlign w:val="center"/>
                </w:tcPr>
                <w:p w14:paraId="0A612C8A">
                  <w:pPr>
                    <w:widowControl/>
                    <w:jc w:val="center"/>
                    <w:textAlignment w:val="center"/>
                    <w:rPr>
                      <w:szCs w:val="21"/>
                    </w:rPr>
                  </w:pPr>
                  <w:r>
                    <w:rPr>
                      <w:rFonts w:hint="eastAsia"/>
                      <w:color w:val="000000"/>
                      <w:kern w:val="0"/>
                      <w:szCs w:val="21"/>
                      <w:lang w:bidi="ar"/>
                    </w:rPr>
                    <w:t>0.189</w:t>
                  </w:r>
                </w:p>
              </w:tc>
              <w:tc>
                <w:tcPr>
                  <w:tcW w:w="686" w:type="pct"/>
                  <w:vAlign w:val="center"/>
                </w:tcPr>
                <w:p w14:paraId="4CF66121">
                  <w:pPr>
                    <w:widowControl/>
                    <w:jc w:val="center"/>
                    <w:textAlignment w:val="center"/>
                    <w:rPr>
                      <w:kern w:val="0"/>
                      <w:szCs w:val="21"/>
                      <w:lang w:bidi="ar"/>
                    </w:rPr>
                  </w:pPr>
                  <w:r>
                    <w:rPr>
                      <w:rFonts w:hint="eastAsia" w:cs="宋体"/>
                      <w:kern w:val="0"/>
                      <w:szCs w:val="21"/>
                      <w:lang w:bidi="ar"/>
                    </w:rPr>
                    <w:t>1.89</w:t>
                  </w:r>
                </w:p>
              </w:tc>
              <w:tc>
                <w:tcPr>
                  <w:tcW w:w="424" w:type="pct"/>
                  <w:vMerge w:val="continue"/>
                  <w:vAlign w:val="center"/>
                </w:tcPr>
                <w:p w14:paraId="22F91544">
                  <w:pPr>
                    <w:pStyle w:val="86"/>
                    <w:rPr>
                      <w:bCs/>
                      <w:sz w:val="21"/>
                      <w:szCs w:val="21"/>
                    </w:rPr>
                  </w:pPr>
                </w:p>
              </w:tc>
              <w:tc>
                <w:tcPr>
                  <w:tcW w:w="408" w:type="pct"/>
                  <w:vMerge w:val="continue"/>
                  <w:vAlign w:val="center"/>
                </w:tcPr>
                <w:p w14:paraId="48B1A938">
                  <w:pPr>
                    <w:pStyle w:val="86"/>
                    <w:rPr>
                      <w:bCs/>
                      <w:sz w:val="21"/>
                      <w:szCs w:val="21"/>
                    </w:rPr>
                  </w:pPr>
                </w:p>
              </w:tc>
              <w:tc>
                <w:tcPr>
                  <w:tcW w:w="1147" w:type="pct"/>
                  <w:vMerge w:val="continue"/>
                  <w:vAlign w:val="center"/>
                </w:tcPr>
                <w:p w14:paraId="62B5A92D">
                  <w:pPr>
                    <w:pStyle w:val="87"/>
                    <w:adjustRightInd w:val="0"/>
                    <w:snapToGrid w:val="0"/>
                    <w:jc w:val="center"/>
                    <w:rPr>
                      <w:rFonts w:cs="黑体"/>
                    </w:rPr>
                  </w:pPr>
                </w:p>
              </w:tc>
            </w:tr>
          </w:tbl>
          <w:p w14:paraId="10FD7708">
            <w:pPr>
              <w:pStyle w:val="83"/>
              <w:adjustRightInd w:val="0"/>
              <w:snapToGrid w:val="0"/>
              <w:spacing w:line="360" w:lineRule="auto"/>
              <w:ind w:firstLine="482" w:firstLineChars="200"/>
              <w:rPr>
                <w:rFonts w:ascii="Times New Roman" w:hAnsi="Times New Roman" w:cs="Times New Roman"/>
                <w:b/>
                <w:lang w:eastAsia="zh-CN"/>
              </w:rPr>
            </w:pPr>
            <w:r>
              <w:rPr>
                <w:rFonts w:hint="eastAsia" w:ascii="Times New Roman" w:hAnsi="Times New Roman" w:cs="Times New Roman"/>
                <w:b/>
                <w:lang w:eastAsia="zh-CN"/>
              </w:rPr>
              <w:t>本次评价针对废气设施提出管理要求：</w:t>
            </w:r>
          </w:p>
          <w:p w14:paraId="66CC33D0">
            <w:pPr>
              <w:pStyle w:val="83"/>
              <w:adjustRightInd w:val="0"/>
              <w:snapToGrid w:val="0"/>
              <w:spacing w:line="360" w:lineRule="auto"/>
              <w:ind w:firstLine="480" w:firstLineChars="200"/>
              <w:rPr>
                <w:rFonts w:ascii="Times New Roman" w:hAnsi="Times New Roman" w:cs="Times New Roman"/>
                <w:bCs/>
                <w:lang w:eastAsia="zh-CN"/>
              </w:rPr>
            </w:pPr>
            <w:r>
              <w:rPr>
                <w:rFonts w:hint="eastAsia" w:ascii="Times New Roman" w:hAnsi="Times New Roman" w:cs="Times New Roman"/>
                <w:bCs/>
                <w:lang w:eastAsia="zh-CN"/>
              </w:rPr>
              <w:t>①建设单位按环评提出的治理措施严格落实，杜绝非正常工况下废气排放的发生；</w:t>
            </w:r>
          </w:p>
          <w:p w14:paraId="42EC9E76">
            <w:pPr>
              <w:adjustRightInd w:val="0"/>
              <w:snapToGrid w:val="0"/>
              <w:spacing w:line="360" w:lineRule="auto"/>
              <w:ind w:firstLine="480" w:firstLineChars="200"/>
              <w:rPr>
                <w:bCs/>
                <w:kern w:val="0"/>
                <w:sz w:val="24"/>
              </w:rPr>
            </w:pPr>
            <w:r>
              <w:rPr>
                <w:rFonts w:hint="eastAsia"/>
                <w:bCs/>
                <w:sz w:val="24"/>
              </w:rPr>
              <w:t>②当发生非正常工况下废气排放情况时，应立即停止转运、压缩，对废气处理设备进行</w:t>
            </w:r>
            <w:r>
              <w:rPr>
                <w:rFonts w:hint="eastAsia"/>
                <w:bCs/>
                <w:kern w:val="0"/>
                <w:sz w:val="24"/>
              </w:rPr>
              <w:t>检验检查和维修，确保废气得到有效收集和处理。</w:t>
            </w:r>
          </w:p>
          <w:p w14:paraId="0A87DDED">
            <w:pPr>
              <w:adjustRightInd w:val="0"/>
              <w:snapToGrid w:val="0"/>
              <w:spacing w:line="360" w:lineRule="auto"/>
              <w:ind w:firstLine="482" w:firstLineChars="200"/>
              <w:rPr>
                <w:b/>
                <w:bCs/>
                <w:kern w:val="0"/>
                <w:sz w:val="24"/>
                <w:lang w:bidi="ar"/>
              </w:rPr>
            </w:pPr>
            <w:r>
              <w:rPr>
                <w:rFonts w:hint="eastAsia"/>
                <w:b/>
                <w:bCs/>
                <w:kern w:val="0"/>
                <w:sz w:val="24"/>
                <w:lang w:bidi="ar"/>
              </w:rPr>
              <w:t>5、污染治理措施可行性分析</w:t>
            </w:r>
          </w:p>
          <w:p w14:paraId="19598466">
            <w:pPr>
              <w:spacing w:line="360" w:lineRule="auto"/>
              <w:ind w:firstLine="482" w:firstLineChars="200"/>
              <w:rPr>
                <w:sz w:val="24"/>
                <w:lang w:bidi="ar"/>
              </w:rPr>
            </w:pPr>
            <w:r>
              <w:rPr>
                <w:b/>
                <w:bCs/>
                <w:sz w:val="24"/>
              </w:rPr>
              <w:t>废气污染治理设施可行性分析：</w:t>
            </w:r>
            <w:r>
              <w:rPr>
                <w:sz w:val="24"/>
              </w:rPr>
              <w:t>本</w:t>
            </w:r>
            <w:r>
              <w:rPr>
                <w:sz w:val="24"/>
                <w:lang w:bidi="ar"/>
              </w:rPr>
              <w:t>项目垃圾转运过程中采用的负压除尘除臭系统和空间喷淋除臭系统</w:t>
            </w:r>
            <w:r>
              <w:rPr>
                <w:rFonts w:hint="eastAsia"/>
                <w:sz w:val="24"/>
                <w:lang w:bidi="ar"/>
              </w:rPr>
              <w:t>组合</w:t>
            </w:r>
            <w:r>
              <w:rPr>
                <w:sz w:val="24"/>
                <w:lang w:bidi="ar"/>
              </w:rPr>
              <w:t>工艺</w:t>
            </w:r>
            <w:r>
              <w:rPr>
                <w:rFonts w:hint="eastAsia"/>
                <w:sz w:val="24"/>
                <w:lang w:bidi="ar"/>
              </w:rPr>
              <w:t>。</w:t>
            </w:r>
          </w:p>
          <w:p w14:paraId="1A38F27B">
            <w:pPr>
              <w:spacing w:line="360" w:lineRule="auto"/>
              <w:ind w:firstLine="480" w:firstLineChars="200"/>
              <w:rPr>
                <w:sz w:val="24"/>
                <w:lang w:bidi="ar"/>
              </w:rPr>
            </w:pPr>
            <w:r>
              <w:rPr>
                <w:rFonts w:hint="eastAsia"/>
                <w:sz w:val="24"/>
                <w:lang w:bidi="ar"/>
              </w:rPr>
              <w:t>负压除臭系统：整体采用负压引风形式，主要由集气罩、风机、除臭塔、电控系统、排气系统组成。本</w:t>
            </w:r>
            <w:r>
              <w:rPr>
                <w:rFonts w:hint="eastAsia"/>
                <w:sz w:val="24"/>
                <w:lang w:eastAsia="zh-CN" w:bidi="ar"/>
              </w:rPr>
              <w:t>系统</w:t>
            </w:r>
            <w:r>
              <w:rPr>
                <w:rFonts w:hint="eastAsia"/>
                <w:sz w:val="24"/>
                <w:lang w:bidi="ar"/>
              </w:rPr>
              <w:t>设备运行稳定，运转成本低，吸附效率高，占地面积小，便于维护，处理效果可靠。</w:t>
            </w:r>
          </w:p>
          <w:p w14:paraId="15BB1FB8">
            <w:pPr>
              <w:spacing w:line="360" w:lineRule="auto"/>
              <w:ind w:firstLine="480" w:firstLineChars="200"/>
              <w:rPr>
                <w:sz w:val="24"/>
                <w:lang w:bidi="ar"/>
              </w:rPr>
            </w:pPr>
            <w:r>
              <w:rPr>
                <w:rFonts w:hint="eastAsia"/>
                <w:sz w:val="24"/>
                <w:lang w:bidi="ar"/>
              </w:rPr>
              <w:t xml:space="preserve">在风机的作用下，废气通过吸风罩进入喷淋除臭塔内，药液箱内配有除臭剂，由高压防腐泵提升至喷淋区，在喷淋液和水幕的作用下，与废气进行充分的接触反应，把气体中的大颗粒物和杂质清洗于循环水内，吸附臭味气体的同时，去除大部分粉尘。气体再经过第一层填料——空心多面球，空心多面球本身具体多面性，增加水滴和水雾状，使气体与液体充分二次接触把气体中臭气再次洗涤一次，接下来气体通过二层喷淋，利用高水压螺旋喷淋使水变成高压雾状，使气体再次洗涤，最后通过两层拉西环填料吸附，再进入干燥区，气体经过除水雾达到国家有关废气排放标准，通过排气系统排至大气中。整个净化过程中，气体由下而上，喷淋液体由上而下，喷淋及填料的巧妙设计可去除废气中的粉尘，喷淋液中加入本公司采用特殊加工工艺生产的除臭剂，废气中的异味气体被分解，废气得以净化。 </w:t>
            </w:r>
          </w:p>
          <w:p w14:paraId="46BC90D0">
            <w:pPr>
              <w:spacing w:line="360" w:lineRule="auto"/>
              <w:ind w:firstLine="480" w:firstLineChars="200"/>
              <w:rPr>
                <w:sz w:val="24"/>
                <w:lang w:bidi="ar"/>
              </w:rPr>
            </w:pPr>
            <w:r>
              <w:rPr>
                <w:rFonts w:hint="eastAsia"/>
                <w:sz w:val="24"/>
                <w:lang w:bidi="ar"/>
              </w:rPr>
              <w:t>空间喷雾除臭系统：本系统主要用于卸料区、压缩区、转运区四周产生的扬尘及臭气进行处理，与除尘除臭系统配合使用，本系统通过气液混合，形成一定压力，将植物液除臭剂均匀喷洒在卸料位上空，起到抑制扬尘并消除垃圾扩散后的异味，结合负压抽风除臭系统，共同达到卸料槽处理臭气及异味的控制。此系统喷嘴设置在卸料槽的正对面及两侧，当垃圾车在卸料时，将有大量的粉尘和臭气腾起，此时通过地感信号，启动高压泵，设置在卸料槽的降尘喷嘴将生物除臭液喷洒在卸料槽内，既起到降尘作用，又起到除臭作用。</w:t>
            </w:r>
          </w:p>
          <w:p w14:paraId="4B0C5387">
            <w:pPr>
              <w:spacing w:line="360" w:lineRule="auto"/>
              <w:ind w:firstLine="480" w:firstLineChars="200"/>
              <w:rPr>
                <w:sz w:val="24"/>
                <w:lang w:bidi="ar"/>
              </w:rPr>
            </w:pPr>
            <w:r>
              <w:rPr>
                <w:rFonts w:hint="eastAsia"/>
                <w:sz w:val="24"/>
                <w:lang w:bidi="ar"/>
              </w:rPr>
              <w:t>根据《排污许可证申请与核发技术规范 环境卫生管理业》（HJ 1106-2020）附录A 中的表A.1，卸料、压缩等产污环节采用生物过滤、化学洗涤属于可行技术。</w:t>
            </w:r>
          </w:p>
          <w:p w14:paraId="32ED4553">
            <w:pPr>
              <w:spacing w:line="360" w:lineRule="auto"/>
              <w:ind w:firstLine="480" w:firstLineChars="200"/>
              <w:rPr>
                <w:sz w:val="24"/>
              </w:rPr>
            </w:pPr>
            <w:r>
              <w:rPr>
                <w:rFonts w:hint="eastAsia"/>
                <w:sz w:val="24"/>
                <w:lang w:bidi="ar"/>
              </w:rPr>
              <w:t>本项目所使用的废气污染防治技术为“前端除尘+生物液洗涤”除臭系统，属于生物过滤法，</w:t>
            </w:r>
            <w:r>
              <w:rPr>
                <w:rFonts w:hint="eastAsia"/>
                <w:sz w:val="24"/>
              </w:rPr>
              <w:t>故本项目所使用的废气污染防治技术是可行的。</w:t>
            </w:r>
          </w:p>
          <w:p w14:paraId="53894E7A">
            <w:pPr>
              <w:spacing w:line="360" w:lineRule="auto"/>
              <w:ind w:firstLine="480" w:firstLineChars="200"/>
              <w:rPr>
                <w:sz w:val="24"/>
              </w:rPr>
            </w:pPr>
            <w:r>
              <w:rPr>
                <w:rFonts w:hint="eastAsia"/>
                <w:sz w:val="24"/>
              </w:rPr>
              <w:t>综上所述，本项目卸料、压缩过程中产生的粉尘满足《大气污染物综合排放标准》（GB16297-1996）中的排放限值，卸料、压缩、污水处理过程中产生的</w:t>
            </w:r>
            <w:r>
              <w:rPr>
                <w:sz w:val="24"/>
              </w:rPr>
              <w:t>NH</w:t>
            </w:r>
            <w:r>
              <w:rPr>
                <w:sz w:val="24"/>
                <w:vertAlign w:val="subscript"/>
              </w:rPr>
              <w:t>3</w:t>
            </w:r>
            <w:r>
              <w:rPr>
                <w:sz w:val="24"/>
              </w:rPr>
              <w:t>、H</w:t>
            </w:r>
            <w:r>
              <w:rPr>
                <w:sz w:val="24"/>
                <w:vertAlign w:val="subscript"/>
              </w:rPr>
              <w:t>2</w:t>
            </w:r>
            <w:r>
              <w:rPr>
                <w:sz w:val="24"/>
              </w:rPr>
              <w:t>S</w:t>
            </w:r>
            <w:r>
              <w:rPr>
                <w:rFonts w:hint="eastAsia"/>
                <w:sz w:val="24"/>
              </w:rPr>
              <w:t>可满足《恶臭污染物排放标准》（GB14554-93）中表1及表2中的排放限值。</w:t>
            </w:r>
          </w:p>
          <w:p w14:paraId="5594898B">
            <w:pPr>
              <w:spacing w:line="360" w:lineRule="auto"/>
              <w:ind w:firstLine="480" w:firstLineChars="200"/>
              <w:rPr>
                <w:b/>
                <w:bCs/>
                <w:kern w:val="0"/>
                <w:sz w:val="24"/>
                <w:lang w:bidi="ar"/>
              </w:rPr>
            </w:pPr>
            <w:r>
              <w:rPr>
                <w:rFonts w:hint="eastAsia"/>
                <w:sz w:val="24"/>
              </w:rPr>
              <w:t>同时采取的污染防治措施属于《排污许可证申请与核发技术规范 环境卫生管理业》（HJ1106-2020）中推荐的污染防治措施。故本项目废气污染物可稳定达标排放。</w:t>
            </w:r>
          </w:p>
          <w:p w14:paraId="3E6D7090">
            <w:pPr>
              <w:pStyle w:val="83"/>
              <w:adjustRightInd w:val="0"/>
              <w:snapToGrid w:val="0"/>
              <w:spacing w:line="360" w:lineRule="auto"/>
              <w:ind w:firstLine="482" w:firstLineChars="200"/>
              <w:rPr>
                <w:rFonts w:ascii="Times New Roman" w:hAnsi="Times New Roman"/>
                <w:lang w:eastAsia="zh-CN"/>
              </w:rPr>
            </w:pPr>
            <w:r>
              <w:rPr>
                <w:rFonts w:hint="eastAsia" w:cs="Times New Roman"/>
                <w:b/>
                <w:bCs/>
                <w:kern w:val="0"/>
                <w:lang w:eastAsia="zh-CN" w:bidi="ar"/>
              </w:rPr>
              <w:t>6、</w:t>
            </w:r>
            <w:r>
              <w:rPr>
                <w:rFonts w:ascii="Times New Roman" w:hAnsi="Times New Roman"/>
                <w:b/>
                <w:bCs/>
                <w:spacing w:val="-5"/>
                <w:lang w:eastAsia="zh-CN"/>
              </w:rPr>
              <w:t>卫生防护距离</w:t>
            </w:r>
          </w:p>
          <w:p w14:paraId="078420B4">
            <w:pPr>
              <w:pStyle w:val="83"/>
              <w:adjustRightInd w:val="0"/>
              <w:snapToGrid w:val="0"/>
              <w:spacing w:line="360" w:lineRule="auto"/>
              <w:ind w:firstLine="492" w:firstLineChars="200"/>
              <w:rPr>
                <w:rFonts w:ascii="Times New Roman" w:hAnsi="Times New Roman"/>
                <w:lang w:eastAsia="zh-CN"/>
              </w:rPr>
            </w:pPr>
            <w:r>
              <w:rPr>
                <w:rFonts w:ascii="Times New Roman" w:hAnsi="Times New Roman"/>
                <w:spacing w:val="3"/>
                <w:lang w:eastAsia="zh-CN"/>
              </w:rPr>
              <w:t>本项目为新建项目，考虑到本项目涉及颗粒物无组织</w:t>
            </w:r>
            <w:r>
              <w:rPr>
                <w:rFonts w:ascii="Times New Roman" w:hAnsi="Times New Roman"/>
                <w:spacing w:val="2"/>
                <w:lang w:eastAsia="zh-CN"/>
              </w:rPr>
              <w:t>排放对周边环境影响，本次</w:t>
            </w:r>
            <w:r>
              <w:rPr>
                <w:rFonts w:ascii="Times New Roman" w:hAnsi="Times New Roman"/>
                <w:spacing w:val="-1"/>
                <w:lang w:eastAsia="zh-CN"/>
              </w:rPr>
              <w:t>环评划定卫生防护距离。按照《大气有害物质无组织排放卫生防护距离推导技术导则》</w:t>
            </w:r>
            <w:r>
              <w:rPr>
                <w:rFonts w:ascii="Times New Roman" w:hAnsi="Times New Roman"/>
                <w:spacing w:val="2"/>
                <w:lang w:eastAsia="zh-CN"/>
              </w:rPr>
              <w:t>（</w:t>
            </w:r>
            <w:r>
              <w:rPr>
                <w:rFonts w:ascii="Times New Roman" w:hAnsi="Times New Roman" w:cs="Times New Roman"/>
                <w:lang w:eastAsia="zh-CN"/>
              </w:rPr>
              <w:t>GB</w:t>
            </w:r>
            <w:r>
              <w:rPr>
                <w:rFonts w:ascii="Times New Roman" w:hAnsi="Times New Roman" w:cs="Times New Roman"/>
                <w:spacing w:val="2"/>
                <w:lang w:eastAsia="zh-CN"/>
              </w:rPr>
              <w:t>/T39499-2020</w:t>
            </w:r>
            <w:r>
              <w:rPr>
                <w:rFonts w:ascii="Times New Roman" w:hAnsi="Times New Roman"/>
                <w:spacing w:val="2"/>
                <w:lang w:eastAsia="zh-CN"/>
              </w:rPr>
              <w:t>）中的方法确定本项目主要特征大</w:t>
            </w:r>
            <w:r>
              <w:rPr>
                <w:rFonts w:ascii="Times New Roman" w:hAnsi="Times New Roman"/>
                <w:spacing w:val="1"/>
                <w:lang w:eastAsia="zh-CN"/>
              </w:rPr>
              <w:t>气有害物质和无组织排放有害气</w:t>
            </w:r>
            <w:r>
              <w:rPr>
                <w:rFonts w:ascii="Times New Roman" w:hAnsi="Times New Roman"/>
                <w:spacing w:val="3"/>
                <w:lang w:eastAsia="zh-CN"/>
              </w:rPr>
              <w:t>体的卫生防护距离。当目标企业无组织排放存在</w:t>
            </w:r>
            <w:r>
              <w:rPr>
                <w:rFonts w:ascii="Times New Roman" w:hAnsi="Times New Roman"/>
                <w:spacing w:val="2"/>
                <w:lang w:eastAsia="zh-CN"/>
              </w:rPr>
              <w:t>多种有毒有害污染物时，基于单个污</w:t>
            </w:r>
            <w:r>
              <w:rPr>
                <w:rFonts w:ascii="Times New Roman" w:hAnsi="Times New Roman"/>
                <w:spacing w:val="3"/>
                <w:lang w:eastAsia="zh-CN"/>
              </w:rPr>
              <w:t>染物的等标排放量计算结果，优先选择等标排放量最</w:t>
            </w:r>
            <w:r>
              <w:rPr>
                <w:rFonts w:ascii="Times New Roman" w:hAnsi="Times New Roman"/>
                <w:spacing w:val="2"/>
                <w:lang w:eastAsia="zh-CN"/>
              </w:rPr>
              <w:t>大的污染物为企业无组织排放的</w:t>
            </w:r>
            <w:r>
              <w:rPr>
                <w:rFonts w:ascii="Times New Roman" w:hAnsi="Times New Roman"/>
                <w:spacing w:val="1"/>
                <w:lang w:eastAsia="zh-CN"/>
              </w:rPr>
              <w:t>主要特征大气有害物质，当前两种污染物的等标排放量相差在</w:t>
            </w:r>
            <w:r>
              <w:rPr>
                <w:rFonts w:ascii="Times New Roman" w:hAnsi="Times New Roman" w:cs="Times New Roman"/>
                <w:spacing w:val="1"/>
                <w:lang w:eastAsia="zh-CN"/>
              </w:rPr>
              <w:t>10%</w:t>
            </w:r>
            <w:r>
              <w:rPr>
                <w:rFonts w:ascii="Times New Roman" w:hAnsi="Times New Roman"/>
                <w:spacing w:val="1"/>
                <w:lang w:eastAsia="zh-CN"/>
              </w:rPr>
              <w:t>以内时，需要同时</w:t>
            </w:r>
            <w:r>
              <w:rPr>
                <w:rFonts w:ascii="Times New Roman" w:hAnsi="Times New Roman"/>
                <w:spacing w:val="-1"/>
                <w:lang w:eastAsia="zh-CN"/>
              </w:rPr>
              <w:t>选择这两种特征大气有害物质分别计算卫生防护距离初值。</w:t>
            </w:r>
          </w:p>
          <w:p w14:paraId="72E74B71">
            <w:pPr>
              <w:pStyle w:val="83"/>
              <w:adjustRightInd w:val="0"/>
              <w:snapToGrid w:val="0"/>
              <w:spacing w:line="360" w:lineRule="auto"/>
              <w:ind w:firstLine="472" w:firstLineChars="200"/>
              <w:rPr>
                <w:rFonts w:ascii="Times New Roman" w:hAnsi="Times New Roman"/>
              </w:rPr>
            </w:pPr>
            <w:r>
              <w:rPr>
                <w:rFonts w:ascii="Times New Roman" w:hAnsi="Times New Roman"/>
                <w:spacing w:val="-2"/>
              </w:rPr>
              <w:t>计算模式如下：</w:t>
            </w:r>
          </w:p>
          <w:p w14:paraId="2E4614C7">
            <w:pPr>
              <w:adjustRightInd w:val="0"/>
              <w:snapToGrid w:val="0"/>
              <w:spacing w:line="360" w:lineRule="auto"/>
              <w:ind w:firstLine="480" w:firstLineChars="200"/>
              <w:rPr>
                <w:sz w:val="24"/>
              </w:rPr>
            </w:pPr>
            <w:r>
              <w:rPr>
                <w:position w:val="-13"/>
                <w:sz w:val="24"/>
              </w:rPr>
              <w:drawing>
                <wp:inline distT="0" distB="0" distL="0" distR="0">
                  <wp:extent cx="1657350" cy="411480"/>
                  <wp:effectExtent l="0" t="0" r="0" b="698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
                          <a:stretch>
                            <a:fillRect/>
                          </a:stretch>
                        </pic:blipFill>
                        <pic:spPr>
                          <a:xfrm>
                            <a:off x="0" y="0"/>
                            <a:ext cx="1657836" cy="411550"/>
                          </a:xfrm>
                          <a:prstGeom prst="rect">
                            <a:avLst/>
                          </a:prstGeom>
                        </pic:spPr>
                      </pic:pic>
                    </a:graphicData>
                  </a:graphic>
                </wp:inline>
              </w:drawing>
            </w:r>
          </w:p>
          <w:p w14:paraId="5197F155">
            <w:pPr>
              <w:pStyle w:val="83"/>
              <w:adjustRightInd w:val="0"/>
              <w:snapToGrid w:val="0"/>
              <w:spacing w:line="360" w:lineRule="auto"/>
              <w:ind w:firstLine="476" w:firstLineChars="200"/>
              <w:rPr>
                <w:rFonts w:ascii="Times New Roman" w:hAnsi="Times New Roman"/>
                <w:lang w:eastAsia="zh-CN"/>
              </w:rPr>
            </w:pPr>
            <w:r>
              <w:rPr>
                <w:rFonts w:ascii="Times New Roman" w:hAnsi="Times New Roman"/>
                <w:spacing w:val="-1"/>
                <w:lang w:eastAsia="zh-CN"/>
              </w:rPr>
              <w:t>式中：</w:t>
            </w:r>
            <w:r>
              <w:rPr>
                <w:rFonts w:ascii="Times New Roman" w:hAnsi="Times New Roman" w:cs="Times New Roman"/>
                <w:spacing w:val="-1"/>
                <w:lang w:eastAsia="zh-CN"/>
              </w:rPr>
              <w:t>C</w:t>
            </w:r>
            <w:r>
              <w:rPr>
                <w:rFonts w:ascii="Times New Roman" w:hAnsi="Times New Roman" w:cs="Times New Roman"/>
                <w:spacing w:val="-1"/>
                <w:position w:val="-2"/>
                <w:lang w:eastAsia="zh-CN"/>
              </w:rPr>
              <w:t>m</w:t>
            </w:r>
            <w:r>
              <w:rPr>
                <w:rFonts w:ascii="Times New Roman" w:hAnsi="Times New Roman" w:cs="Times New Roman"/>
                <w:spacing w:val="-1"/>
                <w:lang w:eastAsia="zh-CN"/>
              </w:rPr>
              <w:t>——</w:t>
            </w:r>
            <w:r>
              <w:rPr>
                <w:rFonts w:ascii="Times New Roman" w:hAnsi="Times New Roman"/>
                <w:spacing w:val="-1"/>
                <w:lang w:eastAsia="zh-CN"/>
              </w:rPr>
              <w:t>排放标准浓度限值（</w:t>
            </w:r>
            <w:r>
              <w:rPr>
                <w:rFonts w:ascii="Times New Roman" w:hAnsi="Times New Roman" w:cs="Times New Roman"/>
                <w:spacing w:val="-1"/>
                <w:lang w:eastAsia="zh-CN"/>
              </w:rPr>
              <w:t>mg/m</w:t>
            </w:r>
            <w:r>
              <w:rPr>
                <w:rFonts w:hint="eastAsia" w:ascii="Times New Roman" w:hAnsi="Times New Roman" w:cs="Times New Roman"/>
                <w:spacing w:val="-1"/>
                <w:vertAlign w:val="superscript"/>
                <w:lang w:eastAsia="zh-CN"/>
              </w:rPr>
              <w:t>3</w:t>
            </w:r>
            <w:r>
              <w:rPr>
                <w:rFonts w:hint="eastAsia" w:ascii="Times New Roman" w:hAnsi="Times New Roman"/>
                <w:lang w:eastAsia="zh-CN"/>
              </w:rPr>
              <w:t>）</w:t>
            </w:r>
            <w:r>
              <w:rPr>
                <w:rFonts w:ascii="Times New Roman" w:hAnsi="Times New Roman"/>
                <w:spacing w:val="6"/>
                <w:lang w:eastAsia="zh-CN"/>
              </w:rPr>
              <w:t>；</w:t>
            </w:r>
          </w:p>
          <w:p w14:paraId="4D1217F4">
            <w:pPr>
              <w:pStyle w:val="83"/>
              <w:adjustRightInd w:val="0"/>
              <w:snapToGrid w:val="0"/>
              <w:spacing w:line="360" w:lineRule="auto"/>
              <w:ind w:firstLine="480" w:firstLineChars="200"/>
              <w:rPr>
                <w:rFonts w:ascii="Times New Roman" w:hAnsi="Times New Roman"/>
                <w:spacing w:val="-30"/>
                <w:lang w:eastAsia="zh-CN"/>
              </w:rPr>
            </w:pPr>
            <w:r>
              <w:rPr>
                <w:rFonts w:ascii="Times New Roman" w:hAnsi="Times New Roman" w:cs="Times New Roman"/>
                <w:lang w:eastAsia="zh-CN"/>
              </w:rPr>
              <w:t>Qc——</w:t>
            </w:r>
            <w:r>
              <w:rPr>
                <w:rFonts w:ascii="Times New Roman" w:hAnsi="Times New Roman"/>
                <w:lang w:eastAsia="zh-CN"/>
              </w:rPr>
              <w:t>工业企业有害气体无组织排放量可以达</w:t>
            </w:r>
            <w:r>
              <w:rPr>
                <w:rFonts w:ascii="Times New Roman" w:hAnsi="Times New Roman"/>
                <w:spacing w:val="-1"/>
                <w:lang w:eastAsia="zh-CN"/>
              </w:rPr>
              <w:t>到的控制水平（</w:t>
            </w:r>
            <w:r>
              <w:rPr>
                <w:rFonts w:ascii="Times New Roman" w:hAnsi="Times New Roman" w:cs="Times New Roman"/>
                <w:spacing w:val="-1"/>
                <w:lang w:eastAsia="zh-CN"/>
              </w:rPr>
              <w:t>kg/h</w:t>
            </w:r>
            <w:r>
              <w:rPr>
                <w:rFonts w:ascii="Times New Roman" w:hAnsi="Times New Roman"/>
                <w:spacing w:val="-30"/>
                <w:lang w:eastAsia="zh-CN"/>
              </w:rPr>
              <w:t>）；</w:t>
            </w:r>
          </w:p>
          <w:p w14:paraId="4A2DCFD2">
            <w:pPr>
              <w:pStyle w:val="83"/>
              <w:adjustRightInd w:val="0"/>
              <w:snapToGrid w:val="0"/>
              <w:spacing w:line="360" w:lineRule="auto"/>
              <w:ind w:firstLine="476" w:firstLineChars="200"/>
              <w:rPr>
                <w:rFonts w:ascii="Times New Roman" w:hAnsi="Times New Roman"/>
                <w:lang w:eastAsia="zh-CN"/>
              </w:rPr>
            </w:pPr>
            <w:r>
              <w:rPr>
                <w:rFonts w:ascii="Times New Roman" w:hAnsi="Times New Roman" w:cs="Times New Roman"/>
                <w:spacing w:val="-1"/>
                <w:lang w:eastAsia="zh-CN"/>
              </w:rPr>
              <w:t>L——</w:t>
            </w:r>
            <w:r>
              <w:rPr>
                <w:rFonts w:ascii="Times New Roman" w:hAnsi="Times New Roman"/>
                <w:spacing w:val="-1"/>
                <w:lang w:eastAsia="zh-CN"/>
              </w:rPr>
              <w:t>工业企业所需的卫生防护距离（</w:t>
            </w:r>
            <w:r>
              <w:rPr>
                <w:rFonts w:ascii="Times New Roman" w:hAnsi="Times New Roman" w:cs="Times New Roman"/>
                <w:spacing w:val="-1"/>
                <w:lang w:eastAsia="zh-CN"/>
              </w:rPr>
              <w:t>m</w:t>
            </w:r>
            <w:r>
              <w:rPr>
                <w:rFonts w:ascii="Times New Roman" w:hAnsi="Times New Roman"/>
                <w:spacing w:val="-12"/>
                <w:lang w:eastAsia="zh-CN"/>
              </w:rPr>
              <w:t>）；</w:t>
            </w:r>
          </w:p>
          <w:p w14:paraId="5A8A7F82">
            <w:pPr>
              <w:pStyle w:val="83"/>
              <w:adjustRightInd w:val="0"/>
              <w:snapToGrid w:val="0"/>
              <w:spacing w:line="360" w:lineRule="auto"/>
              <w:ind w:firstLine="480" w:firstLineChars="200"/>
              <w:rPr>
                <w:rFonts w:ascii="Times New Roman" w:hAnsi="Times New Roman"/>
                <w:lang w:eastAsia="zh-CN"/>
              </w:rPr>
            </w:pPr>
            <w:r>
              <w:rPr>
                <w:rFonts w:ascii="Times New Roman" w:hAnsi="Times New Roman" w:cs="Times New Roman"/>
                <w:lang w:eastAsia="zh-CN"/>
              </w:rPr>
              <w:t>r——</w:t>
            </w:r>
            <w:r>
              <w:rPr>
                <w:rFonts w:ascii="Times New Roman" w:hAnsi="Times New Roman"/>
                <w:lang w:eastAsia="zh-CN"/>
              </w:rPr>
              <w:t>有害气体无组织排放浓度所产生单位的等效</w:t>
            </w:r>
            <w:r>
              <w:rPr>
                <w:rFonts w:ascii="Times New Roman" w:hAnsi="Times New Roman"/>
                <w:spacing w:val="-1"/>
                <w:lang w:eastAsia="zh-CN"/>
              </w:rPr>
              <w:t>半径（</w:t>
            </w:r>
            <w:r>
              <w:rPr>
                <w:rFonts w:ascii="Times New Roman" w:hAnsi="Times New Roman" w:cs="Times New Roman"/>
                <w:spacing w:val="-1"/>
                <w:lang w:eastAsia="zh-CN"/>
              </w:rPr>
              <w:t>m</w:t>
            </w:r>
            <w:r>
              <w:rPr>
                <w:rFonts w:ascii="Times New Roman" w:hAnsi="Times New Roman"/>
                <w:spacing w:val="-18"/>
                <w:lang w:eastAsia="zh-CN"/>
              </w:rPr>
              <w:t>）；</w:t>
            </w:r>
          </w:p>
          <w:p w14:paraId="0E4A7E5D">
            <w:pPr>
              <w:pStyle w:val="83"/>
              <w:adjustRightInd w:val="0"/>
              <w:snapToGrid w:val="0"/>
              <w:spacing w:line="360" w:lineRule="auto"/>
              <w:ind w:firstLine="480" w:firstLineChars="200"/>
              <w:rPr>
                <w:rFonts w:ascii="Times New Roman" w:hAnsi="Times New Roman"/>
                <w:lang w:eastAsia="zh-CN"/>
              </w:rPr>
            </w:pPr>
            <w:r>
              <w:rPr>
                <w:rFonts w:ascii="Times New Roman" w:hAnsi="Times New Roman" w:cs="Times New Roman"/>
                <w:lang w:eastAsia="zh-CN"/>
              </w:rPr>
              <w:t>A</w:t>
            </w:r>
            <w:r>
              <w:rPr>
                <w:rFonts w:hint="eastAsia" w:ascii="Times New Roman" w:hAnsi="Times New Roman" w:cs="Times New Roman"/>
                <w:lang w:eastAsia="zh-CN"/>
              </w:rPr>
              <w:t>.</w:t>
            </w:r>
            <w:r>
              <w:rPr>
                <w:rFonts w:ascii="Times New Roman" w:hAnsi="Times New Roman" w:cs="Times New Roman"/>
                <w:lang w:eastAsia="zh-CN"/>
              </w:rPr>
              <w:t>B</w:t>
            </w:r>
            <w:r>
              <w:rPr>
                <w:rFonts w:ascii="Times New Roman" w:hAnsi="Times New Roman"/>
                <w:lang w:eastAsia="zh-CN"/>
              </w:rPr>
              <w:t>、</w:t>
            </w:r>
            <w:r>
              <w:rPr>
                <w:rFonts w:ascii="Times New Roman" w:hAnsi="Times New Roman" w:cs="Times New Roman"/>
                <w:lang w:eastAsia="zh-CN"/>
              </w:rPr>
              <w:t>C</w:t>
            </w:r>
            <w:r>
              <w:rPr>
                <w:rFonts w:ascii="Times New Roman" w:hAnsi="Times New Roman"/>
                <w:lang w:eastAsia="zh-CN"/>
              </w:rPr>
              <w:t>、</w:t>
            </w:r>
            <w:r>
              <w:rPr>
                <w:rFonts w:ascii="Times New Roman" w:hAnsi="Times New Roman" w:cs="Times New Roman"/>
                <w:lang w:eastAsia="zh-CN"/>
              </w:rPr>
              <w:t>D</w:t>
            </w:r>
            <w:r>
              <w:rPr>
                <w:rFonts w:ascii="Times New Roman" w:hAnsi="Times New Roman"/>
                <w:lang w:eastAsia="zh-CN"/>
              </w:rPr>
              <w:t>为计算系数。根据所在地平均风速及工业企业大气污</w:t>
            </w:r>
            <w:r>
              <w:rPr>
                <w:rFonts w:ascii="Times New Roman" w:hAnsi="Times New Roman"/>
                <w:spacing w:val="-1"/>
                <w:lang w:eastAsia="zh-CN"/>
              </w:rPr>
              <w:t>染源构成类别</w:t>
            </w:r>
            <w:r>
              <w:rPr>
                <w:rFonts w:ascii="Times New Roman" w:hAnsi="Times New Roman"/>
                <w:spacing w:val="-2"/>
                <w:lang w:eastAsia="zh-CN"/>
              </w:rPr>
              <w:t>查取，见下表。</w:t>
            </w:r>
          </w:p>
          <w:p w14:paraId="5ADE6AFC">
            <w:pPr>
              <w:jc w:val="center"/>
              <w:rPr>
                <w:b/>
                <w:bCs/>
                <w:szCs w:val="21"/>
              </w:rPr>
            </w:pPr>
            <w:r>
              <w:rPr>
                <w:b/>
                <w:bCs/>
                <w:szCs w:val="21"/>
              </w:rPr>
              <w:t>表4-</w:t>
            </w:r>
            <w:r>
              <w:rPr>
                <w:rFonts w:hint="eastAsia"/>
                <w:b/>
                <w:bCs/>
                <w:szCs w:val="21"/>
              </w:rPr>
              <w:t xml:space="preserve">9  </w:t>
            </w:r>
            <w:r>
              <w:rPr>
                <w:b/>
                <w:bCs/>
                <w:szCs w:val="21"/>
              </w:rPr>
              <w:t>卫生防护距离计算系数</w:t>
            </w:r>
          </w:p>
          <w:tbl>
            <w:tblPr>
              <w:tblStyle w:val="7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5"/>
              <w:gridCol w:w="1446"/>
              <w:gridCol w:w="753"/>
              <w:gridCol w:w="755"/>
              <w:gridCol w:w="641"/>
              <w:gridCol w:w="127"/>
              <w:gridCol w:w="593"/>
              <w:gridCol w:w="612"/>
              <w:gridCol w:w="534"/>
              <w:gridCol w:w="188"/>
              <w:gridCol w:w="587"/>
              <w:gridCol w:w="612"/>
              <w:gridCol w:w="625"/>
            </w:tblGrid>
            <w:tr w14:paraId="624A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93" w:type="pct"/>
                  <w:vMerge w:val="restart"/>
                  <w:tcBorders>
                    <w:tl2br w:val="nil"/>
                    <w:tr2bl w:val="nil"/>
                  </w:tcBorders>
                  <w:vAlign w:val="center"/>
                </w:tcPr>
                <w:p w14:paraId="21BB1E0A">
                  <w:pPr>
                    <w:pStyle w:val="83"/>
                    <w:adjustRightInd w:val="0"/>
                    <w:snapToGrid w:val="0"/>
                    <w:spacing w:line="320" w:lineRule="exact"/>
                    <w:jc w:val="center"/>
                    <w:rPr>
                      <w:rFonts w:ascii="Times New Roman" w:hAnsi="Times New Roman"/>
                      <w:sz w:val="21"/>
                      <w:szCs w:val="21"/>
                    </w:rPr>
                  </w:pPr>
                  <w:r>
                    <w:rPr>
                      <w:rFonts w:ascii="Times New Roman" w:hAnsi="Times New Roman"/>
                      <w:b/>
                      <w:bCs/>
                      <w:spacing w:val="5"/>
                      <w:sz w:val="21"/>
                      <w:szCs w:val="21"/>
                    </w:rPr>
                    <w:t>计算系</w:t>
                  </w:r>
                  <w:r>
                    <w:rPr>
                      <w:rFonts w:ascii="Times New Roman" w:hAnsi="Times New Roman"/>
                      <w:b/>
                      <w:bCs/>
                      <w:spacing w:val="-3"/>
                      <w:sz w:val="21"/>
                      <w:szCs w:val="21"/>
                    </w:rPr>
                    <w:t>数</w:t>
                  </w:r>
                </w:p>
              </w:tc>
              <w:tc>
                <w:tcPr>
                  <w:tcW w:w="853" w:type="pct"/>
                  <w:vMerge w:val="restart"/>
                  <w:tcBorders>
                    <w:tl2br w:val="nil"/>
                    <w:tr2bl w:val="nil"/>
                  </w:tcBorders>
                  <w:vAlign w:val="center"/>
                </w:tcPr>
                <w:p w14:paraId="227C2CF7">
                  <w:pPr>
                    <w:adjustRightInd w:val="0"/>
                    <w:snapToGrid w:val="0"/>
                    <w:spacing w:line="320" w:lineRule="exact"/>
                    <w:jc w:val="center"/>
                    <w:rPr>
                      <w:szCs w:val="21"/>
                    </w:rPr>
                  </w:pPr>
                </w:p>
                <w:p w14:paraId="10D5D693">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cs="Times New Roman"/>
                      <w:b/>
                      <w:bCs/>
                      <w:spacing w:val="4"/>
                      <w:sz w:val="21"/>
                      <w:szCs w:val="21"/>
                    </w:rPr>
                    <w:t>5</w:t>
                  </w:r>
                  <w:r>
                    <w:rPr>
                      <w:rFonts w:ascii="Times New Roman" w:hAnsi="Times New Roman"/>
                      <w:b/>
                      <w:bCs/>
                      <w:spacing w:val="4"/>
                      <w:sz w:val="21"/>
                      <w:szCs w:val="21"/>
                    </w:rPr>
                    <w:t>年平均风速</w:t>
                  </w:r>
                  <w:r>
                    <w:rPr>
                      <w:rFonts w:ascii="Times New Roman" w:hAnsi="Times New Roman" w:cs="Times New Roman"/>
                      <w:b/>
                      <w:bCs/>
                      <w:spacing w:val="2"/>
                      <w:sz w:val="21"/>
                      <w:szCs w:val="21"/>
                    </w:rPr>
                    <w:t>m/s</w:t>
                  </w:r>
                </w:p>
              </w:tc>
              <w:tc>
                <w:tcPr>
                  <w:tcW w:w="3553" w:type="pct"/>
                  <w:gridSpan w:val="11"/>
                  <w:tcBorders>
                    <w:tl2br w:val="nil"/>
                    <w:tr2bl w:val="nil"/>
                  </w:tcBorders>
                  <w:vAlign w:val="center"/>
                </w:tcPr>
                <w:p w14:paraId="76958CE2">
                  <w:pPr>
                    <w:pStyle w:val="83"/>
                    <w:adjustRightInd w:val="0"/>
                    <w:snapToGrid w:val="0"/>
                    <w:spacing w:line="320" w:lineRule="exact"/>
                    <w:jc w:val="center"/>
                    <w:rPr>
                      <w:rFonts w:ascii="Times New Roman" w:hAnsi="Times New Roman"/>
                      <w:sz w:val="21"/>
                      <w:szCs w:val="21"/>
                      <w:lang w:eastAsia="zh-CN"/>
                    </w:rPr>
                  </w:pPr>
                  <w:r>
                    <w:rPr>
                      <w:rFonts w:ascii="Times New Roman" w:hAnsi="Times New Roman"/>
                      <w:b/>
                      <w:bCs/>
                      <w:spacing w:val="1"/>
                      <w:sz w:val="21"/>
                      <w:szCs w:val="21"/>
                      <w:lang w:eastAsia="zh-CN"/>
                    </w:rPr>
                    <w:t>卫生防护距离</w:t>
                  </w:r>
                  <w:r>
                    <w:rPr>
                      <w:rFonts w:ascii="Times New Roman" w:hAnsi="Times New Roman" w:cs="Times New Roman"/>
                      <w:b/>
                      <w:bCs/>
                      <w:spacing w:val="1"/>
                      <w:sz w:val="21"/>
                      <w:szCs w:val="21"/>
                      <w:lang w:eastAsia="zh-CN"/>
                    </w:rPr>
                    <w:t>L</w:t>
                  </w:r>
                  <w:r>
                    <w:rPr>
                      <w:rFonts w:ascii="Times New Roman" w:hAnsi="Times New Roman"/>
                      <w:b/>
                      <w:bCs/>
                      <w:spacing w:val="1"/>
                      <w:sz w:val="21"/>
                      <w:szCs w:val="21"/>
                      <w:lang w:eastAsia="zh-CN"/>
                    </w:rPr>
                    <w:t>（</w:t>
                  </w:r>
                  <w:r>
                    <w:rPr>
                      <w:rFonts w:ascii="Times New Roman" w:hAnsi="Times New Roman" w:cs="Times New Roman"/>
                      <w:b/>
                      <w:bCs/>
                      <w:spacing w:val="1"/>
                      <w:sz w:val="21"/>
                      <w:szCs w:val="21"/>
                      <w:lang w:eastAsia="zh-CN"/>
                    </w:rPr>
                    <w:t>m</w:t>
                  </w:r>
                  <w:r>
                    <w:rPr>
                      <w:rFonts w:ascii="Times New Roman" w:hAnsi="Times New Roman"/>
                      <w:b/>
                      <w:bCs/>
                      <w:spacing w:val="1"/>
                      <w:sz w:val="21"/>
                      <w:szCs w:val="21"/>
                      <w:lang w:eastAsia="zh-CN"/>
                    </w:rPr>
                    <w:t>）</w:t>
                  </w:r>
                </w:p>
              </w:tc>
            </w:tr>
            <w:tr w14:paraId="3FC0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continue"/>
                  <w:tcBorders>
                    <w:tl2br w:val="nil"/>
                    <w:tr2bl w:val="nil"/>
                  </w:tcBorders>
                  <w:vAlign w:val="center"/>
                </w:tcPr>
                <w:p w14:paraId="63BE036A">
                  <w:pPr>
                    <w:adjustRightInd w:val="0"/>
                    <w:snapToGrid w:val="0"/>
                    <w:spacing w:line="320" w:lineRule="exact"/>
                    <w:jc w:val="center"/>
                    <w:rPr>
                      <w:szCs w:val="21"/>
                    </w:rPr>
                  </w:pPr>
                </w:p>
              </w:tc>
              <w:tc>
                <w:tcPr>
                  <w:tcW w:w="853" w:type="pct"/>
                  <w:vMerge w:val="continue"/>
                  <w:tcBorders>
                    <w:tl2br w:val="nil"/>
                    <w:tr2bl w:val="nil"/>
                  </w:tcBorders>
                  <w:vAlign w:val="center"/>
                </w:tcPr>
                <w:p w14:paraId="0B95E602">
                  <w:pPr>
                    <w:adjustRightInd w:val="0"/>
                    <w:snapToGrid w:val="0"/>
                    <w:spacing w:line="320" w:lineRule="exact"/>
                    <w:jc w:val="center"/>
                    <w:rPr>
                      <w:szCs w:val="21"/>
                    </w:rPr>
                  </w:pPr>
                </w:p>
              </w:tc>
              <w:tc>
                <w:tcPr>
                  <w:tcW w:w="1342" w:type="pct"/>
                  <w:gridSpan w:val="4"/>
                  <w:tcBorders>
                    <w:tl2br w:val="nil"/>
                    <w:tr2bl w:val="nil"/>
                  </w:tcBorders>
                  <w:vAlign w:val="center"/>
                </w:tcPr>
                <w:p w14:paraId="10A58ECE">
                  <w:pPr>
                    <w:adjustRightInd w:val="0"/>
                    <w:snapToGrid w:val="0"/>
                    <w:spacing w:line="320" w:lineRule="exact"/>
                    <w:jc w:val="center"/>
                    <w:rPr>
                      <w:szCs w:val="21"/>
                    </w:rPr>
                  </w:pPr>
                  <w:r>
                    <w:rPr>
                      <w:b/>
                      <w:bCs/>
                      <w:spacing w:val="4"/>
                      <w:szCs w:val="21"/>
                    </w:rPr>
                    <w:t>L≤1000</w:t>
                  </w:r>
                </w:p>
              </w:tc>
              <w:tc>
                <w:tcPr>
                  <w:tcW w:w="1137" w:type="pct"/>
                  <w:gridSpan w:val="4"/>
                  <w:tcBorders>
                    <w:tl2br w:val="nil"/>
                    <w:tr2bl w:val="nil"/>
                  </w:tcBorders>
                  <w:vAlign w:val="center"/>
                </w:tcPr>
                <w:p w14:paraId="3A643187">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cs="Times New Roman"/>
                      <w:b/>
                      <w:bCs/>
                      <w:spacing w:val="4"/>
                      <w:sz w:val="21"/>
                      <w:szCs w:val="21"/>
                    </w:rPr>
                    <w:t>1000</w:t>
                  </w:r>
                  <w:r>
                    <w:rPr>
                      <w:rFonts w:hint="eastAsia" w:ascii="Times New Roman" w:hAnsi="Times New Roman" w:cs="Times New Roman"/>
                      <w:b/>
                      <w:bCs/>
                      <w:spacing w:val="4"/>
                      <w:sz w:val="21"/>
                      <w:szCs w:val="21"/>
                      <w:lang w:eastAsia="zh-CN"/>
                    </w:rPr>
                    <w:t>&lt;</w:t>
                  </w:r>
                  <w:r>
                    <w:rPr>
                      <w:rFonts w:ascii="Times New Roman" w:hAnsi="Times New Roman" w:cs="Times New Roman"/>
                      <w:b/>
                      <w:bCs/>
                      <w:spacing w:val="4"/>
                      <w:sz w:val="21"/>
                      <w:szCs w:val="21"/>
                    </w:rPr>
                    <w:t>L≤2000</w:t>
                  </w:r>
                </w:p>
              </w:tc>
              <w:tc>
                <w:tcPr>
                  <w:tcW w:w="1072" w:type="pct"/>
                  <w:gridSpan w:val="3"/>
                  <w:tcBorders>
                    <w:tl2br w:val="nil"/>
                    <w:tr2bl w:val="nil"/>
                  </w:tcBorders>
                  <w:vAlign w:val="center"/>
                </w:tcPr>
                <w:p w14:paraId="30CCE6D4">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cs="Times New Roman"/>
                      <w:b/>
                      <w:bCs/>
                      <w:spacing w:val="5"/>
                      <w:sz w:val="21"/>
                      <w:szCs w:val="21"/>
                    </w:rPr>
                    <w:t>L</w:t>
                  </w:r>
                  <w:r>
                    <w:rPr>
                      <w:rFonts w:hint="eastAsia" w:ascii="Times New Roman" w:hAnsi="Times New Roman" w:cs="Times New Roman"/>
                      <w:b/>
                      <w:bCs/>
                      <w:spacing w:val="5"/>
                      <w:sz w:val="21"/>
                      <w:szCs w:val="21"/>
                      <w:lang w:eastAsia="zh-CN"/>
                    </w:rPr>
                    <w:t>&gt;</w:t>
                  </w:r>
                  <w:r>
                    <w:rPr>
                      <w:rFonts w:ascii="Times New Roman" w:hAnsi="Times New Roman" w:cs="Times New Roman"/>
                      <w:b/>
                      <w:bCs/>
                      <w:spacing w:val="5"/>
                      <w:sz w:val="21"/>
                      <w:szCs w:val="21"/>
                    </w:rPr>
                    <w:t>2000</w:t>
                  </w:r>
                </w:p>
              </w:tc>
            </w:tr>
            <w:tr w14:paraId="14E44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continue"/>
                  <w:tcBorders>
                    <w:tl2br w:val="nil"/>
                    <w:tr2bl w:val="nil"/>
                  </w:tcBorders>
                  <w:vAlign w:val="center"/>
                </w:tcPr>
                <w:p w14:paraId="493B0E1A">
                  <w:pPr>
                    <w:adjustRightInd w:val="0"/>
                    <w:snapToGrid w:val="0"/>
                    <w:spacing w:line="320" w:lineRule="exact"/>
                    <w:jc w:val="center"/>
                    <w:rPr>
                      <w:szCs w:val="21"/>
                    </w:rPr>
                  </w:pPr>
                </w:p>
              </w:tc>
              <w:tc>
                <w:tcPr>
                  <w:tcW w:w="853" w:type="pct"/>
                  <w:vMerge w:val="continue"/>
                  <w:tcBorders>
                    <w:tl2br w:val="nil"/>
                    <w:tr2bl w:val="nil"/>
                  </w:tcBorders>
                  <w:vAlign w:val="center"/>
                </w:tcPr>
                <w:p w14:paraId="7998E265">
                  <w:pPr>
                    <w:adjustRightInd w:val="0"/>
                    <w:snapToGrid w:val="0"/>
                    <w:spacing w:line="320" w:lineRule="exact"/>
                    <w:jc w:val="center"/>
                    <w:rPr>
                      <w:szCs w:val="21"/>
                    </w:rPr>
                  </w:pPr>
                </w:p>
              </w:tc>
              <w:tc>
                <w:tcPr>
                  <w:tcW w:w="3553" w:type="pct"/>
                  <w:gridSpan w:val="11"/>
                  <w:tcBorders>
                    <w:tl2br w:val="nil"/>
                    <w:tr2bl w:val="nil"/>
                  </w:tcBorders>
                  <w:vAlign w:val="center"/>
                </w:tcPr>
                <w:p w14:paraId="79322C8E">
                  <w:pPr>
                    <w:pStyle w:val="83"/>
                    <w:adjustRightInd w:val="0"/>
                    <w:snapToGrid w:val="0"/>
                    <w:spacing w:line="320" w:lineRule="exact"/>
                    <w:jc w:val="center"/>
                    <w:rPr>
                      <w:rFonts w:ascii="Times New Roman" w:hAnsi="Times New Roman"/>
                      <w:sz w:val="21"/>
                      <w:szCs w:val="21"/>
                      <w:lang w:eastAsia="zh-CN"/>
                    </w:rPr>
                  </w:pPr>
                  <w:r>
                    <w:rPr>
                      <w:rFonts w:ascii="Times New Roman" w:hAnsi="Times New Roman"/>
                      <w:b/>
                      <w:bCs/>
                      <w:spacing w:val="7"/>
                      <w:sz w:val="21"/>
                      <w:szCs w:val="21"/>
                      <w:lang w:eastAsia="zh-CN"/>
                    </w:rPr>
                    <w:t>工业大气污染源构成类别</w:t>
                  </w:r>
                </w:p>
              </w:tc>
            </w:tr>
            <w:tr w14:paraId="6438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593" w:type="pct"/>
                  <w:vMerge w:val="continue"/>
                  <w:tcBorders>
                    <w:tl2br w:val="nil"/>
                    <w:tr2bl w:val="nil"/>
                  </w:tcBorders>
                  <w:vAlign w:val="center"/>
                </w:tcPr>
                <w:p w14:paraId="15232175">
                  <w:pPr>
                    <w:adjustRightInd w:val="0"/>
                    <w:snapToGrid w:val="0"/>
                    <w:spacing w:line="320" w:lineRule="exact"/>
                    <w:jc w:val="center"/>
                    <w:rPr>
                      <w:szCs w:val="21"/>
                    </w:rPr>
                  </w:pPr>
                </w:p>
              </w:tc>
              <w:tc>
                <w:tcPr>
                  <w:tcW w:w="853" w:type="pct"/>
                  <w:vMerge w:val="continue"/>
                  <w:tcBorders>
                    <w:tl2br w:val="nil"/>
                    <w:tr2bl w:val="nil"/>
                  </w:tcBorders>
                  <w:vAlign w:val="center"/>
                </w:tcPr>
                <w:p w14:paraId="7FC751A1">
                  <w:pPr>
                    <w:adjustRightInd w:val="0"/>
                    <w:snapToGrid w:val="0"/>
                    <w:spacing w:line="320" w:lineRule="exact"/>
                    <w:jc w:val="center"/>
                    <w:rPr>
                      <w:szCs w:val="21"/>
                    </w:rPr>
                  </w:pPr>
                </w:p>
              </w:tc>
              <w:tc>
                <w:tcPr>
                  <w:tcW w:w="444" w:type="pct"/>
                  <w:tcBorders>
                    <w:tl2br w:val="nil"/>
                    <w:tr2bl w:val="nil"/>
                  </w:tcBorders>
                  <w:vAlign w:val="center"/>
                </w:tcPr>
                <w:p w14:paraId="1C937C4F">
                  <w:pPr>
                    <w:adjustRightInd w:val="0"/>
                    <w:snapToGrid w:val="0"/>
                    <w:spacing w:line="320" w:lineRule="exact"/>
                    <w:jc w:val="center"/>
                    <w:rPr>
                      <w:szCs w:val="21"/>
                    </w:rPr>
                  </w:pPr>
                  <w:r>
                    <w:rPr>
                      <w:b/>
                      <w:bCs/>
                      <w:szCs w:val="21"/>
                    </w:rPr>
                    <w:t>Ⅰ</w:t>
                  </w:r>
                </w:p>
              </w:tc>
              <w:tc>
                <w:tcPr>
                  <w:tcW w:w="445" w:type="pct"/>
                  <w:tcBorders>
                    <w:tl2br w:val="nil"/>
                    <w:tr2bl w:val="nil"/>
                  </w:tcBorders>
                  <w:vAlign w:val="center"/>
                </w:tcPr>
                <w:p w14:paraId="6114AF0D">
                  <w:pPr>
                    <w:adjustRightInd w:val="0"/>
                    <w:snapToGrid w:val="0"/>
                    <w:spacing w:line="320" w:lineRule="exact"/>
                    <w:jc w:val="center"/>
                    <w:rPr>
                      <w:szCs w:val="21"/>
                    </w:rPr>
                  </w:pPr>
                  <w:r>
                    <w:rPr>
                      <w:b/>
                      <w:bCs/>
                      <w:spacing w:val="2"/>
                      <w:szCs w:val="21"/>
                    </w:rPr>
                    <w:t>Ⅱ</w:t>
                  </w:r>
                </w:p>
              </w:tc>
              <w:tc>
                <w:tcPr>
                  <w:tcW w:w="377" w:type="pct"/>
                  <w:tcBorders>
                    <w:tl2br w:val="nil"/>
                    <w:tr2bl w:val="nil"/>
                  </w:tcBorders>
                  <w:vAlign w:val="center"/>
                </w:tcPr>
                <w:p w14:paraId="718C6315">
                  <w:pPr>
                    <w:adjustRightInd w:val="0"/>
                    <w:snapToGrid w:val="0"/>
                    <w:spacing w:line="320" w:lineRule="exact"/>
                    <w:jc w:val="center"/>
                    <w:rPr>
                      <w:szCs w:val="21"/>
                    </w:rPr>
                  </w:pPr>
                  <w:r>
                    <w:rPr>
                      <w:b/>
                      <w:bCs/>
                      <w:spacing w:val="5"/>
                      <w:szCs w:val="21"/>
                    </w:rPr>
                    <w:t>Ⅲ</w:t>
                  </w:r>
                </w:p>
              </w:tc>
              <w:tc>
                <w:tcPr>
                  <w:tcW w:w="425" w:type="pct"/>
                  <w:gridSpan w:val="2"/>
                  <w:tcBorders>
                    <w:tl2br w:val="nil"/>
                    <w:tr2bl w:val="nil"/>
                  </w:tcBorders>
                  <w:vAlign w:val="center"/>
                </w:tcPr>
                <w:p w14:paraId="31C202E8">
                  <w:pPr>
                    <w:adjustRightInd w:val="0"/>
                    <w:snapToGrid w:val="0"/>
                    <w:spacing w:line="320" w:lineRule="exact"/>
                    <w:jc w:val="center"/>
                    <w:rPr>
                      <w:szCs w:val="21"/>
                    </w:rPr>
                  </w:pPr>
                  <w:r>
                    <w:rPr>
                      <w:b/>
                      <w:bCs/>
                      <w:szCs w:val="21"/>
                    </w:rPr>
                    <w:t>Ⅰ</w:t>
                  </w:r>
                </w:p>
              </w:tc>
              <w:tc>
                <w:tcPr>
                  <w:tcW w:w="361" w:type="pct"/>
                  <w:tcBorders>
                    <w:tl2br w:val="nil"/>
                    <w:tr2bl w:val="nil"/>
                  </w:tcBorders>
                  <w:vAlign w:val="center"/>
                </w:tcPr>
                <w:p w14:paraId="7AF655DF">
                  <w:pPr>
                    <w:adjustRightInd w:val="0"/>
                    <w:snapToGrid w:val="0"/>
                    <w:spacing w:line="320" w:lineRule="exact"/>
                    <w:jc w:val="center"/>
                    <w:rPr>
                      <w:szCs w:val="21"/>
                    </w:rPr>
                  </w:pPr>
                  <w:r>
                    <w:rPr>
                      <w:b/>
                      <w:bCs/>
                      <w:spacing w:val="2"/>
                      <w:szCs w:val="21"/>
                    </w:rPr>
                    <w:t>Ⅱ</w:t>
                  </w:r>
                </w:p>
              </w:tc>
              <w:tc>
                <w:tcPr>
                  <w:tcW w:w="314" w:type="pct"/>
                  <w:tcBorders>
                    <w:tl2br w:val="nil"/>
                    <w:tr2bl w:val="nil"/>
                  </w:tcBorders>
                  <w:vAlign w:val="center"/>
                </w:tcPr>
                <w:p w14:paraId="574932D0">
                  <w:pPr>
                    <w:adjustRightInd w:val="0"/>
                    <w:snapToGrid w:val="0"/>
                    <w:spacing w:line="320" w:lineRule="exact"/>
                    <w:jc w:val="center"/>
                    <w:rPr>
                      <w:szCs w:val="21"/>
                    </w:rPr>
                  </w:pPr>
                  <w:r>
                    <w:rPr>
                      <w:b/>
                      <w:bCs/>
                      <w:spacing w:val="5"/>
                      <w:szCs w:val="21"/>
                    </w:rPr>
                    <w:t>Ⅲ</w:t>
                  </w:r>
                </w:p>
              </w:tc>
              <w:tc>
                <w:tcPr>
                  <w:tcW w:w="457" w:type="pct"/>
                  <w:gridSpan w:val="2"/>
                  <w:tcBorders>
                    <w:tl2br w:val="nil"/>
                    <w:tr2bl w:val="nil"/>
                  </w:tcBorders>
                  <w:vAlign w:val="center"/>
                </w:tcPr>
                <w:p w14:paraId="2E2F377F">
                  <w:pPr>
                    <w:adjustRightInd w:val="0"/>
                    <w:snapToGrid w:val="0"/>
                    <w:spacing w:line="320" w:lineRule="exact"/>
                    <w:jc w:val="center"/>
                    <w:rPr>
                      <w:szCs w:val="21"/>
                    </w:rPr>
                  </w:pPr>
                  <w:r>
                    <w:rPr>
                      <w:b/>
                      <w:bCs/>
                      <w:szCs w:val="21"/>
                    </w:rPr>
                    <w:t>Ⅰ</w:t>
                  </w:r>
                </w:p>
              </w:tc>
              <w:tc>
                <w:tcPr>
                  <w:tcW w:w="361" w:type="pct"/>
                  <w:tcBorders>
                    <w:tl2br w:val="nil"/>
                    <w:tr2bl w:val="nil"/>
                  </w:tcBorders>
                  <w:vAlign w:val="center"/>
                </w:tcPr>
                <w:p w14:paraId="6470C61F">
                  <w:pPr>
                    <w:adjustRightInd w:val="0"/>
                    <w:snapToGrid w:val="0"/>
                    <w:spacing w:line="320" w:lineRule="exact"/>
                    <w:jc w:val="center"/>
                    <w:rPr>
                      <w:szCs w:val="21"/>
                    </w:rPr>
                  </w:pPr>
                  <w:r>
                    <w:rPr>
                      <w:b/>
                      <w:bCs/>
                      <w:spacing w:val="2"/>
                      <w:szCs w:val="21"/>
                    </w:rPr>
                    <w:t>Ⅱ</w:t>
                  </w:r>
                </w:p>
              </w:tc>
              <w:tc>
                <w:tcPr>
                  <w:tcW w:w="364" w:type="pct"/>
                  <w:tcBorders>
                    <w:tl2br w:val="nil"/>
                    <w:tr2bl w:val="nil"/>
                  </w:tcBorders>
                  <w:vAlign w:val="center"/>
                </w:tcPr>
                <w:p w14:paraId="556D7BF0">
                  <w:pPr>
                    <w:adjustRightInd w:val="0"/>
                    <w:snapToGrid w:val="0"/>
                    <w:spacing w:line="320" w:lineRule="exact"/>
                    <w:jc w:val="center"/>
                    <w:rPr>
                      <w:szCs w:val="21"/>
                    </w:rPr>
                  </w:pPr>
                  <w:r>
                    <w:rPr>
                      <w:b/>
                      <w:bCs/>
                      <w:spacing w:val="5"/>
                      <w:szCs w:val="21"/>
                    </w:rPr>
                    <w:t>Ⅲ</w:t>
                  </w:r>
                </w:p>
              </w:tc>
            </w:tr>
            <w:tr w14:paraId="413FD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restart"/>
                  <w:tcBorders>
                    <w:tl2br w:val="nil"/>
                    <w:tr2bl w:val="nil"/>
                  </w:tcBorders>
                  <w:vAlign w:val="center"/>
                </w:tcPr>
                <w:p w14:paraId="65274EA3">
                  <w:pPr>
                    <w:adjustRightInd w:val="0"/>
                    <w:snapToGrid w:val="0"/>
                    <w:spacing w:line="320" w:lineRule="exact"/>
                    <w:jc w:val="center"/>
                    <w:rPr>
                      <w:szCs w:val="21"/>
                    </w:rPr>
                  </w:pPr>
                </w:p>
                <w:p w14:paraId="3000B542">
                  <w:pPr>
                    <w:adjustRightInd w:val="0"/>
                    <w:snapToGrid w:val="0"/>
                    <w:spacing w:line="320" w:lineRule="exact"/>
                    <w:jc w:val="center"/>
                    <w:rPr>
                      <w:szCs w:val="21"/>
                    </w:rPr>
                  </w:pPr>
                  <w:r>
                    <w:rPr>
                      <w:spacing w:val="4"/>
                      <w:szCs w:val="21"/>
                    </w:rPr>
                    <w:t>A</w:t>
                  </w:r>
                </w:p>
              </w:tc>
              <w:tc>
                <w:tcPr>
                  <w:tcW w:w="853" w:type="pct"/>
                  <w:tcBorders>
                    <w:tl2br w:val="nil"/>
                    <w:tr2bl w:val="nil"/>
                  </w:tcBorders>
                  <w:vAlign w:val="center"/>
                </w:tcPr>
                <w:p w14:paraId="263669FD">
                  <w:pPr>
                    <w:pStyle w:val="83"/>
                    <w:adjustRightInd w:val="0"/>
                    <w:snapToGrid w:val="0"/>
                    <w:spacing w:line="320" w:lineRule="exact"/>
                    <w:jc w:val="center"/>
                    <w:rPr>
                      <w:rFonts w:ascii="Times New Roman" w:hAnsi="Times New Roman" w:cs="Times New Roman"/>
                      <w:sz w:val="21"/>
                      <w:szCs w:val="21"/>
                    </w:rPr>
                  </w:pPr>
                  <w:r>
                    <w:rPr>
                      <w:rFonts w:hint="eastAsia" w:ascii="Times New Roman" w:hAnsi="Times New Roman"/>
                      <w:spacing w:val="-4"/>
                      <w:sz w:val="21"/>
                      <w:szCs w:val="21"/>
                      <w:lang w:eastAsia="zh-CN"/>
                    </w:rPr>
                    <w:t>&lt;</w:t>
                  </w:r>
                  <w:r>
                    <w:rPr>
                      <w:rFonts w:ascii="Times New Roman" w:hAnsi="Times New Roman" w:cs="Times New Roman"/>
                      <w:spacing w:val="-4"/>
                      <w:sz w:val="21"/>
                      <w:szCs w:val="21"/>
                    </w:rPr>
                    <w:t>2</w:t>
                  </w:r>
                </w:p>
              </w:tc>
              <w:tc>
                <w:tcPr>
                  <w:tcW w:w="444" w:type="pct"/>
                  <w:tcBorders>
                    <w:tl2br w:val="nil"/>
                    <w:tr2bl w:val="nil"/>
                  </w:tcBorders>
                  <w:vAlign w:val="center"/>
                </w:tcPr>
                <w:p w14:paraId="108CCD8E">
                  <w:pPr>
                    <w:adjustRightInd w:val="0"/>
                    <w:snapToGrid w:val="0"/>
                    <w:spacing w:line="320" w:lineRule="exact"/>
                    <w:jc w:val="center"/>
                    <w:rPr>
                      <w:szCs w:val="21"/>
                    </w:rPr>
                  </w:pPr>
                  <w:r>
                    <w:rPr>
                      <w:spacing w:val="4"/>
                      <w:szCs w:val="21"/>
                    </w:rPr>
                    <w:t>400</w:t>
                  </w:r>
                </w:p>
              </w:tc>
              <w:tc>
                <w:tcPr>
                  <w:tcW w:w="445" w:type="pct"/>
                  <w:tcBorders>
                    <w:tl2br w:val="nil"/>
                    <w:tr2bl w:val="nil"/>
                  </w:tcBorders>
                  <w:vAlign w:val="center"/>
                </w:tcPr>
                <w:p w14:paraId="04B66E5F">
                  <w:pPr>
                    <w:adjustRightInd w:val="0"/>
                    <w:snapToGrid w:val="0"/>
                    <w:spacing w:line="320" w:lineRule="exact"/>
                    <w:jc w:val="center"/>
                    <w:rPr>
                      <w:szCs w:val="21"/>
                    </w:rPr>
                  </w:pPr>
                  <w:r>
                    <w:rPr>
                      <w:spacing w:val="4"/>
                      <w:szCs w:val="21"/>
                    </w:rPr>
                    <w:t>400</w:t>
                  </w:r>
                </w:p>
              </w:tc>
              <w:tc>
                <w:tcPr>
                  <w:tcW w:w="377" w:type="pct"/>
                  <w:tcBorders>
                    <w:tl2br w:val="nil"/>
                    <w:tr2bl w:val="nil"/>
                  </w:tcBorders>
                  <w:vAlign w:val="center"/>
                </w:tcPr>
                <w:p w14:paraId="65B4E550">
                  <w:pPr>
                    <w:adjustRightInd w:val="0"/>
                    <w:snapToGrid w:val="0"/>
                    <w:spacing w:line="320" w:lineRule="exact"/>
                    <w:jc w:val="center"/>
                    <w:rPr>
                      <w:szCs w:val="21"/>
                    </w:rPr>
                  </w:pPr>
                  <w:r>
                    <w:rPr>
                      <w:spacing w:val="4"/>
                      <w:szCs w:val="21"/>
                    </w:rPr>
                    <w:t>400</w:t>
                  </w:r>
                </w:p>
              </w:tc>
              <w:tc>
                <w:tcPr>
                  <w:tcW w:w="425" w:type="pct"/>
                  <w:gridSpan w:val="2"/>
                  <w:tcBorders>
                    <w:tl2br w:val="nil"/>
                    <w:tr2bl w:val="nil"/>
                  </w:tcBorders>
                  <w:vAlign w:val="center"/>
                </w:tcPr>
                <w:p w14:paraId="67CE0DBE">
                  <w:pPr>
                    <w:adjustRightInd w:val="0"/>
                    <w:snapToGrid w:val="0"/>
                    <w:spacing w:line="320" w:lineRule="exact"/>
                    <w:jc w:val="center"/>
                    <w:rPr>
                      <w:szCs w:val="21"/>
                    </w:rPr>
                  </w:pPr>
                  <w:r>
                    <w:rPr>
                      <w:spacing w:val="4"/>
                      <w:szCs w:val="21"/>
                    </w:rPr>
                    <w:t>400</w:t>
                  </w:r>
                </w:p>
              </w:tc>
              <w:tc>
                <w:tcPr>
                  <w:tcW w:w="361" w:type="pct"/>
                  <w:tcBorders>
                    <w:tl2br w:val="nil"/>
                    <w:tr2bl w:val="nil"/>
                  </w:tcBorders>
                  <w:vAlign w:val="center"/>
                </w:tcPr>
                <w:p w14:paraId="66F23080">
                  <w:pPr>
                    <w:adjustRightInd w:val="0"/>
                    <w:snapToGrid w:val="0"/>
                    <w:spacing w:line="320" w:lineRule="exact"/>
                    <w:jc w:val="center"/>
                    <w:rPr>
                      <w:szCs w:val="21"/>
                    </w:rPr>
                  </w:pPr>
                  <w:r>
                    <w:rPr>
                      <w:spacing w:val="4"/>
                      <w:szCs w:val="21"/>
                    </w:rPr>
                    <w:t>400</w:t>
                  </w:r>
                </w:p>
              </w:tc>
              <w:tc>
                <w:tcPr>
                  <w:tcW w:w="314" w:type="pct"/>
                  <w:tcBorders>
                    <w:tl2br w:val="nil"/>
                    <w:tr2bl w:val="nil"/>
                  </w:tcBorders>
                  <w:vAlign w:val="center"/>
                </w:tcPr>
                <w:p w14:paraId="743B8FB7">
                  <w:pPr>
                    <w:adjustRightInd w:val="0"/>
                    <w:snapToGrid w:val="0"/>
                    <w:spacing w:line="320" w:lineRule="exact"/>
                    <w:jc w:val="center"/>
                    <w:rPr>
                      <w:szCs w:val="21"/>
                    </w:rPr>
                  </w:pPr>
                  <w:r>
                    <w:rPr>
                      <w:spacing w:val="4"/>
                      <w:szCs w:val="21"/>
                    </w:rPr>
                    <w:t>400</w:t>
                  </w:r>
                </w:p>
              </w:tc>
              <w:tc>
                <w:tcPr>
                  <w:tcW w:w="457" w:type="pct"/>
                  <w:gridSpan w:val="2"/>
                  <w:tcBorders>
                    <w:tl2br w:val="nil"/>
                    <w:tr2bl w:val="nil"/>
                  </w:tcBorders>
                  <w:vAlign w:val="center"/>
                </w:tcPr>
                <w:p w14:paraId="2C054AEE">
                  <w:pPr>
                    <w:adjustRightInd w:val="0"/>
                    <w:snapToGrid w:val="0"/>
                    <w:spacing w:line="320" w:lineRule="exact"/>
                    <w:jc w:val="center"/>
                    <w:rPr>
                      <w:szCs w:val="21"/>
                    </w:rPr>
                  </w:pPr>
                  <w:r>
                    <w:rPr>
                      <w:spacing w:val="-2"/>
                      <w:szCs w:val="21"/>
                    </w:rPr>
                    <w:t>80</w:t>
                  </w:r>
                </w:p>
              </w:tc>
              <w:tc>
                <w:tcPr>
                  <w:tcW w:w="361" w:type="pct"/>
                  <w:tcBorders>
                    <w:tl2br w:val="nil"/>
                    <w:tr2bl w:val="nil"/>
                  </w:tcBorders>
                  <w:vAlign w:val="center"/>
                </w:tcPr>
                <w:p w14:paraId="62185238">
                  <w:pPr>
                    <w:adjustRightInd w:val="0"/>
                    <w:snapToGrid w:val="0"/>
                    <w:spacing w:line="320" w:lineRule="exact"/>
                    <w:jc w:val="center"/>
                    <w:rPr>
                      <w:szCs w:val="21"/>
                    </w:rPr>
                  </w:pPr>
                  <w:r>
                    <w:rPr>
                      <w:spacing w:val="-2"/>
                      <w:szCs w:val="21"/>
                    </w:rPr>
                    <w:t>80</w:t>
                  </w:r>
                </w:p>
              </w:tc>
              <w:tc>
                <w:tcPr>
                  <w:tcW w:w="364" w:type="pct"/>
                  <w:tcBorders>
                    <w:tl2br w:val="nil"/>
                    <w:tr2bl w:val="nil"/>
                  </w:tcBorders>
                  <w:vAlign w:val="center"/>
                </w:tcPr>
                <w:p w14:paraId="5A170C4D">
                  <w:pPr>
                    <w:adjustRightInd w:val="0"/>
                    <w:snapToGrid w:val="0"/>
                    <w:spacing w:line="320" w:lineRule="exact"/>
                    <w:jc w:val="center"/>
                    <w:rPr>
                      <w:szCs w:val="21"/>
                    </w:rPr>
                  </w:pPr>
                  <w:r>
                    <w:rPr>
                      <w:spacing w:val="-2"/>
                      <w:szCs w:val="21"/>
                    </w:rPr>
                    <w:t>80</w:t>
                  </w:r>
                </w:p>
              </w:tc>
            </w:tr>
            <w:tr w14:paraId="0E8CA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93" w:type="pct"/>
                  <w:vMerge w:val="continue"/>
                  <w:tcBorders>
                    <w:tl2br w:val="nil"/>
                    <w:tr2bl w:val="nil"/>
                  </w:tcBorders>
                  <w:vAlign w:val="center"/>
                </w:tcPr>
                <w:p w14:paraId="4A266CC3">
                  <w:pPr>
                    <w:adjustRightInd w:val="0"/>
                    <w:snapToGrid w:val="0"/>
                    <w:spacing w:line="320" w:lineRule="exact"/>
                    <w:jc w:val="center"/>
                    <w:rPr>
                      <w:szCs w:val="21"/>
                    </w:rPr>
                  </w:pPr>
                </w:p>
              </w:tc>
              <w:tc>
                <w:tcPr>
                  <w:tcW w:w="853" w:type="pct"/>
                  <w:tcBorders>
                    <w:tl2br w:val="nil"/>
                    <w:tr2bl w:val="nil"/>
                  </w:tcBorders>
                  <w:vAlign w:val="center"/>
                </w:tcPr>
                <w:p w14:paraId="3F2757AC">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pacing w:val="4"/>
                      <w:sz w:val="21"/>
                      <w:szCs w:val="21"/>
                    </w:rPr>
                    <w:t>2</w:t>
                  </w:r>
                  <w:r>
                    <w:rPr>
                      <w:rFonts w:hint="eastAsia" w:ascii="Times New Roman" w:hAnsi="Times New Roman" w:cs="Times New Roman"/>
                      <w:spacing w:val="4"/>
                      <w:sz w:val="21"/>
                      <w:szCs w:val="21"/>
                      <w:lang w:eastAsia="zh-CN"/>
                    </w:rPr>
                    <w:t>~</w:t>
                  </w:r>
                  <w:r>
                    <w:rPr>
                      <w:rFonts w:ascii="Times New Roman" w:hAnsi="Times New Roman" w:cs="Times New Roman"/>
                      <w:spacing w:val="4"/>
                      <w:sz w:val="21"/>
                      <w:szCs w:val="21"/>
                    </w:rPr>
                    <w:t>4</w:t>
                  </w:r>
                </w:p>
              </w:tc>
              <w:tc>
                <w:tcPr>
                  <w:tcW w:w="444" w:type="pct"/>
                  <w:tcBorders>
                    <w:tl2br w:val="nil"/>
                    <w:tr2bl w:val="nil"/>
                  </w:tcBorders>
                  <w:vAlign w:val="center"/>
                </w:tcPr>
                <w:p w14:paraId="635B2B5D">
                  <w:pPr>
                    <w:adjustRightInd w:val="0"/>
                    <w:snapToGrid w:val="0"/>
                    <w:spacing w:line="320" w:lineRule="exact"/>
                    <w:jc w:val="center"/>
                    <w:rPr>
                      <w:szCs w:val="21"/>
                    </w:rPr>
                  </w:pPr>
                  <w:r>
                    <w:rPr>
                      <w:spacing w:val="2"/>
                      <w:szCs w:val="21"/>
                    </w:rPr>
                    <w:t>700</w:t>
                  </w:r>
                </w:p>
              </w:tc>
              <w:tc>
                <w:tcPr>
                  <w:tcW w:w="445" w:type="pct"/>
                  <w:tcBorders>
                    <w:tl2br w:val="nil"/>
                    <w:tr2bl w:val="nil"/>
                  </w:tcBorders>
                  <w:vAlign w:val="center"/>
                </w:tcPr>
                <w:p w14:paraId="3B9B6C5F">
                  <w:pPr>
                    <w:adjustRightInd w:val="0"/>
                    <w:snapToGrid w:val="0"/>
                    <w:spacing w:line="320" w:lineRule="exact"/>
                    <w:jc w:val="center"/>
                    <w:rPr>
                      <w:szCs w:val="21"/>
                    </w:rPr>
                  </w:pPr>
                  <w:r>
                    <w:rPr>
                      <w:spacing w:val="4"/>
                      <w:szCs w:val="21"/>
                    </w:rPr>
                    <w:t>470</w:t>
                  </w:r>
                </w:p>
              </w:tc>
              <w:tc>
                <w:tcPr>
                  <w:tcW w:w="377" w:type="pct"/>
                  <w:tcBorders>
                    <w:tl2br w:val="nil"/>
                    <w:tr2bl w:val="nil"/>
                  </w:tcBorders>
                  <w:vAlign w:val="center"/>
                </w:tcPr>
                <w:p w14:paraId="54994D54">
                  <w:pPr>
                    <w:adjustRightInd w:val="0"/>
                    <w:snapToGrid w:val="0"/>
                    <w:spacing w:line="320" w:lineRule="exact"/>
                    <w:jc w:val="center"/>
                    <w:rPr>
                      <w:szCs w:val="21"/>
                    </w:rPr>
                  </w:pPr>
                  <w:r>
                    <w:rPr>
                      <w:spacing w:val="2"/>
                      <w:szCs w:val="21"/>
                    </w:rPr>
                    <w:t>350</w:t>
                  </w:r>
                </w:p>
              </w:tc>
              <w:tc>
                <w:tcPr>
                  <w:tcW w:w="425" w:type="pct"/>
                  <w:gridSpan w:val="2"/>
                  <w:tcBorders>
                    <w:tl2br w:val="nil"/>
                    <w:tr2bl w:val="nil"/>
                  </w:tcBorders>
                  <w:vAlign w:val="center"/>
                </w:tcPr>
                <w:p w14:paraId="18388109">
                  <w:pPr>
                    <w:adjustRightInd w:val="0"/>
                    <w:snapToGrid w:val="0"/>
                    <w:spacing w:line="320" w:lineRule="exact"/>
                    <w:jc w:val="center"/>
                    <w:rPr>
                      <w:szCs w:val="21"/>
                    </w:rPr>
                  </w:pPr>
                  <w:r>
                    <w:rPr>
                      <w:spacing w:val="2"/>
                      <w:szCs w:val="21"/>
                    </w:rPr>
                    <w:t>700</w:t>
                  </w:r>
                </w:p>
              </w:tc>
              <w:tc>
                <w:tcPr>
                  <w:tcW w:w="361" w:type="pct"/>
                  <w:tcBorders>
                    <w:tl2br w:val="nil"/>
                    <w:tr2bl w:val="nil"/>
                  </w:tcBorders>
                  <w:vAlign w:val="center"/>
                </w:tcPr>
                <w:p w14:paraId="4ABAF0DD">
                  <w:pPr>
                    <w:adjustRightInd w:val="0"/>
                    <w:snapToGrid w:val="0"/>
                    <w:spacing w:line="320" w:lineRule="exact"/>
                    <w:jc w:val="center"/>
                    <w:rPr>
                      <w:szCs w:val="21"/>
                    </w:rPr>
                  </w:pPr>
                  <w:r>
                    <w:rPr>
                      <w:spacing w:val="4"/>
                      <w:szCs w:val="21"/>
                    </w:rPr>
                    <w:t>470</w:t>
                  </w:r>
                </w:p>
              </w:tc>
              <w:tc>
                <w:tcPr>
                  <w:tcW w:w="314" w:type="pct"/>
                  <w:tcBorders>
                    <w:tl2br w:val="nil"/>
                    <w:tr2bl w:val="nil"/>
                  </w:tcBorders>
                  <w:vAlign w:val="center"/>
                </w:tcPr>
                <w:p w14:paraId="00B729C7">
                  <w:pPr>
                    <w:adjustRightInd w:val="0"/>
                    <w:snapToGrid w:val="0"/>
                    <w:spacing w:line="320" w:lineRule="exact"/>
                    <w:jc w:val="center"/>
                    <w:rPr>
                      <w:szCs w:val="21"/>
                    </w:rPr>
                  </w:pPr>
                  <w:r>
                    <w:rPr>
                      <w:spacing w:val="2"/>
                      <w:szCs w:val="21"/>
                    </w:rPr>
                    <w:t>350</w:t>
                  </w:r>
                </w:p>
              </w:tc>
              <w:tc>
                <w:tcPr>
                  <w:tcW w:w="457" w:type="pct"/>
                  <w:gridSpan w:val="2"/>
                  <w:tcBorders>
                    <w:tl2br w:val="nil"/>
                    <w:tr2bl w:val="nil"/>
                  </w:tcBorders>
                  <w:vAlign w:val="center"/>
                </w:tcPr>
                <w:p w14:paraId="0DCA6274">
                  <w:pPr>
                    <w:adjustRightInd w:val="0"/>
                    <w:snapToGrid w:val="0"/>
                    <w:spacing w:line="320" w:lineRule="exact"/>
                    <w:jc w:val="center"/>
                    <w:rPr>
                      <w:szCs w:val="21"/>
                    </w:rPr>
                  </w:pPr>
                  <w:r>
                    <w:rPr>
                      <w:spacing w:val="2"/>
                      <w:szCs w:val="21"/>
                    </w:rPr>
                    <w:t>380</w:t>
                  </w:r>
                </w:p>
              </w:tc>
              <w:tc>
                <w:tcPr>
                  <w:tcW w:w="361" w:type="pct"/>
                  <w:tcBorders>
                    <w:tl2br w:val="nil"/>
                    <w:tr2bl w:val="nil"/>
                  </w:tcBorders>
                  <w:vAlign w:val="center"/>
                </w:tcPr>
                <w:p w14:paraId="282FC799">
                  <w:pPr>
                    <w:adjustRightInd w:val="0"/>
                    <w:snapToGrid w:val="0"/>
                    <w:spacing w:line="320" w:lineRule="exact"/>
                    <w:jc w:val="center"/>
                    <w:rPr>
                      <w:szCs w:val="21"/>
                    </w:rPr>
                  </w:pPr>
                  <w:r>
                    <w:rPr>
                      <w:spacing w:val="3"/>
                      <w:szCs w:val="21"/>
                    </w:rPr>
                    <w:t>250</w:t>
                  </w:r>
                </w:p>
              </w:tc>
              <w:tc>
                <w:tcPr>
                  <w:tcW w:w="364" w:type="pct"/>
                  <w:tcBorders>
                    <w:tl2br w:val="nil"/>
                    <w:tr2bl w:val="nil"/>
                  </w:tcBorders>
                  <w:vAlign w:val="center"/>
                </w:tcPr>
                <w:p w14:paraId="4C08F430">
                  <w:pPr>
                    <w:adjustRightInd w:val="0"/>
                    <w:snapToGrid w:val="0"/>
                    <w:spacing w:line="320" w:lineRule="exact"/>
                    <w:jc w:val="center"/>
                    <w:rPr>
                      <w:szCs w:val="21"/>
                    </w:rPr>
                  </w:pPr>
                  <w:r>
                    <w:rPr>
                      <w:spacing w:val="-3"/>
                      <w:szCs w:val="21"/>
                    </w:rPr>
                    <w:t>190</w:t>
                  </w:r>
                </w:p>
              </w:tc>
            </w:tr>
            <w:tr w14:paraId="24F2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continue"/>
                  <w:tcBorders>
                    <w:tl2br w:val="nil"/>
                    <w:tr2bl w:val="nil"/>
                  </w:tcBorders>
                  <w:vAlign w:val="center"/>
                </w:tcPr>
                <w:p w14:paraId="4625D8D3">
                  <w:pPr>
                    <w:adjustRightInd w:val="0"/>
                    <w:snapToGrid w:val="0"/>
                    <w:spacing w:line="320" w:lineRule="exact"/>
                    <w:jc w:val="center"/>
                    <w:rPr>
                      <w:szCs w:val="21"/>
                    </w:rPr>
                  </w:pPr>
                </w:p>
              </w:tc>
              <w:tc>
                <w:tcPr>
                  <w:tcW w:w="853" w:type="pct"/>
                  <w:tcBorders>
                    <w:tl2br w:val="nil"/>
                    <w:tr2bl w:val="nil"/>
                  </w:tcBorders>
                  <w:vAlign w:val="center"/>
                </w:tcPr>
                <w:p w14:paraId="34FBFDD4">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spacing w:val="19"/>
                      <w:w w:val="125"/>
                      <w:sz w:val="21"/>
                      <w:szCs w:val="21"/>
                    </w:rPr>
                    <w:t>&gt;</w:t>
                  </w:r>
                  <w:r>
                    <w:rPr>
                      <w:rFonts w:ascii="Times New Roman" w:hAnsi="Times New Roman" w:cs="Times New Roman"/>
                      <w:spacing w:val="19"/>
                      <w:w w:val="125"/>
                      <w:sz w:val="21"/>
                      <w:szCs w:val="21"/>
                    </w:rPr>
                    <w:t>4</w:t>
                  </w:r>
                </w:p>
              </w:tc>
              <w:tc>
                <w:tcPr>
                  <w:tcW w:w="444" w:type="pct"/>
                  <w:tcBorders>
                    <w:tl2br w:val="nil"/>
                    <w:tr2bl w:val="nil"/>
                  </w:tcBorders>
                  <w:vAlign w:val="center"/>
                </w:tcPr>
                <w:p w14:paraId="42458C6D">
                  <w:pPr>
                    <w:adjustRightInd w:val="0"/>
                    <w:snapToGrid w:val="0"/>
                    <w:spacing w:line="320" w:lineRule="exact"/>
                    <w:jc w:val="center"/>
                    <w:rPr>
                      <w:szCs w:val="21"/>
                    </w:rPr>
                  </w:pPr>
                  <w:r>
                    <w:rPr>
                      <w:spacing w:val="1"/>
                      <w:szCs w:val="21"/>
                    </w:rPr>
                    <w:t>530</w:t>
                  </w:r>
                </w:p>
              </w:tc>
              <w:tc>
                <w:tcPr>
                  <w:tcW w:w="445" w:type="pct"/>
                  <w:tcBorders>
                    <w:tl2br w:val="nil"/>
                    <w:tr2bl w:val="nil"/>
                  </w:tcBorders>
                  <w:vAlign w:val="center"/>
                </w:tcPr>
                <w:p w14:paraId="01290659">
                  <w:pPr>
                    <w:adjustRightInd w:val="0"/>
                    <w:snapToGrid w:val="0"/>
                    <w:spacing w:line="320" w:lineRule="exact"/>
                    <w:jc w:val="center"/>
                    <w:rPr>
                      <w:szCs w:val="21"/>
                    </w:rPr>
                  </w:pPr>
                  <w:r>
                    <w:rPr>
                      <w:spacing w:val="2"/>
                      <w:szCs w:val="21"/>
                    </w:rPr>
                    <w:t>350</w:t>
                  </w:r>
                </w:p>
              </w:tc>
              <w:tc>
                <w:tcPr>
                  <w:tcW w:w="377" w:type="pct"/>
                  <w:tcBorders>
                    <w:tl2br w:val="nil"/>
                    <w:tr2bl w:val="nil"/>
                  </w:tcBorders>
                  <w:vAlign w:val="center"/>
                </w:tcPr>
                <w:p w14:paraId="1DE52228">
                  <w:pPr>
                    <w:adjustRightInd w:val="0"/>
                    <w:snapToGrid w:val="0"/>
                    <w:spacing w:line="320" w:lineRule="exact"/>
                    <w:jc w:val="center"/>
                    <w:rPr>
                      <w:szCs w:val="21"/>
                    </w:rPr>
                  </w:pPr>
                  <w:r>
                    <w:rPr>
                      <w:spacing w:val="3"/>
                      <w:szCs w:val="21"/>
                    </w:rPr>
                    <w:t>260</w:t>
                  </w:r>
                </w:p>
              </w:tc>
              <w:tc>
                <w:tcPr>
                  <w:tcW w:w="425" w:type="pct"/>
                  <w:gridSpan w:val="2"/>
                  <w:tcBorders>
                    <w:tl2br w:val="nil"/>
                    <w:tr2bl w:val="nil"/>
                  </w:tcBorders>
                  <w:vAlign w:val="center"/>
                </w:tcPr>
                <w:p w14:paraId="7A5C173F">
                  <w:pPr>
                    <w:adjustRightInd w:val="0"/>
                    <w:snapToGrid w:val="0"/>
                    <w:spacing w:line="320" w:lineRule="exact"/>
                    <w:jc w:val="center"/>
                    <w:rPr>
                      <w:szCs w:val="21"/>
                    </w:rPr>
                  </w:pPr>
                  <w:r>
                    <w:rPr>
                      <w:spacing w:val="1"/>
                      <w:szCs w:val="21"/>
                    </w:rPr>
                    <w:t>530</w:t>
                  </w:r>
                </w:p>
              </w:tc>
              <w:tc>
                <w:tcPr>
                  <w:tcW w:w="361" w:type="pct"/>
                  <w:tcBorders>
                    <w:tl2br w:val="nil"/>
                    <w:tr2bl w:val="nil"/>
                  </w:tcBorders>
                  <w:vAlign w:val="center"/>
                </w:tcPr>
                <w:p w14:paraId="39F4B280">
                  <w:pPr>
                    <w:adjustRightInd w:val="0"/>
                    <w:snapToGrid w:val="0"/>
                    <w:spacing w:line="320" w:lineRule="exact"/>
                    <w:jc w:val="center"/>
                    <w:rPr>
                      <w:szCs w:val="21"/>
                    </w:rPr>
                  </w:pPr>
                  <w:r>
                    <w:rPr>
                      <w:spacing w:val="2"/>
                      <w:szCs w:val="21"/>
                    </w:rPr>
                    <w:t>350</w:t>
                  </w:r>
                </w:p>
              </w:tc>
              <w:tc>
                <w:tcPr>
                  <w:tcW w:w="314" w:type="pct"/>
                  <w:tcBorders>
                    <w:tl2br w:val="nil"/>
                    <w:tr2bl w:val="nil"/>
                  </w:tcBorders>
                  <w:vAlign w:val="center"/>
                </w:tcPr>
                <w:p w14:paraId="7B70BC3A">
                  <w:pPr>
                    <w:adjustRightInd w:val="0"/>
                    <w:snapToGrid w:val="0"/>
                    <w:spacing w:line="320" w:lineRule="exact"/>
                    <w:jc w:val="center"/>
                    <w:rPr>
                      <w:szCs w:val="21"/>
                    </w:rPr>
                  </w:pPr>
                  <w:r>
                    <w:rPr>
                      <w:spacing w:val="3"/>
                      <w:szCs w:val="21"/>
                    </w:rPr>
                    <w:t>260</w:t>
                  </w:r>
                </w:p>
              </w:tc>
              <w:tc>
                <w:tcPr>
                  <w:tcW w:w="457" w:type="pct"/>
                  <w:gridSpan w:val="2"/>
                  <w:tcBorders>
                    <w:tl2br w:val="nil"/>
                    <w:tr2bl w:val="nil"/>
                  </w:tcBorders>
                  <w:vAlign w:val="center"/>
                </w:tcPr>
                <w:p w14:paraId="2EF1F435">
                  <w:pPr>
                    <w:adjustRightInd w:val="0"/>
                    <w:snapToGrid w:val="0"/>
                    <w:spacing w:line="320" w:lineRule="exact"/>
                    <w:jc w:val="center"/>
                    <w:rPr>
                      <w:szCs w:val="21"/>
                    </w:rPr>
                  </w:pPr>
                  <w:r>
                    <w:rPr>
                      <w:spacing w:val="3"/>
                      <w:szCs w:val="21"/>
                    </w:rPr>
                    <w:t>290</w:t>
                  </w:r>
                </w:p>
              </w:tc>
              <w:tc>
                <w:tcPr>
                  <w:tcW w:w="361" w:type="pct"/>
                  <w:tcBorders>
                    <w:tl2br w:val="nil"/>
                    <w:tr2bl w:val="nil"/>
                  </w:tcBorders>
                  <w:vAlign w:val="center"/>
                </w:tcPr>
                <w:p w14:paraId="133267E7">
                  <w:pPr>
                    <w:adjustRightInd w:val="0"/>
                    <w:snapToGrid w:val="0"/>
                    <w:spacing w:line="320" w:lineRule="exact"/>
                    <w:jc w:val="center"/>
                    <w:rPr>
                      <w:szCs w:val="21"/>
                    </w:rPr>
                  </w:pPr>
                  <w:r>
                    <w:rPr>
                      <w:spacing w:val="-3"/>
                      <w:szCs w:val="21"/>
                    </w:rPr>
                    <w:t>190</w:t>
                  </w:r>
                </w:p>
              </w:tc>
              <w:tc>
                <w:tcPr>
                  <w:tcW w:w="364" w:type="pct"/>
                  <w:tcBorders>
                    <w:tl2br w:val="nil"/>
                    <w:tr2bl w:val="nil"/>
                  </w:tcBorders>
                  <w:vAlign w:val="center"/>
                </w:tcPr>
                <w:p w14:paraId="0FC8C9CF">
                  <w:pPr>
                    <w:adjustRightInd w:val="0"/>
                    <w:snapToGrid w:val="0"/>
                    <w:spacing w:line="320" w:lineRule="exact"/>
                    <w:jc w:val="center"/>
                    <w:rPr>
                      <w:szCs w:val="21"/>
                    </w:rPr>
                  </w:pPr>
                  <w:r>
                    <w:rPr>
                      <w:spacing w:val="-3"/>
                      <w:szCs w:val="21"/>
                    </w:rPr>
                    <w:t>140</w:t>
                  </w:r>
                </w:p>
              </w:tc>
            </w:tr>
            <w:tr w14:paraId="7300B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93" w:type="pct"/>
                  <w:vMerge w:val="restart"/>
                  <w:tcBorders>
                    <w:tl2br w:val="nil"/>
                    <w:tr2bl w:val="nil"/>
                  </w:tcBorders>
                  <w:vAlign w:val="center"/>
                </w:tcPr>
                <w:p w14:paraId="111E139B">
                  <w:pPr>
                    <w:adjustRightInd w:val="0"/>
                    <w:snapToGrid w:val="0"/>
                    <w:spacing w:line="320" w:lineRule="exact"/>
                    <w:jc w:val="center"/>
                    <w:rPr>
                      <w:szCs w:val="21"/>
                    </w:rPr>
                  </w:pPr>
                  <w:r>
                    <w:rPr>
                      <w:spacing w:val="2"/>
                      <w:szCs w:val="21"/>
                    </w:rPr>
                    <w:t>B</w:t>
                  </w:r>
                </w:p>
              </w:tc>
              <w:tc>
                <w:tcPr>
                  <w:tcW w:w="853" w:type="pct"/>
                  <w:tcBorders>
                    <w:tl2br w:val="nil"/>
                    <w:tr2bl w:val="nil"/>
                  </w:tcBorders>
                  <w:vAlign w:val="center"/>
                </w:tcPr>
                <w:p w14:paraId="49E2E5DE">
                  <w:pPr>
                    <w:pStyle w:val="83"/>
                    <w:adjustRightInd w:val="0"/>
                    <w:snapToGrid w:val="0"/>
                    <w:spacing w:line="320" w:lineRule="exact"/>
                    <w:jc w:val="center"/>
                    <w:rPr>
                      <w:rFonts w:ascii="Times New Roman" w:hAnsi="Times New Roman" w:cs="Times New Roman"/>
                      <w:sz w:val="21"/>
                      <w:szCs w:val="21"/>
                    </w:rPr>
                  </w:pPr>
                  <w:r>
                    <w:rPr>
                      <w:rFonts w:hint="eastAsia" w:ascii="Times New Roman" w:hAnsi="Times New Roman"/>
                      <w:spacing w:val="-4"/>
                      <w:sz w:val="21"/>
                      <w:szCs w:val="21"/>
                      <w:lang w:eastAsia="zh-CN"/>
                    </w:rPr>
                    <w:t>&lt;</w:t>
                  </w:r>
                  <w:r>
                    <w:rPr>
                      <w:rFonts w:ascii="Times New Roman" w:hAnsi="Times New Roman" w:cs="Times New Roman"/>
                      <w:spacing w:val="-4"/>
                      <w:sz w:val="21"/>
                      <w:szCs w:val="21"/>
                    </w:rPr>
                    <w:t>2</w:t>
                  </w:r>
                </w:p>
              </w:tc>
              <w:tc>
                <w:tcPr>
                  <w:tcW w:w="1267" w:type="pct"/>
                  <w:gridSpan w:val="3"/>
                  <w:tcBorders>
                    <w:tl2br w:val="nil"/>
                    <w:tr2bl w:val="nil"/>
                  </w:tcBorders>
                  <w:vAlign w:val="center"/>
                </w:tcPr>
                <w:p w14:paraId="20995735">
                  <w:pPr>
                    <w:adjustRightInd w:val="0"/>
                    <w:snapToGrid w:val="0"/>
                    <w:spacing w:line="320" w:lineRule="exact"/>
                    <w:jc w:val="center"/>
                    <w:rPr>
                      <w:szCs w:val="21"/>
                    </w:rPr>
                  </w:pPr>
                  <w:r>
                    <w:rPr>
                      <w:spacing w:val="2"/>
                      <w:szCs w:val="21"/>
                    </w:rPr>
                    <w:t>0.01</w:t>
                  </w:r>
                </w:p>
              </w:tc>
              <w:tc>
                <w:tcPr>
                  <w:tcW w:w="1101" w:type="pct"/>
                  <w:gridSpan w:val="4"/>
                  <w:tcBorders>
                    <w:tl2br w:val="nil"/>
                    <w:tr2bl w:val="nil"/>
                  </w:tcBorders>
                  <w:vAlign w:val="center"/>
                </w:tcPr>
                <w:p w14:paraId="35B352C3">
                  <w:pPr>
                    <w:adjustRightInd w:val="0"/>
                    <w:snapToGrid w:val="0"/>
                    <w:spacing w:line="320" w:lineRule="exact"/>
                    <w:jc w:val="center"/>
                    <w:rPr>
                      <w:szCs w:val="21"/>
                    </w:rPr>
                  </w:pPr>
                  <w:r>
                    <w:rPr>
                      <w:spacing w:val="3"/>
                      <w:szCs w:val="21"/>
                    </w:rPr>
                    <w:t>0.015</w:t>
                  </w:r>
                </w:p>
              </w:tc>
              <w:tc>
                <w:tcPr>
                  <w:tcW w:w="1183" w:type="pct"/>
                  <w:gridSpan w:val="4"/>
                  <w:tcBorders>
                    <w:tl2br w:val="nil"/>
                    <w:tr2bl w:val="nil"/>
                  </w:tcBorders>
                  <w:vAlign w:val="center"/>
                </w:tcPr>
                <w:p w14:paraId="3B7AD9C2">
                  <w:pPr>
                    <w:adjustRightInd w:val="0"/>
                    <w:snapToGrid w:val="0"/>
                    <w:spacing w:line="320" w:lineRule="exact"/>
                    <w:jc w:val="center"/>
                    <w:rPr>
                      <w:szCs w:val="21"/>
                    </w:rPr>
                  </w:pPr>
                  <w:r>
                    <w:rPr>
                      <w:spacing w:val="3"/>
                      <w:szCs w:val="21"/>
                    </w:rPr>
                    <w:t>0.015</w:t>
                  </w:r>
                </w:p>
              </w:tc>
            </w:tr>
            <w:tr w14:paraId="7B48A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continue"/>
                  <w:tcBorders>
                    <w:tl2br w:val="nil"/>
                    <w:tr2bl w:val="nil"/>
                  </w:tcBorders>
                  <w:vAlign w:val="center"/>
                </w:tcPr>
                <w:p w14:paraId="7D5025C0">
                  <w:pPr>
                    <w:adjustRightInd w:val="0"/>
                    <w:snapToGrid w:val="0"/>
                    <w:spacing w:line="320" w:lineRule="exact"/>
                    <w:jc w:val="center"/>
                    <w:rPr>
                      <w:szCs w:val="21"/>
                    </w:rPr>
                  </w:pPr>
                </w:p>
              </w:tc>
              <w:tc>
                <w:tcPr>
                  <w:tcW w:w="853" w:type="pct"/>
                  <w:tcBorders>
                    <w:tl2br w:val="nil"/>
                    <w:tr2bl w:val="nil"/>
                  </w:tcBorders>
                  <w:vAlign w:val="center"/>
                </w:tcPr>
                <w:p w14:paraId="06C5433F">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spacing w:val="19"/>
                      <w:w w:val="125"/>
                      <w:sz w:val="21"/>
                      <w:szCs w:val="21"/>
                    </w:rPr>
                    <w:t>&gt;</w:t>
                  </w:r>
                  <w:r>
                    <w:rPr>
                      <w:rFonts w:ascii="Times New Roman" w:hAnsi="Times New Roman" w:cs="Times New Roman"/>
                      <w:spacing w:val="19"/>
                      <w:w w:val="125"/>
                      <w:sz w:val="21"/>
                      <w:szCs w:val="21"/>
                    </w:rPr>
                    <w:t>2</w:t>
                  </w:r>
                </w:p>
              </w:tc>
              <w:tc>
                <w:tcPr>
                  <w:tcW w:w="1267" w:type="pct"/>
                  <w:gridSpan w:val="3"/>
                  <w:tcBorders>
                    <w:tl2br w:val="nil"/>
                    <w:tr2bl w:val="nil"/>
                  </w:tcBorders>
                  <w:vAlign w:val="center"/>
                </w:tcPr>
                <w:p w14:paraId="58B16B2D">
                  <w:pPr>
                    <w:adjustRightInd w:val="0"/>
                    <w:snapToGrid w:val="0"/>
                    <w:spacing w:line="320" w:lineRule="exact"/>
                    <w:jc w:val="center"/>
                    <w:rPr>
                      <w:szCs w:val="21"/>
                    </w:rPr>
                  </w:pPr>
                  <w:r>
                    <w:rPr>
                      <w:spacing w:val="3"/>
                      <w:szCs w:val="21"/>
                    </w:rPr>
                    <w:t>0.021</w:t>
                  </w:r>
                </w:p>
              </w:tc>
              <w:tc>
                <w:tcPr>
                  <w:tcW w:w="1101" w:type="pct"/>
                  <w:gridSpan w:val="4"/>
                  <w:tcBorders>
                    <w:tl2br w:val="nil"/>
                    <w:tr2bl w:val="nil"/>
                  </w:tcBorders>
                  <w:vAlign w:val="center"/>
                </w:tcPr>
                <w:p w14:paraId="29698C65">
                  <w:pPr>
                    <w:adjustRightInd w:val="0"/>
                    <w:snapToGrid w:val="0"/>
                    <w:spacing w:line="320" w:lineRule="exact"/>
                    <w:jc w:val="center"/>
                    <w:rPr>
                      <w:szCs w:val="21"/>
                    </w:rPr>
                  </w:pPr>
                  <w:r>
                    <w:rPr>
                      <w:spacing w:val="3"/>
                      <w:szCs w:val="21"/>
                    </w:rPr>
                    <w:t>0.036</w:t>
                  </w:r>
                </w:p>
              </w:tc>
              <w:tc>
                <w:tcPr>
                  <w:tcW w:w="1183" w:type="pct"/>
                  <w:gridSpan w:val="4"/>
                  <w:tcBorders>
                    <w:tl2br w:val="nil"/>
                    <w:tr2bl w:val="nil"/>
                  </w:tcBorders>
                  <w:vAlign w:val="center"/>
                </w:tcPr>
                <w:p w14:paraId="513BB982">
                  <w:pPr>
                    <w:adjustRightInd w:val="0"/>
                    <w:snapToGrid w:val="0"/>
                    <w:spacing w:line="320" w:lineRule="exact"/>
                    <w:jc w:val="center"/>
                    <w:rPr>
                      <w:szCs w:val="21"/>
                    </w:rPr>
                  </w:pPr>
                  <w:r>
                    <w:rPr>
                      <w:spacing w:val="3"/>
                      <w:szCs w:val="21"/>
                    </w:rPr>
                    <w:t>0.036</w:t>
                  </w:r>
                </w:p>
              </w:tc>
            </w:tr>
            <w:tr w14:paraId="2AF21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restart"/>
                  <w:tcBorders>
                    <w:tl2br w:val="nil"/>
                    <w:tr2bl w:val="nil"/>
                  </w:tcBorders>
                  <w:vAlign w:val="center"/>
                </w:tcPr>
                <w:p w14:paraId="2C46B8EC">
                  <w:pPr>
                    <w:adjustRightInd w:val="0"/>
                    <w:snapToGrid w:val="0"/>
                    <w:spacing w:line="320" w:lineRule="exact"/>
                    <w:jc w:val="center"/>
                    <w:rPr>
                      <w:szCs w:val="21"/>
                    </w:rPr>
                  </w:pPr>
                  <w:r>
                    <w:rPr>
                      <w:szCs w:val="21"/>
                    </w:rPr>
                    <w:t>C</w:t>
                  </w:r>
                </w:p>
              </w:tc>
              <w:tc>
                <w:tcPr>
                  <w:tcW w:w="853" w:type="pct"/>
                  <w:tcBorders>
                    <w:tl2br w:val="nil"/>
                    <w:tr2bl w:val="nil"/>
                  </w:tcBorders>
                  <w:vAlign w:val="center"/>
                </w:tcPr>
                <w:p w14:paraId="30310263">
                  <w:pPr>
                    <w:pStyle w:val="83"/>
                    <w:adjustRightInd w:val="0"/>
                    <w:snapToGrid w:val="0"/>
                    <w:spacing w:line="320" w:lineRule="exact"/>
                    <w:jc w:val="center"/>
                    <w:rPr>
                      <w:rFonts w:ascii="Times New Roman" w:hAnsi="Times New Roman" w:cs="Times New Roman"/>
                      <w:sz w:val="21"/>
                      <w:szCs w:val="21"/>
                    </w:rPr>
                  </w:pPr>
                  <w:r>
                    <w:rPr>
                      <w:rFonts w:hint="eastAsia" w:ascii="Times New Roman" w:hAnsi="Times New Roman"/>
                      <w:spacing w:val="-4"/>
                      <w:sz w:val="21"/>
                      <w:szCs w:val="21"/>
                      <w:lang w:eastAsia="zh-CN"/>
                    </w:rPr>
                    <w:t>&lt;</w:t>
                  </w:r>
                  <w:r>
                    <w:rPr>
                      <w:rFonts w:ascii="Times New Roman" w:hAnsi="Times New Roman" w:cs="Times New Roman"/>
                      <w:spacing w:val="-4"/>
                      <w:sz w:val="21"/>
                      <w:szCs w:val="21"/>
                    </w:rPr>
                    <w:t>2</w:t>
                  </w:r>
                </w:p>
              </w:tc>
              <w:tc>
                <w:tcPr>
                  <w:tcW w:w="1267" w:type="pct"/>
                  <w:gridSpan w:val="3"/>
                  <w:tcBorders>
                    <w:tl2br w:val="nil"/>
                    <w:tr2bl w:val="nil"/>
                  </w:tcBorders>
                  <w:vAlign w:val="center"/>
                </w:tcPr>
                <w:p w14:paraId="633562D5">
                  <w:pPr>
                    <w:adjustRightInd w:val="0"/>
                    <w:snapToGrid w:val="0"/>
                    <w:spacing w:line="320" w:lineRule="exact"/>
                    <w:jc w:val="center"/>
                    <w:rPr>
                      <w:szCs w:val="21"/>
                    </w:rPr>
                  </w:pPr>
                  <w:r>
                    <w:rPr>
                      <w:spacing w:val="-2"/>
                      <w:szCs w:val="21"/>
                    </w:rPr>
                    <w:t>1.85</w:t>
                  </w:r>
                </w:p>
              </w:tc>
              <w:tc>
                <w:tcPr>
                  <w:tcW w:w="1101" w:type="pct"/>
                  <w:gridSpan w:val="4"/>
                  <w:tcBorders>
                    <w:tl2br w:val="nil"/>
                    <w:tr2bl w:val="nil"/>
                  </w:tcBorders>
                  <w:vAlign w:val="center"/>
                </w:tcPr>
                <w:p w14:paraId="121D818A">
                  <w:pPr>
                    <w:adjustRightInd w:val="0"/>
                    <w:snapToGrid w:val="0"/>
                    <w:spacing w:line="320" w:lineRule="exact"/>
                    <w:jc w:val="center"/>
                    <w:rPr>
                      <w:szCs w:val="21"/>
                    </w:rPr>
                  </w:pPr>
                  <w:r>
                    <w:rPr>
                      <w:spacing w:val="-2"/>
                      <w:szCs w:val="21"/>
                    </w:rPr>
                    <w:t>1.79</w:t>
                  </w:r>
                </w:p>
              </w:tc>
              <w:tc>
                <w:tcPr>
                  <w:tcW w:w="1183" w:type="pct"/>
                  <w:gridSpan w:val="4"/>
                  <w:tcBorders>
                    <w:tl2br w:val="nil"/>
                    <w:tr2bl w:val="nil"/>
                  </w:tcBorders>
                  <w:vAlign w:val="center"/>
                </w:tcPr>
                <w:p w14:paraId="10FF3DCA">
                  <w:pPr>
                    <w:adjustRightInd w:val="0"/>
                    <w:snapToGrid w:val="0"/>
                    <w:spacing w:line="320" w:lineRule="exact"/>
                    <w:jc w:val="center"/>
                    <w:rPr>
                      <w:szCs w:val="21"/>
                    </w:rPr>
                  </w:pPr>
                  <w:r>
                    <w:rPr>
                      <w:spacing w:val="-2"/>
                      <w:szCs w:val="21"/>
                    </w:rPr>
                    <w:t>1.79</w:t>
                  </w:r>
                </w:p>
              </w:tc>
            </w:tr>
            <w:tr w14:paraId="13860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continue"/>
                  <w:tcBorders>
                    <w:tl2br w:val="nil"/>
                    <w:tr2bl w:val="nil"/>
                  </w:tcBorders>
                  <w:vAlign w:val="center"/>
                </w:tcPr>
                <w:p w14:paraId="24D35490">
                  <w:pPr>
                    <w:adjustRightInd w:val="0"/>
                    <w:snapToGrid w:val="0"/>
                    <w:spacing w:line="320" w:lineRule="exact"/>
                    <w:jc w:val="center"/>
                    <w:rPr>
                      <w:szCs w:val="21"/>
                    </w:rPr>
                  </w:pPr>
                </w:p>
              </w:tc>
              <w:tc>
                <w:tcPr>
                  <w:tcW w:w="853" w:type="pct"/>
                  <w:tcBorders>
                    <w:tl2br w:val="nil"/>
                    <w:tr2bl w:val="nil"/>
                  </w:tcBorders>
                  <w:vAlign w:val="center"/>
                </w:tcPr>
                <w:p w14:paraId="5A5FE26A">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spacing w:val="19"/>
                      <w:w w:val="125"/>
                      <w:sz w:val="21"/>
                      <w:szCs w:val="21"/>
                    </w:rPr>
                    <w:t>&gt;</w:t>
                  </w:r>
                  <w:r>
                    <w:rPr>
                      <w:rFonts w:ascii="Times New Roman" w:hAnsi="Times New Roman" w:cs="Times New Roman"/>
                      <w:spacing w:val="19"/>
                      <w:w w:val="125"/>
                      <w:sz w:val="21"/>
                      <w:szCs w:val="21"/>
                    </w:rPr>
                    <w:t>2</w:t>
                  </w:r>
                </w:p>
              </w:tc>
              <w:tc>
                <w:tcPr>
                  <w:tcW w:w="1267" w:type="pct"/>
                  <w:gridSpan w:val="3"/>
                  <w:tcBorders>
                    <w:tl2br w:val="nil"/>
                    <w:tr2bl w:val="nil"/>
                  </w:tcBorders>
                  <w:vAlign w:val="center"/>
                </w:tcPr>
                <w:p w14:paraId="2B7DEF00">
                  <w:pPr>
                    <w:adjustRightInd w:val="0"/>
                    <w:snapToGrid w:val="0"/>
                    <w:spacing w:line="320" w:lineRule="exact"/>
                    <w:jc w:val="center"/>
                    <w:rPr>
                      <w:szCs w:val="21"/>
                    </w:rPr>
                  </w:pPr>
                  <w:r>
                    <w:rPr>
                      <w:spacing w:val="-2"/>
                      <w:szCs w:val="21"/>
                    </w:rPr>
                    <w:t>1.85</w:t>
                  </w:r>
                </w:p>
              </w:tc>
              <w:tc>
                <w:tcPr>
                  <w:tcW w:w="1101" w:type="pct"/>
                  <w:gridSpan w:val="4"/>
                  <w:tcBorders>
                    <w:tl2br w:val="nil"/>
                    <w:tr2bl w:val="nil"/>
                  </w:tcBorders>
                  <w:vAlign w:val="center"/>
                </w:tcPr>
                <w:p w14:paraId="19469B75">
                  <w:pPr>
                    <w:adjustRightInd w:val="0"/>
                    <w:snapToGrid w:val="0"/>
                    <w:spacing w:line="320" w:lineRule="exact"/>
                    <w:jc w:val="center"/>
                    <w:rPr>
                      <w:szCs w:val="21"/>
                    </w:rPr>
                  </w:pPr>
                  <w:r>
                    <w:rPr>
                      <w:spacing w:val="-2"/>
                      <w:szCs w:val="21"/>
                    </w:rPr>
                    <w:t>1.77</w:t>
                  </w:r>
                </w:p>
              </w:tc>
              <w:tc>
                <w:tcPr>
                  <w:tcW w:w="1183" w:type="pct"/>
                  <w:gridSpan w:val="4"/>
                  <w:tcBorders>
                    <w:tl2br w:val="nil"/>
                    <w:tr2bl w:val="nil"/>
                  </w:tcBorders>
                  <w:vAlign w:val="center"/>
                </w:tcPr>
                <w:p w14:paraId="44C6A3C8">
                  <w:pPr>
                    <w:adjustRightInd w:val="0"/>
                    <w:snapToGrid w:val="0"/>
                    <w:spacing w:line="320" w:lineRule="exact"/>
                    <w:jc w:val="center"/>
                    <w:rPr>
                      <w:szCs w:val="21"/>
                    </w:rPr>
                  </w:pPr>
                  <w:r>
                    <w:rPr>
                      <w:spacing w:val="-2"/>
                      <w:szCs w:val="21"/>
                    </w:rPr>
                    <w:t>1.77</w:t>
                  </w:r>
                </w:p>
              </w:tc>
            </w:tr>
            <w:tr w14:paraId="00E19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93" w:type="pct"/>
                  <w:vMerge w:val="restart"/>
                  <w:tcBorders>
                    <w:tl2br w:val="nil"/>
                    <w:tr2bl w:val="nil"/>
                  </w:tcBorders>
                  <w:vAlign w:val="center"/>
                </w:tcPr>
                <w:p w14:paraId="17A2E4C3">
                  <w:pPr>
                    <w:adjustRightInd w:val="0"/>
                    <w:snapToGrid w:val="0"/>
                    <w:spacing w:line="320" w:lineRule="exact"/>
                    <w:jc w:val="center"/>
                    <w:rPr>
                      <w:szCs w:val="21"/>
                    </w:rPr>
                  </w:pPr>
                  <w:r>
                    <w:rPr>
                      <w:spacing w:val="2"/>
                      <w:szCs w:val="21"/>
                    </w:rPr>
                    <w:t>D</w:t>
                  </w:r>
                </w:p>
              </w:tc>
              <w:tc>
                <w:tcPr>
                  <w:tcW w:w="853" w:type="pct"/>
                  <w:tcBorders>
                    <w:tl2br w:val="nil"/>
                    <w:tr2bl w:val="nil"/>
                  </w:tcBorders>
                  <w:vAlign w:val="center"/>
                </w:tcPr>
                <w:p w14:paraId="5F2EBD9E">
                  <w:pPr>
                    <w:pStyle w:val="83"/>
                    <w:adjustRightInd w:val="0"/>
                    <w:snapToGrid w:val="0"/>
                    <w:spacing w:line="320" w:lineRule="exact"/>
                    <w:jc w:val="center"/>
                    <w:rPr>
                      <w:rFonts w:ascii="Times New Roman" w:hAnsi="Times New Roman" w:cs="Times New Roman"/>
                      <w:sz w:val="21"/>
                      <w:szCs w:val="21"/>
                    </w:rPr>
                  </w:pPr>
                  <w:r>
                    <w:rPr>
                      <w:rFonts w:hint="eastAsia" w:ascii="Times New Roman" w:hAnsi="Times New Roman"/>
                      <w:spacing w:val="-4"/>
                      <w:sz w:val="21"/>
                      <w:szCs w:val="21"/>
                      <w:lang w:eastAsia="zh-CN"/>
                    </w:rPr>
                    <w:t>&lt;</w:t>
                  </w:r>
                  <w:r>
                    <w:rPr>
                      <w:rFonts w:ascii="Times New Roman" w:hAnsi="Times New Roman" w:cs="Times New Roman"/>
                      <w:spacing w:val="-4"/>
                      <w:sz w:val="21"/>
                      <w:szCs w:val="21"/>
                    </w:rPr>
                    <w:t>2</w:t>
                  </w:r>
                </w:p>
              </w:tc>
              <w:tc>
                <w:tcPr>
                  <w:tcW w:w="1267" w:type="pct"/>
                  <w:gridSpan w:val="3"/>
                  <w:tcBorders>
                    <w:tl2br w:val="nil"/>
                    <w:tr2bl w:val="nil"/>
                  </w:tcBorders>
                  <w:vAlign w:val="center"/>
                </w:tcPr>
                <w:p w14:paraId="1F2D39C1">
                  <w:pPr>
                    <w:adjustRightInd w:val="0"/>
                    <w:snapToGrid w:val="0"/>
                    <w:spacing w:line="320" w:lineRule="exact"/>
                    <w:jc w:val="center"/>
                    <w:rPr>
                      <w:szCs w:val="21"/>
                    </w:rPr>
                  </w:pPr>
                  <w:r>
                    <w:rPr>
                      <w:spacing w:val="2"/>
                      <w:szCs w:val="21"/>
                    </w:rPr>
                    <w:t>0.78</w:t>
                  </w:r>
                </w:p>
              </w:tc>
              <w:tc>
                <w:tcPr>
                  <w:tcW w:w="1101" w:type="pct"/>
                  <w:gridSpan w:val="4"/>
                  <w:tcBorders>
                    <w:tl2br w:val="nil"/>
                    <w:tr2bl w:val="nil"/>
                  </w:tcBorders>
                  <w:vAlign w:val="center"/>
                </w:tcPr>
                <w:p w14:paraId="250D7569">
                  <w:pPr>
                    <w:adjustRightInd w:val="0"/>
                    <w:snapToGrid w:val="0"/>
                    <w:spacing w:line="320" w:lineRule="exact"/>
                    <w:jc w:val="center"/>
                    <w:rPr>
                      <w:szCs w:val="21"/>
                    </w:rPr>
                  </w:pPr>
                  <w:r>
                    <w:rPr>
                      <w:spacing w:val="2"/>
                      <w:szCs w:val="21"/>
                    </w:rPr>
                    <w:t>0.78</w:t>
                  </w:r>
                </w:p>
              </w:tc>
              <w:tc>
                <w:tcPr>
                  <w:tcW w:w="1183" w:type="pct"/>
                  <w:gridSpan w:val="4"/>
                  <w:tcBorders>
                    <w:tl2br w:val="nil"/>
                    <w:tr2bl w:val="nil"/>
                  </w:tcBorders>
                  <w:vAlign w:val="center"/>
                </w:tcPr>
                <w:p w14:paraId="105DFDE3">
                  <w:pPr>
                    <w:adjustRightInd w:val="0"/>
                    <w:snapToGrid w:val="0"/>
                    <w:spacing w:line="320" w:lineRule="exact"/>
                    <w:jc w:val="center"/>
                    <w:rPr>
                      <w:szCs w:val="21"/>
                    </w:rPr>
                  </w:pPr>
                  <w:r>
                    <w:rPr>
                      <w:spacing w:val="2"/>
                      <w:szCs w:val="21"/>
                    </w:rPr>
                    <w:t>0.57</w:t>
                  </w:r>
                </w:p>
              </w:tc>
            </w:tr>
            <w:tr w14:paraId="53D87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93" w:type="pct"/>
                  <w:vMerge w:val="continue"/>
                  <w:tcBorders>
                    <w:tl2br w:val="nil"/>
                    <w:tr2bl w:val="nil"/>
                  </w:tcBorders>
                  <w:vAlign w:val="center"/>
                </w:tcPr>
                <w:p w14:paraId="6A8C135C">
                  <w:pPr>
                    <w:adjustRightInd w:val="0"/>
                    <w:snapToGrid w:val="0"/>
                    <w:spacing w:line="320" w:lineRule="exact"/>
                    <w:jc w:val="center"/>
                    <w:rPr>
                      <w:szCs w:val="21"/>
                    </w:rPr>
                  </w:pPr>
                </w:p>
              </w:tc>
              <w:tc>
                <w:tcPr>
                  <w:tcW w:w="853" w:type="pct"/>
                  <w:tcBorders>
                    <w:tl2br w:val="nil"/>
                    <w:tr2bl w:val="nil"/>
                  </w:tcBorders>
                  <w:vAlign w:val="center"/>
                </w:tcPr>
                <w:p w14:paraId="1ACF9A99">
                  <w:pPr>
                    <w:pStyle w:val="83"/>
                    <w:adjustRightInd w:val="0"/>
                    <w:snapToGrid w:val="0"/>
                    <w:spacing w:line="320" w:lineRule="exact"/>
                    <w:jc w:val="center"/>
                    <w:rPr>
                      <w:rFonts w:ascii="Times New Roman" w:hAnsi="Times New Roman" w:cs="Times New Roman"/>
                      <w:sz w:val="21"/>
                      <w:szCs w:val="21"/>
                    </w:rPr>
                  </w:pPr>
                  <w:r>
                    <w:rPr>
                      <w:rFonts w:ascii="Times New Roman" w:hAnsi="Times New Roman"/>
                      <w:spacing w:val="19"/>
                      <w:w w:val="125"/>
                      <w:sz w:val="21"/>
                      <w:szCs w:val="21"/>
                    </w:rPr>
                    <w:t>&gt;</w:t>
                  </w:r>
                  <w:r>
                    <w:rPr>
                      <w:rFonts w:ascii="Times New Roman" w:hAnsi="Times New Roman" w:cs="Times New Roman"/>
                      <w:spacing w:val="19"/>
                      <w:w w:val="125"/>
                      <w:sz w:val="21"/>
                      <w:szCs w:val="21"/>
                    </w:rPr>
                    <w:t>2</w:t>
                  </w:r>
                </w:p>
              </w:tc>
              <w:tc>
                <w:tcPr>
                  <w:tcW w:w="1267" w:type="pct"/>
                  <w:gridSpan w:val="3"/>
                  <w:tcBorders>
                    <w:tl2br w:val="nil"/>
                    <w:tr2bl w:val="nil"/>
                  </w:tcBorders>
                  <w:vAlign w:val="center"/>
                </w:tcPr>
                <w:p w14:paraId="296AAD49">
                  <w:pPr>
                    <w:adjustRightInd w:val="0"/>
                    <w:snapToGrid w:val="0"/>
                    <w:spacing w:line="320" w:lineRule="exact"/>
                    <w:jc w:val="center"/>
                    <w:rPr>
                      <w:szCs w:val="21"/>
                    </w:rPr>
                  </w:pPr>
                  <w:r>
                    <w:rPr>
                      <w:spacing w:val="2"/>
                      <w:szCs w:val="21"/>
                    </w:rPr>
                    <w:t>0.84</w:t>
                  </w:r>
                </w:p>
              </w:tc>
              <w:tc>
                <w:tcPr>
                  <w:tcW w:w="1101" w:type="pct"/>
                  <w:gridSpan w:val="4"/>
                  <w:tcBorders>
                    <w:tl2br w:val="nil"/>
                    <w:tr2bl w:val="nil"/>
                  </w:tcBorders>
                  <w:vAlign w:val="center"/>
                </w:tcPr>
                <w:p w14:paraId="7C868ADB">
                  <w:pPr>
                    <w:adjustRightInd w:val="0"/>
                    <w:snapToGrid w:val="0"/>
                    <w:spacing w:line="320" w:lineRule="exact"/>
                    <w:jc w:val="center"/>
                    <w:rPr>
                      <w:szCs w:val="21"/>
                    </w:rPr>
                  </w:pPr>
                  <w:r>
                    <w:rPr>
                      <w:spacing w:val="2"/>
                      <w:szCs w:val="21"/>
                    </w:rPr>
                    <w:t>0.84</w:t>
                  </w:r>
                </w:p>
              </w:tc>
              <w:tc>
                <w:tcPr>
                  <w:tcW w:w="1183" w:type="pct"/>
                  <w:gridSpan w:val="4"/>
                  <w:tcBorders>
                    <w:tl2br w:val="nil"/>
                    <w:tr2bl w:val="nil"/>
                  </w:tcBorders>
                  <w:vAlign w:val="center"/>
                </w:tcPr>
                <w:p w14:paraId="5089DC62">
                  <w:pPr>
                    <w:adjustRightInd w:val="0"/>
                    <w:snapToGrid w:val="0"/>
                    <w:spacing w:line="320" w:lineRule="exact"/>
                    <w:jc w:val="center"/>
                    <w:rPr>
                      <w:szCs w:val="21"/>
                    </w:rPr>
                  </w:pPr>
                  <w:r>
                    <w:rPr>
                      <w:spacing w:val="2"/>
                      <w:szCs w:val="21"/>
                    </w:rPr>
                    <w:t>0.76</w:t>
                  </w:r>
                </w:p>
              </w:tc>
            </w:tr>
            <w:tr w14:paraId="6EC5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00" w:type="pct"/>
                  <w:gridSpan w:val="13"/>
                  <w:tcBorders>
                    <w:tl2br w:val="nil"/>
                    <w:tr2bl w:val="nil"/>
                  </w:tcBorders>
                  <w:vAlign w:val="center"/>
                </w:tcPr>
                <w:p w14:paraId="32CAB9F7">
                  <w:pPr>
                    <w:adjustRightInd w:val="0"/>
                    <w:snapToGrid w:val="0"/>
                    <w:spacing w:line="360" w:lineRule="auto"/>
                    <w:ind w:firstLine="422" w:firstLineChars="200"/>
                    <w:rPr>
                      <w:b/>
                      <w:bCs/>
                      <w:szCs w:val="21"/>
                    </w:rPr>
                  </w:pPr>
                  <w:r>
                    <w:rPr>
                      <w:rFonts w:hint="eastAsia"/>
                      <w:b/>
                      <w:bCs/>
                      <w:szCs w:val="21"/>
                    </w:rPr>
                    <w:t>注：工业企业大气污染源构成分为三类：</w:t>
                  </w:r>
                </w:p>
                <w:p w14:paraId="264D010A">
                  <w:pPr>
                    <w:adjustRightInd w:val="0"/>
                    <w:snapToGrid w:val="0"/>
                    <w:spacing w:line="360" w:lineRule="auto"/>
                    <w:ind w:firstLine="422" w:firstLineChars="200"/>
                    <w:rPr>
                      <w:b/>
                      <w:bCs/>
                      <w:szCs w:val="21"/>
                    </w:rPr>
                  </w:pPr>
                  <w:r>
                    <w:rPr>
                      <w:b/>
                      <w:bCs/>
                      <w:szCs w:val="21"/>
                    </w:rPr>
                    <w:t>I</w:t>
                  </w:r>
                  <w:r>
                    <w:rPr>
                      <w:rFonts w:hint="eastAsia"/>
                      <w:b/>
                      <w:bCs/>
                      <w:szCs w:val="21"/>
                    </w:rPr>
                    <w:t>类：与无组织排放源共存的排放同种有害气体的排气筒的排放量，大于标准规定的允许排放量的</w:t>
                  </w:r>
                  <w:r>
                    <w:rPr>
                      <w:b/>
                      <w:bCs/>
                      <w:szCs w:val="21"/>
                    </w:rPr>
                    <w:t>1/3</w:t>
                  </w:r>
                  <w:r>
                    <w:rPr>
                      <w:rFonts w:hint="eastAsia"/>
                      <w:b/>
                      <w:bCs/>
                      <w:szCs w:val="21"/>
                    </w:rPr>
                    <w:t>者。</w:t>
                  </w:r>
                </w:p>
                <w:p w14:paraId="732D9AF8">
                  <w:pPr>
                    <w:adjustRightInd w:val="0"/>
                    <w:snapToGrid w:val="0"/>
                    <w:spacing w:line="360" w:lineRule="auto"/>
                    <w:ind w:firstLine="422" w:firstLineChars="200"/>
                    <w:rPr>
                      <w:b/>
                      <w:bCs/>
                      <w:szCs w:val="21"/>
                    </w:rPr>
                  </w:pPr>
                  <w:r>
                    <w:rPr>
                      <w:b/>
                      <w:bCs/>
                      <w:szCs w:val="21"/>
                    </w:rPr>
                    <w:t>Ⅱ</w:t>
                  </w:r>
                  <w:r>
                    <w:rPr>
                      <w:rFonts w:hint="eastAsia"/>
                      <w:b/>
                      <w:bCs/>
                      <w:szCs w:val="21"/>
                    </w:rPr>
                    <w:t>类：与无组织排放源共存的排放同种有害气体的排气筒的排放量，小于标准规定的允许排放量的</w:t>
                  </w:r>
                  <w:r>
                    <w:rPr>
                      <w:b/>
                      <w:bCs/>
                      <w:szCs w:val="21"/>
                    </w:rPr>
                    <w:t>1/3</w:t>
                  </w:r>
                  <w:r>
                    <w:rPr>
                      <w:rFonts w:hint="eastAsia"/>
                      <w:b/>
                      <w:bCs/>
                      <w:szCs w:val="21"/>
                    </w:rPr>
                    <w:t>，或虽无排放同种大气污染物之排气筒共存，但无组织排放的有害物质的容许浓度指标是按急性反应指标确定者。</w:t>
                  </w:r>
                </w:p>
                <w:p w14:paraId="379F2118">
                  <w:pPr>
                    <w:adjustRightInd w:val="0"/>
                    <w:snapToGrid w:val="0"/>
                    <w:spacing w:line="360" w:lineRule="auto"/>
                    <w:ind w:firstLine="422" w:firstLineChars="200"/>
                    <w:rPr>
                      <w:spacing w:val="2"/>
                      <w:szCs w:val="21"/>
                    </w:rPr>
                  </w:pPr>
                  <w:r>
                    <w:rPr>
                      <w:rFonts w:hint="eastAsia"/>
                      <w:b/>
                      <w:bCs/>
                      <w:szCs w:val="21"/>
                      <w:lang w:eastAsia="zh-CN"/>
                    </w:rPr>
                    <w:t>Ⅲ</w:t>
                  </w:r>
                  <w:r>
                    <w:rPr>
                      <w:rFonts w:hint="eastAsia"/>
                      <w:b/>
                      <w:bCs/>
                      <w:szCs w:val="21"/>
                    </w:rPr>
                    <w:t>类：无排放同种有害物质的排气筒与无组织排放源共存，无组织排放的有害物质的容许浓度是按慢性反应指标确定者。</w:t>
                  </w:r>
                </w:p>
              </w:tc>
            </w:tr>
          </w:tbl>
          <w:p w14:paraId="23F7396C">
            <w:pPr>
              <w:pStyle w:val="83"/>
              <w:adjustRightInd w:val="0"/>
              <w:snapToGrid w:val="0"/>
              <w:spacing w:line="360" w:lineRule="auto"/>
              <w:ind w:firstLine="440" w:firstLineChars="200"/>
              <w:rPr>
                <w:rFonts w:ascii="Times New Roman" w:hAnsi="Times New Roman"/>
                <w:spacing w:val="-10"/>
                <w:lang w:eastAsia="zh-CN"/>
              </w:rPr>
            </w:pPr>
            <w:r>
              <w:rPr>
                <w:rFonts w:ascii="Times New Roman" w:hAnsi="Times New Roman"/>
                <w:spacing w:val="-10"/>
                <w:lang w:eastAsia="zh-CN"/>
              </w:rPr>
              <w:t>本项目所在地区平均风速为</w:t>
            </w:r>
            <w:r>
              <w:rPr>
                <w:rFonts w:hint="eastAsia" w:ascii="Times New Roman" w:hAnsi="Times New Roman" w:cs="Times New Roman"/>
                <w:spacing w:val="-10"/>
                <w:lang w:eastAsia="zh-CN"/>
              </w:rPr>
              <w:t>1.7</w:t>
            </w:r>
            <w:r>
              <w:rPr>
                <w:rFonts w:ascii="Times New Roman" w:hAnsi="Times New Roman" w:cs="Times New Roman"/>
                <w:spacing w:val="-10"/>
                <w:lang w:eastAsia="zh-CN"/>
              </w:rPr>
              <w:t>m/s</w:t>
            </w:r>
            <w:r>
              <w:rPr>
                <w:rFonts w:ascii="Times New Roman" w:hAnsi="Times New Roman"/>
                <w:spacing w:val="-10"/>
                <w:lang w:eastAsia="zh-CN"/>
              </w:rPr>
              <w:t>。结合本项目无组织排放污染物构成类别，从《制</w:t>
            </w:r>
            <w:r>
              <w:rPr>
                <w:rFonts w:ascii="Times New Roman" w:hAnsi="Times New Roman"/>
                <w:spacing w:val="-1"/>
                <w:lang w:eastAsia="zh-CN"/>
              </w:rPr>
              <w:t>定</w:t>
            </w:r>
            <w:r>
              <w:rPr>
                <w:rFonts w:ascii="Times New Roman" w:hAnsi="Times New Roman"/>
                <w:spacing w:val="-10"/>
                <w:lang w:eastAsia="zh-CN"/>
              </w:rPr>
              <w:t>地方大气污染物排放标准的技术方法》（GB/T3840-1991）中选取本次卫生防护距离计算系数为：A=</w:t>
            </w:r>
            <w:r>
              <w:rPr>
                <w:rFonts w:hint="eastAsia" w:ascii="Times New Roman" w:hAnsi="Times New Roman"/>
                <w:spacing w:val="-10"/>
                <w:lang w:eastAsia="zh-CN"/>
              </w:rPr>
              <w:t>400</w:t>
            </w:r>
            <w:r>
              <w:rPr>
                <w:rFonts w:ascii="Times New Roman" w:hAnsi="Times New Roman"/>
                <w:spacing w:val="-10"/>
                <w:lang w:eastAsia="zh-CN"/>
              </w:rPr>
              <w:t>，B=</w:t>
            </w:r>
            <w:r>
              <w:rPr>
                <w:rFonts w:hint="eastAsia" w:ascii="Times New Roman" w:hAnsi="Times New Roman"/>
                <w:spacing w:val="-10"/>
                <w:lang w:eastAsia="zh-CN"/>
              </w:rPr>
              <w:t>0.01</w:t>
            </w:r>
            <w:r>
              <w:rPr>
                <w:rFonts w:ascii="Times New Roman" w:hAnsi="Times New Roman"/>
                <w:spacing w:val="-10"/>
                <w:lang w:eastAsia="zh-CN"/>
              </w:rPr>
              <w:t>，C=1.85，D=</w:t>
            </w:r>
            <w:r>
              <w:rPr>
                <w:rFonts w:hint="eastAsia" w:ascii="Times New Roman" w:hAnsi="Times New Roman"/>
                <w:spacing w:val="-10"/>
                <w:lang w:eastAsia="zh-CN"/>
              </w:rPr>
              <w:t>0.78</w:t>
            </w:r>
            <w:r>
              <w:rPr>
                <w:rFonts w:ascii="Times New Roman" w:hAnsi="Times New Roman"/>
                <w:spacing w:val="-10"/>
                <w:lang w:eastAsia="zh-CN"/>
              </w:rPr>
              <w:t>。</w:t>
            </w:r>
          </w:p>
          <w:p w14:paraId="5E62A01A">
            <w:pPr>
              <w:pStyle w:val="83"/>
              <w:adjustRightInd w:val="0"/>
              <w:snapToGrid w:val="0"/>
              <w:spacing w:line="360" w:lineRule="auto"/>
              <w:ind w:firstLine="440" w:firstLineChars="200"/>
              <w:rPr>
                <w:rFonts w:ascii="Times New Roman" w:hAnsi="Times New Roman"/>
                <w:spacing w:val="-10"/>
                <w:lang w:eastAsia="zh-CN"/>
              </w:rPr>
            </w:pPr>
            <w:r>
              <w:rPr>
                <w:rFonts w:hint="eastAsia" w:ascii="Times New Roman" w:hAnsi="Times New Roman"/>
                <w:spacing w:val="-10"/>
                <w:lang w:eastAsia="zh-CN"/>
              </w:rPr>
              <w:t>根据《制定地方大气污染物排放标准的技术方法》（</w:t>
            </w:r>
            <w:r>
              <w:rPr>
                <w:rFonts w:ascii="Times New Roman" w:hAnsi="Times New Roman"/>
                <w:spacing w:val="-10"/>
                <w:lang w:eastAsia="zh-CN"/>
              </w:rPr>
              <w:t>GB/T 13201-91</w:t>
            </w:r>
            <w:r>
              <w:rPr>
                <w:rFonts w:hint="eastAsia" w:ascii="Times New Roman" w:hAnsi="Times New Roman"/>
                <w:spacing w:val="-10"/>
                <w:lang w:eastAsia="zh-CN"/>
              </w:rPr>
              <w:t>）中</w:t>
            </w:r>
            <w:r>
              <w:rPr>
                <w:rFonts w:ascii="Times New Roman" w:hAnsi="Times New Roman"/>
                <w:spacing w:val="-10"/>
                <w:lang w:eastAsia="zh-CN"/>
              </w:rPr>
              <w:t>7.3</w:t>
            </w:r>
            <w:r>
              <w:rPr>
                <w:rFonts w:hint="eastAsia" w:ascii="Times New Roman" w:hAnsi="Times New Roman"/>
                <w:spacing w:val="-10"/>
                <w:lang w:eastAsia="zh-CN"/>
              </w:rPr>
              <w:t>条规定， 卫生防护距离在</w:t>
            </w:r>
            <w:r>
              <w:rPr>
                <w:rFonts w:ascii="Times New Roman" w:hAnsi="Times New Roman"/>
                <w:spacing w:val="-10"/>
                <w:lang w:eastAsia="zh-CN"/>
              </w:rPr>
              <w:t>100m</w:t>
            </w:r>
            <w:r>
              <w:rPr>
                <w:rFonts w:hint="eastAsia" w:ascii="Times New Roman" w:hAnsi="Times New Roman"/>
                <w:spacing w:val="-10"/>
                <w:lang w:eastAsia="zh-CN"/>
              </w:rPr>
              <w:t>以内时，级差为</w:t>
            </w:r>
            <w:r>
              <w:rPr>
                <w:rFonts w:ascii="Times New Roman" w:hAnsi="Times New Roman"/>
                <w:spacing w:val="-10"/>
                <w:lang w:eastAsia="zh-CN"/>
              </w:rPr>
              <w:t>50m</w:t>
            </w:r>
            <w:r>
              <w:rPr>
                <w:rFonts w:hint="eastAsia" w:ascii="Times New Roman" w:hAnsi="Times New Roman"/>
                <w:spacing w:val="-10"/>
                <w:lang w:eastAsia="zh-CN"/>
              </w:rPr>
              <w:t>；超过</w:t>
            </w:r>
            <w:r>
              <w:rPr>
                <w:rFonts w:ascii="Times New Roman" w:hAnsi="Times New Roman"/>
                <w:spacing w:val="-10"/>
                <w:lang w:eastAsia="zh-CN"/>
              </w:rPr>
              <w:t>100m</w:t>
            </w:r>
            <w:r>
              <w:rPr>
                <w:rFonts w:hint="eastAsia" w:ascii="Times New Roman" w:hAnsi="Times New Roman"/>
                <w:spacing w:val="-10"/>
                <w:lang w:eastAsia="zh-CN"/>
              </w:rPr>
              <w:t>，但小于或等于</w:t>
            </w:r>
            <w:r>
              <w:rPr>
                <w:rFonts w:ascii="Times New Roman" w:hAnsi="Times New Roman"/>
                <w:spacing w:val="-10"/>
                <w:lang w:eastAsia="zh-CN"/>
              </w:rPr>
              <w:t>1000m</w:t>
            </w:r>
            <w:r>
              <w:rPr>
                <w:rFonts w:hint="eastAsia" w:ascii="Times New Roman" w:hAnsi="Times New Roman"/>
                <w:spacing w:val="-10"/>
                <w:lang w:eastAsia="zh-CN"/>
              </w:rPr>
              <w:t xml:space="preserve">时，级差为 </w:t>
            </w:r>
            <w:r>
              <w:rPr>
                <w:rFonts w:ascii="Times New Roman" w:hAnsi="Times New Roman"/>
                <w:spacing w:val="-10"/>
                <w:lang w:eastAsia="zh-CN"/>
              </w:rPr>
              <w:t>100m</w:t>
            </w:r>
            <w:r>
              <w:rPr>
                <w:rFonts w:hint="eastAsia" w:ascii="Times New Roman" w:hAnsi="Times New Roman"/>
                <w:spacing w:val="-10"/>
                <w:lang w:eastAsia="zh-CN"/>
              </w:rPr>
              <w:t>；无组织排放多种有害气体的工业企业，按</w:t>
            </w:r>
            <w:r>
              <w:rPr>
                <w:rFonts w:ascii="Times New Roman" w:hAnsi="Times New Roman"/>
                <w:spacing w:val="-10"/>
                <w:lang w:eastAsia="zh-CN"/>
              </w:rPr>
              <w:t>Qc/Cm</w:t>
            </w:r>
            <w:r>
              <w:rPr>
                <w:rFonts w:hint="eastAsia" w:ascii="Times New Roman" w:hAnsi="Times New Roman"/>
                <w:spacing w:val="-10"/>
                <w:lang w:eastAsia="zh-CN"/>
              </w:rPr>
              <w:t>的最大值计算所需卫生防护距离，但当按两种或两种以上的有害气体的</w:t>
            </w:r>
            <w:r>
              <w:rPr>
                <w:rFonts w:ascii="Times New Roman" w:hAnsi="Times New Roman"/>
                <w:spacing w:val="-10"/>
                <w:lang w:eastAsia="zh-CN"/>
              </w:rPr>
              <w:t>Qc/Cm</w:t>
            </w:r>
            <w:r>
              <w:rPr>
                <w:rFonts w:hint="eastAsia" w:ascii="Times New Roman" w:hAnsi="Times New Roman"/>
                <w:spacing w:val="-10"/>
                <w:lang w:eastAsia="zh-CN"/>
              </w:rPr>
              <w:t>值计算的卫生防护距离在同一级别时，该类工业企业的卫生防护距离级别应提高一级。</w:t>
            </w:r>
          </w:p>
          <w:p w14:paraId="08A4E44F">
            <w:pPr>
              <w:pStyle w:val="83"/>
              <w:adjustRightInd w:val="0"/>
              <w:snapToGrid w:val="0"/>
              <w:spacing w:line="360" w:lineRule="auto"/>
              <w:ind w:firstLine="464" w:firstLineChars="200"/>
              <w:rPr>
                <w:rFonts w:ascii="Times New Roman" w:hAnsi="Times New Roman"/>
                <w:spacing w:val="-4"/>
                <w:lang w:eastAsia="zh-CN"/>
              </w:rPr>
            </w:pPr>
            <w:r>
              <w:rPr>
                <w:rFonts w:ascii="Times New Roman" w:hAnsi="Times New Roman"/>
                <w:spacing w:val="-4"/>
                <w:lang w:eastAsia="zh-CN"/>
              </w:rPr>
              <w:t>计算结果见下表：</w:t>
            </w:r>
          </w:p>
          <w:p w14:paraId="38D75C87">
            <w:pPr>
              <w:jc w:val="center"/>
              <w:rPr>
                <w:b/>
                <w:bCs/>
                <w:spacing w:val="6"/>
                <w:szCs w:val="21"/>
              </w:rPr>
            </w:pPr>
            <w:r>
              <w:rPr>
                <w:rFonts w:hint="eastAsia"/>
                <w:b/>
                <w:bCs/>
                <w:szCs w:val="21"/>
              </w:rPr>
              <w:t xml:space="preserve">表4-10  </w:t>
            </w:r>
            <w:r>
              <w:rPr>
                <w:b/>
                <w:bCs/>
                <w:szCs w:val="21"/>
              </w:rPr>
              <w:t>项目卫生防护距离计算参数及结果一览表</w:t>
            </w:r>
          </w:p>
          <w:tbl>
            <w:tblPr>
              <w:tblStyle w:val="28"/>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992"/>
              <w:gridCol w:w="807"/>
              <w:gridCol w:w="1474"/>
              <w:gridCol w:w="1036"/>
              <w:gridCol w:w="1335"/>
              <w:gridCol w:w="975"/>
              <w:gridCol w:w="975"/>
              <w:gridCol w:w="877"/>
            </w:tblGrid>
            <w:tr w14:paraId="6D0335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blHeader/>
                <w:jc w:val="center"/>
              </w:trPr>
              <w:tc>
                <w:tcPr>
                  <w:tcW w:w="585" w:type="pct"/>
                  <w:tcBorders>
                    <w:tl2br w:val="nil"/>
                    <w:tr2bl w:val="nil"/>
                  </w:tcBorders>
                  <w:shd w:val="clear" w:color="auto" w:fill="auto"/>
                  <w:vAlign w:val="center"/>
                </w:tcPr>
                <w:p w14:paraId="390578DE">
                  <w:pPr>
                    <w:adjustRightInd w:val="0"/>
                    <w:snapToGrid w:val="0"/>
                    <w:spacing w:line="320" w:lineRule="exact"/>
                    <w:jc w:val="center"/>
                    <w:rPr>
                      <w:b/>
                      <w:bCs/>
                      <w:szCs w:val="21"/>
                    </w:rPr>
                  </w:pPr>
                  <w:r>
                    <w:rPr>
                      <w:b/>
                      <w:bCs/>
                      <w:szCs w:val="21"/>
                    </w:rPr>
                    <w:t>排放生产单元</w:t>
                  </w:r>
                </w:p>
              </w:tc>
              <w:tc>
                <w:tcPr>
                  <w:tcW w:w="476" w:type="pct"/>
                  <w:tcBorders>
                    <w:tl2br w:val="nil"/>
                    <w:tr2bl w:val="nil"/>
                  </w:tcBorders>
                  <w:vAlign w:val="center"/>
                </w:tcPr>
                <w:p w14:paraId="21FA9D9D">
                  <w:pPr>
                    <w:pStyle w:val="83"/>
                    <w:adjustRightInd w:val="0"/>
                    <w:snapToGrid w:val="0"/>
                    <w:spacing w:line="320" w:lineRule="exact"/>
                    <w:jc w:val="center"/>
                    <w:rPr>
                      <w:rFonts w:ascii="Times New Roman" w:hAnsi="Times New Roman"/>
                      <w:b/>
                      <w:bCs/>
                      <w:spacing w:val="-4"/>
                      <w:sz w:val="21"/>
                      <w:szCs w:val="21"/>
                    </w:rPr>
                  </w:pPr>
                  <w:r>
                    <w:rPr>
                      <w:rFonts w:ascii="Times New Roman" w:hAnsi="Times New Roman"/>
                      <w:b/>
                      <w:bCs/>
                      <w:spacing w:val="-4"/>
                      <w:sz w:val="21"/>
                      <w:szCs w:val="21"/>
                    </w:rPr>
                    <w:t>污染物</w:t>
                  </w:r>
                </w:p>
              </w:tc>
              <w:tc>
                <w:tcPr>
                  <w:tcW w:w="869" w:type="pct"/>
                  <w:tcBorders>
                    <w:tl2br w:val="nil"/>
                    <w:tr2bl w:val="nil"/>
                  </w:tcBorders>
                  <w:vAlign w:val="center"/>
                </w:tcPr>
                <w:p w14:paraId="267D5605">
                  <w:pPr>
                    <w:pStyle w:val="83"/>
                    <w:adjustRightInd w:val="0"/>
                    <w:snapToGrid w:val="0"/>
                    <w:spacing w:line="320" w:lineRule="exact"/>
                    <w:jc w:val="center"/>
                    <w:rPr>
                      <w:rFonts w:ascii="Times New Roman" w:hAnsi="Times New Roman"/>
                      <w:b/>
                      <w:bCs/>
                      <w:spacing w:val="-4"/>
                      <w:sz w:val="21"/>
                      <w:szCs w:val="21"/>
                    </w:rPr>
                  </w:pPr>
                  <w:r>
                    <w:rPr>
                      <w:rFonts w:ascii="Times New Roman" w:hAnsi="Times New Roman"/>
                      <w:b/>
                      <w:bCs/>
                      <w:spacing w:val="-4"/>
                      <w:sz w:val="21"/>
                      <w:szCs w:val="21"/>
                    </w:rPr>
                    <w:t>排放量（</w:t>
                  </w:r>
                  <w:r>
                    <w:rPr>
                      <w:rFonts w:hint="eastAsia" w:ascii="Times New Roman" w:hAnsi="Times New Roman"/>
                      <w:b/>
                      <w:bCs/>
                      <w:spacing w:val="-4"/>
                      <w:sz w:val="21"/>
                      <w:szCs w:val="21"/>
                      <w:lang w:eastAsia="zh-CN"/>
                    </w:rPr>
                    <w:t>k</w:t>
                  </w:r>
                  <w:r>
                    <w:rPr>
                      <w:rFonts w:ascii="Times New Roman" w:hAnsi="Times New Roman"/>
                      <w:b/>
                      <w:bCs/>
                      <w:spacing w:val="-4"/>
                      <w:sz w:val="21"/>
                      <w:szCs w:val="21"/>
                    </w:rPr>
                    <w:t>g/h）</w:t>
                  </w:r>
                </w:p>
              </w:tc>
              <w:tc>
                <w:tcPr>
                  <w:tcW w:w="611" w:type="pct"/>
                  <w:tcBorders>
                    <w:tl2br w:val="nil"/>
                    <w:tr2bl w:val="nil"/>
                  </w:tcBorders>
                  <w:vAlign w:val="center"/>
                </w:tcPr>
                <w:p w14:paraId="3159CA52">
                  <w:pPr>
                    <w:pStyle w:val="83"/>
                    <w:adjustRightInd w:val="0"/>
                    <w:snapToGrid w:val="0"/>
                    <w:spacing w:line="320" w:lineRule="exact"/>
                    <w:jc w:val="center"/>
                    <w:rPr>
                      <w:rFonts w:ascii="Times New Roman" w:hAnsi="Times New Roman"/>
                      <w:b/>
                      <w:bCs/>
                      <w:spacing w:val="-4"/>
                      <w:sz w:val="21"/>
                      <w:szCs w:val="21"/>
                      <w:lang w:eastAsia="zh-CN"/>
                    </w:rPr>
                  </w:pPr>
                  <w:r>
                    <w:rPr>
                      <w:rFonts w:ascii="Times New Roman" w:hAnsi="Times New Roman"/>
                      <w:b/>
                      <w:bCs/>
                      <w:spacing w:val="-4"/>
                      <w:sz w:val="21"/>
                      <w:szCs w:val="21"/>
                      <w:lang w:eastAsia="zh-CN"/>
                    </w:rPr>
                    <w:t>污染物面源面积（m</w:t>
                  </w:r>
                  <w:r>
                    <w:rPr>
                      <w:rFonts w:ascii="Times New Roman" w:hAnsi="Times New Roman"/>
                      <w:b/>
                      <w:bCs/>
                      <w:spacing w:val="-4"/>
                      <w:sz w:val="21"/>
                      <w:szCs w:val="21"/>
                      <w:vertAlign w:val="superscript"/>
                      <w:lang w:eastAsia="zh-CN"/>
                    </w:rPr>
                    <w:t>2</w:t>
                  </w:r>
                  <w:r>
                    <w:rPr>
                      <w:rFonts w:ascii="Times New Roman" w:hAnsi="Times New Roman"/>
                      <w:b/>
                      <w:bCs/>
                      <w:spacing w:val="-4"/>
                      <w:sz w:val="21"/>
                      <w:szCs w:val="21"/>
                      <w:lang w:eastAsia="zh-CN"/>
                    </w:rPr>
                    <w:t>）</w:t>
                  </w:r>
                </w:p>
              </w:tc>
              <w:tc>
                <w:tcPr>
                  <w:tcW w:w="787" w:type="pct"/>
                  <w:tcBorders>
                    <w:tl2br w:val="nil"/>
                    <w:tr2bl w:val="nil"/>
                  </w:tcBorders>
                  <w:vAlign w:val="center"/>
                </w:tcPr>
                <w:p w14:paraId="5CB370B9">
                  <w:pPr>
                    <w:pStyle w:val="83"/>
                    <w:adjustRightInd w:val="0"/>
                    <w:snapToGrid w:val="0"/>
                    <w:spacing w:line="320" w:lineRule="exact"/>
                    <w:jc w:val="center"/>
                    <w:rPr>
                      <w:rFonts w:ascii="Times New Roman" w:hAnsi="Times New Roman"/>
                      <w:b/>
                      <w:bCs/>
                      <w:spacing w:val="-4"/>
                      <w:sz w:val="21"/>
                      <w:szCs w:val="21"/>
                    </w:rPr>
                  </w:pPr>
                  <w:r>
                    <w:rPr>
                      <w:rFonts w:ascii="Times New Roman" w:hAnsi="Times New Roman"/>
                      <w:b/>
                      <w:bCs/>
                      <w:spacing w:val="-4"/>
                      <w:sz w:val="21"/>
                      <w:szCs w:val="21"/>
                    </w:rPr>
                    <w:t>标准值（mg/</w:t>
                  </w:r>
                  <w:r>
                    <w:rPr>
                      <w:rFonts w:ascii="Times New Roman" w:hAnsi="Times New Roman"/>
                      <w:b/>
                      <w:bCs/>
                      <w:spacing w:val="-4"/>
                      <w:sz w:val="21"/>
                      <w:szCs w:val="21"/>
                      <w:lang w:eastAsia="zh-CN"/>
                    </w:rPr>
                    <w:t>m³</w:t>
                  </w:r>
                  <w:r>
                    <w:rPr>
                      <w:rFonts w:ascii="Times New Roman" w:hAnsi="Times New Roman"/>
                      <w:b/>
                      <w:bCs/>
                      <w:spacing w:val="-4"/>
                      <w:sz w:val="21"/>
                      <w:szCs w:val="21"/>
                    </w:rPr>
                    <w:t>）</w:t>
                  </w:r>
                </w:p>
              </w:tc>
              <w:tc>
                <w:tcPr>
                  <w:tcW w:w="575" w:type="pct"/>
                  <w:tcBorders>
                    <w:tl2br w:val="nil"/>
                    <w:tr2bl w:val="nil"/>
                  </w:tcBorders>
                  <w:vAlign w:val="center"/>
                </w:tcPr>
                <w:p w14:paraId="6AF8473D">
                  <w:pPr>
                    <w:pStyle w:val="83"/>
                    <w:adjustRightInd w:val="0"/>
                    <w:snapToGrid w:val="0"/>
                    <w:spacing w:line="320" w:lineRule="exact"/>
                    <w:jc w:val="center"/>
                    <w:rPr>
                      <w:rFonts w:ascii="Times New Roman" w:hAnsi="Times New Roman"/>
                      <w:b/>
                      <w:bCs/>
                      <w:spacing w:val="-4"/>
                      <w:sz w:val="21"/>
                      <w:szCs w:val="21"/>
                    </w:rPr>
                  </w:pPr>
                  <w:r>
                    <w:rPr>
                      <w:rFonts w:ascii="Times New Roman" w:hAnsi="Times New Roman"/>
                      <w:b/>
                      <w:bCs/>
                      <w:spacing w:val="-4"/>
                      <w:sz w:val="21"/>
                      <w:szCs w:val="21"/>
                    </w:rPr>
                    <w:t>等标排放量Qc/Cm</w:t>
                  </w:r>
                </w:p>
              </w:tc>
              <w:tc>
                <w:tcPr>
                  <w:tcW w:w="575" w:type="pct"/>
                  <w:tcBorders>
                    <w:tl2br w:val="nil"/>
                    <w:tr2bl w:val="nil"/>
                  </w:tcBorders>
                  <w:vAlign w:val="center"/>
                </w:tcPr>
                <w:p w14:paraId="51D1EDCA">
                  <w:pPr>
                    <w:pStyle w:val="83"/>
                    <w:adjustRightInd w:val="0"/>
                    <w:snapToGrid w:val="0"/>
                    <w:spacing w:line="320" w:lineRule="exact"/>
                    <w:jc w:val="center"/>
                    <w:rPr>
                      <w:rFonts w:ascii="Times New Roman" w:hAnsi="Times New Roman"/>
                      <w:b/>
                      <w:bCs/>
                      <w:spacing w:val="-4"/>
                      <w:sz w:val="21"/>
                      <w:szCs w:val="21"/>
                      <w:lang w:eastAsia="zh-CN"/>
                    </w:rPr>
                  </w:pPr>
                  <w:r>
                    <w:rPr>
                      <w:rFonts w:ascii="Times New Roman" w:hAnsi="Times New Roman"/>
                      <w:b/>
                      <w:bCs/>
                      <w:spacing w:val="-4"/>
                      <w:sz w:val="21"/>
                      <w:szCs w:val="21"/>
                    </w:rPr>
                    <w:t>卫生防护距离</w:t>
                  </w:r>
                  <w:r>
                    <w:rPr>
                      <w:rFonts w:ascii="Times New Roman" w:hAnsi="Times New Roman"/>
                      <w:b/>
                      <w:bCs/>
                      <w:spacing w:val="-4"/>
                      <w:sz w:val="21"/>
                      <w:szCs w:val="21"/>
                      <w:lang w:eastAsia="zh-CN"/>
                    </w:rPr>
                    <w:t>（</w:t>
                  </w:r>
                  <w:r>
                    <w:rPr>
                      <w:rFonts w:ascii="Times New Roman" w:hAnsi="Times New Roman"/>
                      <w:b/>
                      <w:bCs/>
                      <w:spacing w:val="-4"/>
                      <w:sz w:val="21"/>
                      <w:szCs w:val="21"/>
                    </w:rPr>
                    <w:t>m</w:t>
                  </w:r>
                  <w:r>
                    <w:rPr>
                      <w:rFonts w:ascii="Times New Roman" w:hAnsi="Times New Roman"/>
                      <w:b/>
                      <w:bCs/>
                      <w:spacing w:val="-4"/>
                      <w:sz w:val="21"/>
                      <w:szCs w:val="21"/>
                      <w:lang w:eastAsia="zh-CN"/>
                    </w:rPr>
                    <w:t>）</w:t>
                  </w:r>
                </w:p>
              </w:tc>
              <w:tc>
                <w:tcPr>
                  <w:tcW w:w="517" w:type="pct"/>
                  <w:tcBorders>
                    <w:tl2br w:val="nil"/>
                    <w:tr2bl w:val="nil"/>
                  </w:tcBorders>
                  <w:vAlign w:val="center"/>
                </w:tcPr>
                <w:p w14:paraId="7D9C3752">
                  <w:pPr>
                    <w:pStyle w:val="83"/>
                    <w:adjustRightInd w:val="0"/>
                    <w:snapToGrid w:val="0"/>
                    <w:spacing w:line="320" w:lineRule="exact"/>
                    <w:jc w:val="center"/>
                    <w:rPr>
                      <w:rFonts w:ascii="Times New Roman" w:hAnsi="Times New Roman"/>
                      <w:b/>
                      <w:bCs/>
                      <w:spacing w:val="-4"/>
                      <w:sz w:val="21"/>
                      <w:szCs w:val="21"/>
                      <w:lang w:eastAsia="zh-CN"/>
                    </w:rPr>
                  </w:pPr>
                  <w:r>
                    <w:rPr>
                      <w:rFonts w:ascii="Times New Roman" w:hAnsi="Times New Roman"/>
                      <w:b/>
                      <w:bCs/>
                      <w:spacing w:val="-4"/>
                      <w:sz w:val="21"/>
                      <w:szCs w:val="21"/>
                      <w:lang w:eastAsia="zh-CN"/>
                    </w:rPr>
                    <w:t>提级后</w:t>
                  </w:r>
                  <w:r>
                    <w:rPr>
                      <w:rFonts w:ascii="Times New Roman" w:hAnsi="Times New Roman"/>
                      <w:b/>
                      <w:bCs/>
                      <w:spacing w:val="-4"/>
                      <w:sz w:val="21"/>
                      <w:szCs w:val="21"/>
                    </w:rPr>
                    <w:t>（m）</w:t>
                  </w:r>
                </w:p>
              </w:tc>
            </w:tr>
            <w:tr w14:paraId="714DC1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85" w:type="pct"/>
                  <w:vMerge w:val="restart"/>
                  <w:tcBorders>
                    <w:tl2br w:val="nil"/>
                    <w:tr2bl w:val="nil"/>
                  </w:tcBorders>
                  <w:vAlign w:val="center"/>
                </w:tcPr>
                <w:p w14:paraId="2F38D017">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垃圾站房、卸料平台、污水处理车间</w:t>
                  </w:r>
                </w:p>
              </w:tc>
              <w:tc>
                <w:tcPr>
                  <w:tcW w:w="476" w:type="pct"/>
                  <w:tcBorders>
                    <w:tl2br w:val="nil"/>
                    <w:tr2bl w:val="nil"/>
                  </w:tcBorders>
                  <w:shd w:val="clear" w:color="auto" w:fill="auto"/>
                  <w:vAlign w:val="center"/>
                </w:tcPr>
                <w:p w14:paraId="3193DA19">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颗粒物</w:t>
                  </w:r>
                </w:p>
              </w:tc>
              <w:tc>
                <w:tcPr>
                  <w:tcW w:w="1474" w:type="dxa"/>
                  <w:tcBorders>
                    <w:tl2br w:val="nil"/>
                    <w:tr2bl w:val="nil"/>
                  </w:tcBorders>
                  <w:vAlign w:val="center"/>
                </w:tcPr>
                <w:p w14:paraId="1022BF76">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 xml:space="preserve">0.044 </w:t>
                  </w:r>
                </w:p>
              </w:tc>
              <w:tc>
                <w:tcPr>
                  <w:tcW w:w="1036" w:type="dxa"/>
                  <w:vMerge w:val="restart"/>
                  <w:tcBorders>
                    <w:tl2br w:val="nil"/>
                    <w:tr2bl w:val="nil"/>
                  </w:tcBorders>
                  <w:vAlign w:val="center"/>
                </w:tcPr>
                <w:p w14:paraId="2017C532">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886.82</w:t>
                  </w:r>
                </w:p>
              </w:tc>
              <w:tc>
                <w:tcPr>
                  <w:tcW w:w="1335" w:type="dxa"/>
                  <w:tcBorders>
                    <w:tl2br w:val="nil"/>
                    <w:tr2bl w:val="nil"/>
                  </w:tcBorders>
                  <w:vAlign w:val="center"/>
                </w:tcPr>
                <w:p w14:paraId="4AF4D2E6">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0.9</w:t>
                  </w:r>
                </w:p>
              </w:tc>
              <w:tc>
                <w:tcPr>
                  <w:tcW w:w="975" w:type="dxa"/>
                  <w:tcBorders>
                    <w:tl2br w:val="nil"/>
                    <w:tr2bl w:val="nil"/>
                  </w:tcBorders>
                  <w:vAlign w:val="center"/>
                </w:tcPr>
                <w:p w14:paraId="2D4BA330">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 xml:space="preserve">0.05 </w:t>
                  </w:r>
                </w:p>
              </w:tc>
              <w:tc>
                <w:tcPr>
                  <w:tcW w:w="575" w:type="pct"/>
                  <w:tcBorders>
                    <w:tl2br w:val="nil"/>
                    <w:tr2bl w:val="nil"/>
                  </w:tcBorders>
                  <w:vAlign w:val="center"/>
                </w:tcPr>
                <w:p w14:paraId="49C035EA">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2.95</w:t>
                  </w:r>
                </w:p>
              </w:tc>
              <w:tc>
                <w:tcPr>
                  <w:tcW w:w="517" w:type="pct"/>
                  <w:vMerge w:val="restart"/>
                  <w:tcBorders>
                    <w:tl2br w:val="nil"/>
                    <w:tr2bl w:val="nil"/>
                  </w:tcBorders>
                  <w:vAlign w:val="center"/>
                </w:tcPr>
                <w:p w14:paraId="6DE124CD">
                  <w:pPr>
                    <w:pStyle w:val="83"/>
                    <w:adjustRightInd w:val="0"/>
                    <w:snapToGrid w:val="0"/>
                    <w:spacing w:line="320" w:lineRule="exact"/>
                    <w:jc w:val="center"/>
                    <w:rPr>
                      <w:rFonts w:ascii="Times New Roman" w:hAnsi="Times New Roman"/>
                      <w:spacing w:val="-4"/>
                      <w:sz w:val="21"/>
                      <w:szCs w:val="21"/>
                      <w:highlight w:val="cyan"/>
                      <w:lang w:eastAsia="zh-CN"/>
                    </w:rPr>
                  </w:pPr>
                  <w:r>
                    <w:rPr>
                      <w:rFonts w:hint="eastAsia" w:ascii="Times New Roman" w:hAnsi="Times New Roman"/>
                      <w:spacing w:val="-4"/>
                      <w:sz w:val="21"/>
                      <w:szCs w:val="21"/>
                      <w:lang w:eastAsia="zh-CN"/>
                    </w:rPr>
                    <w:t>100</w:t>
                  </w:r>
                </w:p>
              </w:tc>
            </w:tr>
            <w:tr w14:paraId="4976C6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5" w:type="pct"/>
                  <w:vMerge w:val="continue"/>
                  <w:tcBorders>
                    <w:tl2br w:val="nil"/>
                    <w:tr2bl w:val="nil"/>
                  </w:tcBorders>
                  <w:shd w:val="clear" w:color="auto" w:fill="auto"/>
                  <w:vAlign w:val="center"/>
                </w:tcPr>
                <w:p w14:paraId="4F0B4D88">
                  <w:pPr>
                    <w:pStyle w:val="83"/>
                    <w:adjustRightInd w:val="0"/>
                    <w:snapToGrid w:val="0"/>
                    <w:spacing w:line="320" w:lineRule="exact"/>
                    <w:jc w:val="center"/>
                    <w:rPr>
                      <w:rFonts w:ascii="Times New Roman" w:hAnsi="Times New Roman"/>
                      <w:spacing w:val="-4"/>
                      <w:sz w:val="21"/>
                      <w:szCs w:val="21"/>
                      <w:lang w:eastAsia="zh-CN"/>
                    </w:rPr>
                  </w:pPr>
                </w:p>
              </w:tc>
              <w:tc>
                <w:tcPr>
                  <w:tcW w:w="476" w:type="pct"/>
                  <w:tcBorders>
                    <w:tl2br w:val="nil"/>
                    <w:tr2bl w:val="nil"/>
                  </w:tcBorders>
                  <w:vAlign w:val="center"/>
                </w:tcPr>
                <w:p w14:paraId="7FAA2BDA">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氨气</w:t>
                  </w:r>
                </w:p>
              </w:tc>
              <w:tc>
                <w:tcPr>
                  <w:tcW w:w="1474" w:type="dxa"/>
                  <w:tcBorders>
                    <w:tl2br w:val="nil"/>
                    <w:tr2bl w:val="nil"/>
                  </w:tcBorders>
                  <w:vAlign w:val="center"/>
                </w:tcPr>
                <w:p w14:paraId="3E61350B">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 xml:space="preserve">0.061 </w:t>
                  </w:r>
                </w:p>
              </w:tc>
              <w:tc>
                <w:tcPr>
                  <w:tcW w:w="1036" w:type="dxa"/>
                  <w:vMerge w:val="continue"/>
                  <w:tcBorders>
                    <w:tl2br w:val="nil"/>
                    <w:tr2bl w:val="nil"/>
                  </w:tcBorders>
                  <w:vAlign w:val="center"/>
                </w:tcPr>
                <w:p w14:paraId="323CC1BC">
                  <w:pPr>
                    <w:pStyle w:val="83"/>
                    <w:adjustRightInd w:val="0"/>
                    <w:snapToGrid w:val="0"/>
                    <w:spacing w:line="320" w:lineRule="exact"/>
                    <w:jc w:val="center"/>
                    <w:rPr>
                      <w:rFonts w:ascii="Times New Roman" w:hAnsi="Times New Roman"/>
                      <w:spacing w:val="-4"/>
                      <w:sz w:val="21"/>
                      <w:szCs w:val="21"/>
                      <w:lang w:eastAsia="zh-CN"/>
                    </w:rPr>
                  </w:pPr>
                </w:p>
              </w:tc>
              <w:tc>
                <w:tcPr>
                  <w:tcW w:w="1335" w:type="dxa"/>
                  <w:tcBorders>
                    <w:tl2br w:val="nil"/>
                    <w:tr2bl w:val="nil"/>
                  </w:tcBorders>
                  <w:shd w:val="clear" w:color="auto" w:fill="auto"/>
                  <w:vAlign w:val="center"/>
                </w:tcPr>
                <w:p w14:paraId="5FE121DC">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0.2</w:t>
                  </w:r>
                </w:p>
              </w:tc>
              <w:tc>
                <w:tcPr>
                  <w:tcW w:w="975" w:type="dxa"/>
                  <w:tcBorders>
                    <w:tl2br w:val="nil"/>
                    <w:tr2bl w:val="nil"/>
                  </w:tcBorders>
                  <w:vAlign w:val="center"/>
                </w:tcPr>
                <w:p w14:paraId="5ADCE995">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 xml:space="preserve">0.30 </w:t>
                  </w:r>
                </w:p>
              </w:tc>
              <w:tc>
                <w:tcPr>
                  <w:tcW w:w="575" w:type="pct"/>
                  <w:tcBorders>
                    <w:tl2br w:val="nil"/>
                    <w:tr2bl w:val="nil"/>
                  </w:tcBorders>
                  <w:vAlign w:val="center"/>
                </w:tcPr>
                <w:p w14:paraId="67F9F236">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29.5</w:t>
                  </w:r>
                </w:p>
              </w:tc>
              <w:tc>
                <w:tcPr>
                  <w:tcW w:w="517" w:type="pct"/>
                  <w:vMerge w:val="continue"/>
                  <w:tcBorders>
                    <w:tl2br w:val="nil"/>
                    <w:tr2bl w:val="nil"/>
                  </w:tcBorders>
                  <w:vAlign w:val="center"/>
                </w:tcPr>
                <w:p w14:paraId="7ACDEFD5">
                  <w:pPr>
                    <w:pStyle w:val="85"/>
                    <w:adjustRightInd w:val="0"/>
                    <w:snapToGrid w:val="0"/>
                    <w:rPr>
                      <w:szCs w:val="21"/>
                    </w:rPr>
                  </w:pPr>
                </w:p>
              </w:tc>
            </w:tr>
            <w:tr w14:paraId="28B27D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85" w:type="pct"/>
                  <w:vMerge w:val="continue"/>
                  <w:tcBorders>
                    <w:tl2br w:val="nil"/>
                    <w:tr2bl w:val="nil"/>
                  </w:tcBorders>
                  <w:shd w:val="clear" w:color="auto" w:fill="auto"/>
                  <w:vAlign w:val="center"/>
                </w:tcPr>
                <w:p w14:paraId="6C96BF25">
                  <w:pPr>
                    <w:pStyle w:val="83"/>
                    <w:adjustRightInd w:val="0"/>
                    <w:snapToGrid w:val="0"/>
                    <w:spacing w:line="320" w:lineRule="exact"/>
                    <w:jc w:val="center"/>
                    <w:rPr>
                      <w:rFonts w:ascii="Times New Roman" w:hAnsi="Times New Roman"/>
                      <w:spacing w:val="-4"/>
                      <w:sz w:val="21"/>
                      <w:szCs w:val="21"/>
                      <w:lang w:eastAsia="zh-CN"/>
                    </w:rPr>
                  </w:pPr>
                </w:p>
              </w:tc>
              <w:tc>
                <w:tcPr>
                  <w:tcW w:w="476" w:type="pct"/>
                  <w:tcBorders>
                    <w:tl2br w:val="nil"/>
                    <w:tr2bl w:val="nil"/>
                  </w:tcBorders>
                  <w:shd w:val="clear" w:color="auto" w:fill="auto"/>
                  <w:vAlign w:val="center"/>
                </w:tcPr>
                <w:p w14:paraId="6E2FE3C7">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硫化氢</w:t>
                  </w:r>
                </w:p>
              </w:tc>
              <w:tc>
                <w:tcPr>
                  <w:tcW w:w="1474" w:type="dxa"/>
                  <w:tcBorders>
                    <w:tl2br w:val="nil"/>
                    <w:tr2bl w:val="nil"/>
                  </w:tcBorders>
                  <w:vAlign w:val="center"/>
                </w:tcPr>
                <w:p w14:paraId="3E423484">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0.006</w:t>
                  </w:r>
                </w:p>
              </w:tc>
              <w:tc>
                <w:tcPr>
                  <w:tcW w:w="1036" w:type="dxa"/>
                  <w:vMerge w:val="continue"/>
                  <w:tcBorders>
                    <w:tl2br w:val="nil"/>
                    <w:tr2bl w:val="nil"/>
                  </w:tcBorders>
                  <w:vAlign w:val="center"/>
                </w:tcPr>
                <w:p w14:paraId="0CE58319">
                  <w:pPr>
                    <w:pStyle w:val="83"/>
                    <w:adjustRightInd w:val="0"/>
                    <w:snapToGrid w:val="0"/>
                    <w:spacing w:line="320" w:lineRule="exact"/>
                    <w:jc w:val="center"/>
                    <w:rPr>
                      <w:rFonts w:ascii="Times New Roman" w:hAnsi="Times New Roman"/>
                      <w:spacing w:val="-4"/>
                      <w:sz w:val="21"/>
                      <w:szCs w:val="21"/>
                      <w:lang w:eastAsia="zh-CN"/>
                    </w:rPr>
                  </w:pPr>
                </w:p>
              </w:tc>
              <w:tc>
                <w:tcPr>
                  <w:tcW w:w="1335" w:type="dxa"/>
                  <w:tcBorders>
                    <w:tl2br w:val="nil"/>
                    <w:tr2bl w:val="nil"/>
                  </w:tcBorders>
                  <w:shd w:val="clear" w:color="auto" w:fill="auto"/>
                  <w:vAlign w:val="center"/>
                </w:tcPr>
                <w:p w14:paraId="5BE31313">
                  <w:pPr>
                    <w:pStyle w:val="83"/>
                    <w:adjustRightInd w:val="0"/>
                    <w:snapToGrid w:val="0"/>
                    <w:spacing w:line="320" w:lineRule="exact"/>
                    <w:jc w:val="center"/>
                    <w:rPr>
                      <w:rFonts w:ascii="Times New Roman" w:hAnsi="Times New Roman"/>
                      <w:spacing w:val="-4"/>
                      <w:sz w:val="21"/>
                      <w:szCs w:val="21"/>
                      <w:lang w:eastAsia="zh-CN"/>
                    </w:rPr>
                  </w:pPr>
                  <w:r>
                    <w:rPr>
                      <w:rFonts w:ascii="Times New Roman" w:hAnsi="Times New Roman"/>
                      <w:spacing w:val="-4"/>
                      <w:sz w:val="21"/>
                      <w:szCs w:val="21"/>
                      <w:lang w:eastAsia="zh-CN"/>
                    </w:rPr>
                    <w:t>0.01</w:t>
                  </w:r>
                </w:p>
              </w:tc>
              <w:tc>
                <w:tcPr>
                  <w:tcW w:w="975" w:type="dxa"/>
                  <w:tcBorders>
                    <w:tl2br w:val="nil"/>
                    <w:tr2bl w:val="nil"/>
                  </w:tcBorders>
                  <w:vAlign w:val="center"/>
                </w:tcPr>
                <w:p w14:paraId="315F9433">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0.57</w:t>
                  </w:r>
                </w:p>
              </w:tc>
              <w:tc>
                <w:tcPr>
                  <w:tcW w:w="575" w:type="pct"/>
                  <w:tcBorders>
                    <w:tl2br w:val="nil"/>
                    <w:tr2bl w:val="nil"/>
                  </w:tcBorders>
                  <w:vAlign w:val="center"/>
                </w:tcPr>
                <w:p w14:paraId="3AC52944">
                  <w:pPr>
                    <w:pStyle w:val="83"/>
                    <w:adjustRightInd w:val="0"/>
                    <w:snapToGrid w:val="0"/>
                    <w:spacing w:line="320" w:lineRule="exact"/>
                    <w:jc w:val="center"/>
                    <w:rPr>
                      <w:rFonts w:ascii="Times New Roman" w:hAnsi="Times New Roman"/>
                      <w:spacing w:val="-4"/>
                      <w:sz w:val="21"/>
                      <w:szCs w:val="21"/>
                      <w:lang w:eastAsia="zh-CN"/>
                    </w:rPr>
                  </w:pPr>
                  <w:r>
                    <w:rPr>
                      <w:rFonts w:hint="eastAsia" w:ascii="Times New Roman" w:hAnsi="Times New Roman"/>
                      <w:spacing w:val="-4"/>
                      <w:sz w:val="21"/>
                      <w:szCs w:val="21"/>
                      <w:lang w:eastAsia="zh-CN"/>
                    </w:rPr>
                    <w:t>62.28</w:t>
                  </w:r>
                </w:p>
              </w:tc>
              <w:tc>
                <w:tcPr>
                  <w:tcW w:w="517" w:type="pct"/>
                  <w:vMerge w:val="continue"/>
                  <w:tcBorders>
                    <w:tl2br w:val="nil"/>
                    <w:tr2bl w:val="nil"/>
                  </w:tcBorders>
                  <w:vAlign w:val="center"/>
                </w:tcPr>
                <w:p w14:paraId="38CCED25">
                  <w:pPr>
                    <w:pStyle w:val="85"/>
                    <w:adjustRightInd w:val="0"/>
                    <w:snapToGrid w:val="0"/>
                    <w:rPr>
                      <w:szCs w:val="21"/>
                    </w:rPr>
                  </w:pPr>
                </w:p>
              </w:tc>
            </w:tr>
          </w:tbl>
          <w:p w14:paraId="627E0382">
            <w:pPr>
              <w:spacing w:line="360" w:lineRule="auto"/>
              <w:ind w:firstLine="480" w:firstLineChars="200"/>
              <w:rPr>
                <w:sz w:val="24"/>
                <w:lang w:bidi="ar"/>
              </w:rPr>
            </w:pPr>
            <w:r>
              <w:rPr>
                <w:sz w:val="24"/>
                <w:lang w:bidi="ar"/>
              </w:rPr>
              <w:t>本次评价确定本项目卫生防护距离以</w:t>
            </w:r>
            <w:r>
              <w:rPr>
                <w:rFonts w:hint="eastAsia"/>
                <w:sz w:val="24"/>
                <w:lang w:bidi="ar"/>
              </w:rPr>
              <w:t>转运站房、污水处理车间</w:t>
            </w:r>
            <w:r>
              <w:rPr>
                <w:sz w:val="24"/>
                <w:lang w:bidi="ar"/>
              </w:rPr>
              <w:t>边界所围成的</w:t>
            </w:r>
            <w:r>
              <w:rPr>
                <w:rFonts w:hint="eastAsia"/>
                <w:sz w:val="24"/>
                <w:lang w:eastAsia="zh-CN" w:bidi="ar"/>
              </w:rPr>
              <w:t>面积</w:t>
            </w:r>
            <w:r>
              <w:rPr>
                <w:sz w:val="24"/>
                <w:lang w:bidi="ar"/>
              </w:rPr>
              <w:t>为</w:t>
            </w:r>
            <w:r>
              <w:rPr>
                <w:rFonts w:hint="eastAsia"/>
                <w:sz w:val="24"/>
                <w:lang w:bidi="ar"/>
              </w:rPr>
              <w:t>边界</w:t>
            </w:r>
            <w:r>
              <w:rPr>
                <w:sz w:val="24"/>
                <w:lang w:bidi="ar"/>
              </w:rPr>
              <w:t>划定</w:t>
            </w:r>
            <w:r>
              <w:rPr>
                <w:rFonts w:hint="eastAsia"/>
                <w:sz w:val="24"/>
                <w:lang w:bidi="ar"/>
              </w:rPr>
              <w:t>100</w:t>
            </w:r>
            <w:r>
              <w:rPr>
                <w:sz w:val="24"/>
                <w:lang w:bidi="ar"/>
              </w:rPr>
              <w:t>m范围。</w:t>
            </w:r>
            <w:r>
              <w:rPr>
                <w:rFonts w:hint="eastAsia"/>
                <w:sz w:val="24"/>
                <w:lang w:bidi="ar"/>
              </w:rPr>
              <w:t>由项目外环境关系可知，本项目卫生防护距离无居民分布。</w:t>
            </w:r>
          </w:p>
          <w:p w14:paraId="17597AD4">
            <w:pPr>
              <w:spacing w:line="360" w:lineRule="auto"/>
              <w:ind w:firstLine="480" w:firstLineChars="200"/>
              <w:rPr>
                <w:sz w:val="24"/>
                <w:lang w:bidi="ar"/>
              </w:rPr>
            </w:pPr>
            <w:r>
              <w:rPr>
                <w:sz w:val="24"/>
                <w:lang w:bidi="ar"/>
              </w:rPr>
              <w:t>环评要求：在卫生防护距离范围内不得引入制药、食品</w:t>
            </w:r>
            <w:r>
              <w:rPr>
                <w:rFonts w:hint="eastAsia"/>
                <w:sz w:val="24"/>
                <w:lang w:bidi="ar"/>
              </w:rPr>
              <w:t>、宅基地</w:t>
            </w:r>
            <w:r>
              <w:rPr>
                <w:sz w:val="24"/>
                <w:lang w:bidi="ar"/>
              </w:rPr>
              <w:t>等对大气环境有特殊要求的企业，不得建设居民集中居住区、学校、医院等特殊敏感保护目标。</w:t>
            </w:r>
          </w:p>
          <w:p w14:paraId="5EC9E05E">
            <w:pPr>
              <w:spacing w:line="360" w:lineRule="auto"/>
              <w:ind w:firstLine="480" w:firstLineChars="200"/>
              <w:rPr>
                <w:b/>
                <w:bCs/>
                <w:kern w:val="0"/>
                <w:sz w:val="24"/>
                <w:lang w:bidi="ar"/>
              </w:rPr>
            </w:pPr>
            <w:r>
              <w:rPr>
                <w:sz w:val="24"/>
                <w:lang w:bidi="ar"/>
              </w:rPr>
              <w:t>综上，评价认为本项目营运产生的废气经治理后，在确保达标排放的情况下对评价区域内大气环境质量影响较小。废气治理措施有效可行，不会</w:t>
            </w:r>
            <w:r>
              <w:rPr>
                <w:sz w:val="24"/>
              </w:rPr>
              <w:t>对区域大气环境产生明显的不良影响，不会改变其现有环境质量功能和级别</w:t>
            </w:r>
            <w:r>
              <w:rPr>
                <w:b/>
                <w:bCs/>
                <w:spacing w:val="-1"/>
              </w:rPr>
              <w:t>。</w:t>
            </w:r>
          </w:p>
          <w:p w14:paraId="01B16FB0">
            <w:pPr>
              <w:widowControl/>
              <w:spacing w:before="120" w:beforeLines="50" w:line="360" w:lineRule="auto"/>
              <w:ind w:firstLine="482" w:firstLineChars="200"/>
              <w:jc w:val="left"/>
              <w:rPr>
                <w:b/>
                <w:bCs/>
                <w:kern w:val="0"/>
                <w:sz w:val="24"/>
                <w:lang w:bidi="ar"/>
              </w:rPr>
            </w:pPr>
            <w:r>
              <w:rPr>
                <w:rFonts w:hint="eastAsia"/>
                <w:b/>
                <w:bCs/>
                <w:kern w:val="0"/>
                <w:sz w:val="24"/>
                <w:lang w:bidi="ar"/>
              </w:rPr>
              <w:t>7、</w:t>
            </w:r>
            <w:r>
              <w:rPr>
                <w:b/>
                <w:bCs/>
                <w:sz w:val="24"/>
              </w:rPr>
              <w:t>监测</w:t>
            </w:r>
            <w:r>
              <w:rPr>
                <w:rFonts w:hint="eastAsia"/>
                <w:b/>
                <w:bCs/>
                <w:sz w:val="24"/>
              </w:rPr>
              <w:t>计划</w:t>
            </w:r>
          </w:p>
          <w:p w14:paraId="0F1657E1">
            <w:pPr>
              <w:tabs>
                <w:tab w:val="left" w:pos="2010"/>
              </w:tabs>
              <w:adjustRightInd w:val="0"/>
              <w:snapToGrid w:val="0"/>
              <w:spacing w:line="360" w:lineRule="auto"/>
              <w:ind w:firstLine="480" w:firstLineChars="200"/>
              <w:rPr>
                <w:sz w:val="24"/>
              </w:rPr>
            </w:pPr>
            <w:r>
              <w:rPr>
                <w:sz w:val="24"/>
              </w:rPr>
              <w:t>根据</w:t>
            </w:r>
            <w:r>
              <w:rPr>
                <w:rFonts w:hint="eastAsia"/>
                <w:bCs/>
                <w:sz w:val="24"/>
              </w:rPr>
              <w:t>《固定污染源排污许可分类管理名录（2020版）》，本项目日转运能力为240t，属于简化管理。</w:t>
            </w:r>
          </w:p>
          <w:p w14:paraId="67361B45">
            <w:pPr>
              <w:tabs>
                <w:tab w:val="left" w:pos="2010"/>
              </w:tabs>
              <w:adjustRightInd w:val="0"/>
              <w:snapToGrid w:val="0"/>
              <w:spacing w:line="360" w:lineRule="auto"/>
              <w:ind w:firstLine="480" w:firstLineChars="200"/>
              <w:rPr>
                <w:bCs/>
                <w:sz w:val="24"/>
              </w:rPr>
            </w:pPr>
            <w:r>
              <w:rPr>
                <w:rFonts w:hint="eastAsia"/>
                <w:sz w:val="24"/>
              </w:rPr>
              <w:t>根据</w:t>
            </w:r>
            <w:r>
              <w:rPr>
                <w:sz w:val="24"/>
              </w:rPr>
              <w:t>《排污许可证申请与核发技术规范 总则》（HJ942-2018）、《排污许可证申请与核发技术规范 环境卫生管理业》（HJ1106-2020）及《排污单位自行监测技术指南总则》（HJ819-2017），本项目运营期废气环境监测计划如下表</w:t>
            </w:r>
            <w:r>
              <w:rPr>
                <w:bCs/>
                <w:sz w:val="24"/>
              </w:rPr>
              <w:t>。</w:t>
            </w:r>
          </w:p>
          <w:p w14:paraId="21C11051">
            <w:pPr>
              <w:jc w:val="center"/>
              <w:rPr>
                <w:b/>
                <w:bCs/>
                <w:szCs w:val="21"/>
              </w:rPr>
            </w:pPr>
            <w:r>
              <w:rPr>
                <w:b/>
                <w:bCs/>
                <w:szCs w:val="21"/>
              </w:rPr>
              <w:t>表4-</w:t>
            </w:r>
            <w:r>
              <w:rPr>
                <w:rFonts w:hint="eastAsia"/>
                <w:b/>
                <w:bCs/>
                <w:szCs w:val="21"/>
              </w:rPr>
              <w:t>11</w:t>
            </w:r>
            <w:r>
              <w:rPr>
                <w:b/>
                <w:bCs/>
                <w:szCs w:val="21"/>
              </w:rPr>
              <w:t xml:space="preserve">  </w:t>
            </w:r>
            <w:r>
              <w:rPr>
                <w:rFonts w:hint="eastAsia"/>
                <w:b/>
                <w:bCs/>
                <w:szCs w:val="21"/>
              </w:rPr>
              <w:t>本项目</w:t>
            </w:r>
            <w:r>
              <w:rPr>
                <w:b/>
                <w:bCs/>
                <w:szCs w:val="21"/>
              </w:rPr>
              <w:t>废气监测方案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98"/>
              <w:gridCol w:w="1095"/>
              <w:gridCol w:w="1324"/>
              <w:gridCol w:w="4112"/>
            </w:tblGrid>
            <w:tr w14:paraId="65E0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069BBCA2">
                  <w:pPr>
                    <w:jc w:val="center"/>
                    <w:rPr>
                      <w:b/>
                      <w:bCs/>
                    </w:rPr>
                  </w:pPr>
                  <w:r>
                    <w:rPr>
                      <w:rFonts w:hint="eastAsia"/>
                      <w:b/>
                      <w:bCs/>
                    </w:rPr>
                    <w:t>监测类别</w:t>
                  </w:r>
                </w:p>
              </w:tc>
              <w:tc>
                <w:tcPr>
                  <w:tcW w:w="1099" w:type="dxa"/>
                  <w:tcBorders>
                    <w:top w:val="single" w:color="auto" w:sz="4" w:space="0"/>
                    <w:left w:val="single" w:color="auto" w:sz="4" w:space="0"/>
                    <w:bottom w:val="single" w:color="auto" w:sz="4" w:space="0"/>
                    <w:right w:val="single" w:color="auto" w:sz="4" w:space="0"/>
                  </w:tcBorders>
                  <w:vAlign w:val="center"/>
                </w:tcPr>
                <w:p w14:paraId="1FA05816">
                  <w:pPr>
                    <w:jc w:val="center"/>
                    <w:rPr>
                      <w:b/>
                      <w:bCs/>
                    </w:rPr>
                  </w:pPr>
                  <w:r>
                    <w:rPr>
                      <w:b/>
                      <w:bCs/>
                    </w:rPr>
                    <w:t>监测点位</w:t>
                  </w:r>
                </w:p>
              </w:tc>
              <w:tc>
                <w:tcPr>
                  <w:tcW w:w="1096" w:type="dxa"/>
                  <w:tcBorders>
                    <w:top w:val="single" w:color="auto" w:sz="4" w:space="0"/>
                    <w:left w:val="single" w:color="auto" w:sz="4" w:space="0"/>
                    <w:bottom w:val="single" w:color="auto" w:sz="4" w:space="0"/>
                    <w:right w:val="single" w:color="auto" w:sz="4" w:space="0"/>
                  </w:tcBorders>
                  <w:vAlign w:val="center"/>
                </w:tcPr>
                <w:p w14:paraId="65601789">
                  <w:pPr>
                    <w:jc w:val="center"/>
                    <w:rPr>
                      <w:b/>
                      <w:bCs/>
                    </w:rPr>
                  </w:pPr>
                  <w:r>
                    <w:rPr>
                      <w:b/>
                      <w:bCs/>
                    </w:rPr>
                    <w:t>监测指标</w:t>
                  </w:r>
                </w:p>
              </w:tc>
              <w:tc>
                <w:tcPr>
                  <w:tcW w:w="1327" w:type="dxa"/>
                  <w:tcBorders>
                    <w:top w:val="single" w:color="auto" w:sz="4" w:space="0"/>
                    <w:left w:val="single" w:color="auto" w:sz="4" w:space="0"/>
                    <w:bottom w:val="single" w:color="auto" w:sz="4" w:space="0"/>
                    <w:right w:val="single" w:color="auto" w:sz="4" w:space="0"/>
                  </w:tcBorders>
                  <w:vAlign w:val="center"/>
                </w:tcPr>
                <w:p w14:paraId="3273D0EA">
                  <w:pPr>
                    <w:jc w:val="center"/>
                    <w:rPr>
                      <w:b/>
                      <w:bCs/>
                    </w:rPr>
                  </w:pPr>
                  <w:r>
                    <w:rPr>
                      <w:b/>
                      <w:bCs/>
                    </w:rPr>
                    <w:t>监测频次</w:t>
                  </w:r>
                </w:p>
              </w:tc>
              <w:tc>
                <w:tcPr>
                  <w:tcW w:w="4118" w:type="dxa"/>
                  <w:tcBorders>
                    <w:top w:val="single" w:color="auto" w:sz="4" w:space="0"/>
                    <w:left w:val="single" w:color="auto" w:sz="4" w:space="0"/>
                    <w:bottom w:val="single" w:color="auto" w:sz="4" w:space="0"/>
                    <w:right w:val="single" w:color="auto" w:sz="4" w:space="0"/>
                  </w:tcBorders>
                </w:tcPr>
                <w:p w14:paraId="20227B4C">
                  <w:pPr>
                    <w:jc w:val="center"/>
                    <w:rPr>
                      <w:b/>
                      <w:bCs/>
                    </w:rPr>
                  </w:pPr>
                  <w:r>
                    <w:rPr>
                      <w:b/>
                      <w:bCs/>
                    </w:rPr>
                    <w:t>执行排放标准</w:t>
                  </w:r>
                </w:p>
              </w:tc>
            </w:tr>
            <w:tr w14:paraId="455A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restart"/>
                  <w:tcBorders>
                    <w:top w:val="single" w:color="auto" w:sz="4" w:space="0"/>
                    <w:left w:val="single" w:color="auto" w:sz="4" w:space="0"/>
                    <w:right w:val="single" w:color="auto" w:sz="4" w:space="0"/>
                  </w:tcBorders>
                  <w:vAlign w:val="center"/>
                </w:tcPr>
                <w:p w14:paraId="0026B19A">
                  <w:pPr>
                    <w:jc w:val="center"/>
                  </w:pPr>
                  <w:r>
                    <w:rPr>
                      <w:rFonts w:hint="eastAsia"/>
                    </w:rPr>
                    <w:t>有组织</w:t>
                  </w:r>
                </w:p>
              </w:tc>
              <w:tc>
                <w:tcPr>
                  <w:tcW w:w="1099" w:type="dxa"/>
                  <w:vMerge w:val="restart"/>
                  <w:tcBorders>
                    <w:top w:val="single" w:color="auto" w:sz="4" w:space="0"/>
                    <w:left w:val="single" w:color="auto" w:sz="4" w:space="0"/>
                    <w:right w:val="single" w:color="auto" w:sz="4" w:space="0"/>
                  </w:tcBorders>
                  <w:vAlign w:val="center"/>
                </w:tcPr>
                <w:p w14:paraId="67780B0E">
                  <w:pPr>
                    <w:jc w:val="center"/>
                  </w:pPr>
                  <w:r>
                    <w:rPr>
                      <w:rFonts w:hint="eastAsia"/>
                    </w:rPr>
                    <w:t>DA001</w:t>
                  </w:r>
                </w:p>
              </w:tc>
              <w:tc>
                <w:tcPr>
                  <w:tcW w:w="1096" w:type="dxa"/>
                  <w:tcBorders>
                    <w:top w:val="single" w:color="auto" w:sz="4" w:space="0"/>
                    <w:left w:val="single" w:color="auto" w:sz="4" w:space="0"/>
                    <w:bottom w:val="single" w:color="auto" w:sz="4" w:space="0"/>
                    <w:right w:val="single" w:color="auto" w:sz="4" w:space="0"/>
                  </w:tcBorders>
                  <w:vAlign w:val="center"/>
                </w:tcPr>
                <w:p w14:paraId="034CF514">
                  <w:pPr>
                    <w:jc w:val="center"/>
                  </w:pPr>
                  <w:r>
                    <w:rPr>
                      <w:rFonts w:hint="eastAsia"/>
                      <w:szCs w:val="21"/>
                    </w:rPr>
                    <w:t>NH</w:t>
                  </w:r>
                  <w:r>
                    <w:rPr>
                      <w:rFonts w:hint="eastAsia"/>
                      <w:szCs w:val="21"/>
                      <w:vertAlign w:val="subscript"/>
                    </w:rPr>
                    <w:t>3</w:t>
                  </w:r>
                </w:p>
              </w:tc>
              <w:tc>
                <w:tcPr>
                  <w:tcW w:w="1327" w:type="dxa"/>
                  <w:vMerge w:val="restart"/>
                  <w:tcBorders>
                    <w:top w:val="single" w:color="auto" w:sz="4" w:space="0"/>
                    <w:left w:val="single" w:color="auto" w:sz="4" w:space="0"/>
                    <w:right w:val="single" w:color="auto" w:sz="4" w:space="0"/>
                  </w:tcBorders>
                  <w:vAlign w:val="center"/>
                </w:tcPr>
                <w:p w14:paraId="3A62ABBA">
                  <w:pPr>
                    <w:jc w:val="center"/>
                  </w:pPr>
                  <w:r>
                    <w:rPr>
                      <w:rFonts w:hint="eastAsia"/>
                    </w:rPr>
                    <w:t>1</w:t>
                  </w:r>
                  <w:r>
                    <w:t>次</w:t>
                  </w:r>
                  <w:r>
                    <w:rPr>
                      <w:rFonts w:hint="eastAsia"/>
                    </w:rPr>
                    <w:t>/年</w:t>
                  </w:r>
                </w:p>
              </w:tc>
              <w:tc>
                <w:tcPr>
                  <w:tcW w:w="4118" w:type="dxa"/>
                  <w:vMerge w:val="restart"/>
                  <w:tcBorders>
                    <w:top w:val="single" w:color="auto" w:sz="4" w:space="0"/>
                    <w:left w:val="single" w:color="auto" w:sz="4" w:space="0"/>
                    <w:right w:val="single" w:color="auto" w:sz="4" w:space="0"/>
                  </w:tcBorders>
                  <w:vAlign w:val="center"/>
                </w:tcPr>
                <w:p w14:paraId="7662BF88">
                  <w:pPr>
                    <w:ind w:firstLine="420" w:firstLineChars="200"/>
                    <w:jc w:val="center"/>
                    <w:rPr>
                      <w:szCs w:val="21"/>
                    </w:rPr>
                  </w:pPr>
                  <w:r>
                    <w:rPr>
                      <w:szCs w:val="21"/>
                    </w:rPr>
                    <w:t>《恶臭污染物排放标准》（</w:t>
                  </w:r>
                  <w:r>
                    <w:rPr>
                      <w:rFonts w:eastAsia="Times New Roman"/>
                      <w:szCs w:val="21"/>
                    </w:rPr>
                    <w:t>GB14554-93</w:t>
                  </w:r>
                  <w:r>
                    <w:rPr>
                      <w:szCs w:val="21"/>
                    </w:rPr>
                    <w:t>）</w:t>
                  </w:r>
                  <w:r>
                    <w:rPr>
                      <w:rFonts w:hint="eastAsia"/>
                      <w:szCs w:val="21"/>
                    </w:rPr>
                    <w:t>表2排放标准值要求</w:t>
                  </w:r>
                </w:p>
              </w:tc>
            </w:tr>
            <w:tr w14:paraId="204E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right w:val="single" w:color="auto" w:sz="4" w:space="0"/>
                  </w:tcBorders>
                  <w:vAlign w:val="center"/>
                </w:tcPr>
                <w:p w14:paraId="46AE20FD">
                  <w:pPr>
                    <w:jc w:val="center"/>
                  </w:pPr>
                </w:p>
              </w:tc>
              <w:tc>
                <w:tcPr>
                  <w:tcW w:w="1099" w:type="dxa"/>
                  <w:vMerge w:val="continue"/>
                  <w:tcBorders>
                    <w:left w:val="single" w:color="auto" w:sz="4" w:space="0"/>
                    <w:right w:val="single" w:color="auto" w:sz="4" w:space="0"/>
                  </w:tcBorders>
                  <w:vAlign w:val="center"/>
                </w:tcPr>
                <w:p w14:paraId="213456A4">
                  <w:pPr>
                    <w:jc w:val="center"/>
                  </w:pPr>
                </w:p>
              </w:tc>
              <w:tc>
                <w:tcPr>
                  <w:tcW w:w="1096" w:type="dxa"/>
                  <w:tcBorders>
                    <w:top w:val="single" w:color="auto" w:sz="4" w:space="0"/>
                    <w:left w:val="single" w:color="auto" w:sz="4" w:space="0"/>
                    <w:bottom w:val="single" w:color="auto" w:sz="4" w:space="0"/>
                    <w:right w:val="single" w:color="auto" w:sz="4" w:space="0"/>
                  </w:tcBorders>
                  <w:vAlign w:val="center"/>
                </w:tcPr>
                <w:p w14:paraId="6FEC850D">
                  <w:pPr>
                    <w:jc w:val="center"/>
                    <w:rPr>
                      <w:szCs w:val="21"/>
                    </w:rPr>
                  </w:pPr>
                  <w:r>
                    <w:rPr>
                      <w:rFonts w:hint="eastAsia"/>
                      <w:szCs w:val="21"/>
                    </w:rPr>
                    <w:t>H</w:t>
                  </w:r>
                  <w:r>
                    <w:rPr>
                      <w:rFonts w:hint="eastAsia"/>
                      <w:szCs w:val="21"/>
                      <w:vertAlign w:val="subscript"/>
                    </w:rPr>
                    <w:t>2</w:t>
                  </w:r>
                  <w:r>
                    <w:rPr>
                      <w:rFonts w:hint="eastAsia"/>
                      <w:szCs w:val="21"/>
                    </w:rPr>
                    <w:t>S</w:t>
                  </w:r>
                </w:p>
              </w:tc>
              <w:tc>
                <w:tcPr>
                  <w:tcW w:w="1327" w:type="dxa"/>
                  <w:vMerge w:val="continue"/>
                  <w:tcBorders>
                    <w:left w:val="single" w:color="auto" w:sz="4" w:space="0"/>
                    <w:right w:val="single" w:color="auto" w:sz="4" w:space="0"/>
                  </w:tcBorders>
                  <w:vAlign w:val="center"/>
                </w:tcPr>
                <w:p w14:paraId="5FB93BC2">
                  <w:pPr>
                    <w:jc w:val="center"/>
                  </w:pPr>
                </w:p>
              </w:tc>
              <w:tc>
                <w:tcPr>
                  <w:tcW w:w="4118" w:type="dxa"/>
                  <w:vMerge w:val="continue"/>
                  <w:tcBorders>
                    <w:left w:val="single" w:color="auto" w:sz="4" w:space="0"/>
                    <w:right w:val="single" w:color="auto" w:sz="4" w:space="0"/>
                  </w:tcBorders>
                  <w:vAlign w:val="center"/>
                </w:tcPr>
                <w:p w14:paraId="60365B04">
                  <w:pPr>
                    <w:jc w:val="center"/>
                    <w:rPr>
                      <w:szCs w:val="21"/>
                    </w:rPr>
                  </w:pPr>
                </w:p>
              </w:tc>
            </w:tr>
            <w:tr w14:paraId="79D4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right w:val="single" w:color="auto" w:sz="4" w:space="0"/>
                  </w:tcBorders>
                  <w:vAlign w:val="center"/>
                </w:tcPr>
                <w:p w14:paraId="7F4264E8">
                  <w:pPr>
                    <w:jc w:val="center"/>
                  </w:pPr>
                </w:p>
              </w:tc>
              <w:tc>
                <w:tcPr>
                  <w:tcW w:w="1099" w:type="dxa"/>
                  <w:vMerge w:val="continue"/>
                  <w:tcBorders>
                    <w:left w:val="single" w:color="auto" w:sz="4" w:space="0"/>
                    <w:right w:val="single" w:color="auto" w:sz="4" w:space="0"/>
                  </w:tcBorders>
                  <w:vAlign w:val="center"/>
                </w:tcPr>
                <w:p w14:paraId="31260B5F">
                  <w:pPr>
                    <w:jc w:val="center"/>
                  </w:pPr>
                </w:p>
              </w:tc>
              <w:tc>
                <w:tcPr>
                  <w:tcW w:w="1096" w:type="dxa"/>
                  <w:tcBorders>
                    <w:top w:val="single" w:color="auto" w:sz="4" w:space="0"/>
                    <w:left w:val="single" w:color="auto" w:sz="4" w:space="0"/>
                    <w:bottom w:val="single" w:color="auto" w:sz="4" w:space="0"/>
                    <w:right w:val="single" w:color="auto" w:sz="4" w:space="0"/>
                  </w:tcBorders>
                  <w:vAlign w:val="center"/>
                </w:tcPr>
                <w:p w14:paraId="1B8F155A">
                  <w:pPr>
                    <w:jc w:val="center"/>
                    <w:rPr>
                      <w:szCs w:val="21"/>
                    </w:rPr>
                  </w:pPr>
                  <w:r>
                    <w:rPr>
                      <w:rFonts w:hint="eastAsia"/>
                      <w:szCs w:val="21"/>
                    </w:rPr>
                    <w:t>臭气浓度</w:t>
                  </w:r>
                </w:p>
              </w:tc>
              <w:tc>
                <w:tcPr>
                  <w:tcW w:w="1327" w:type="dxa"/>
                  <w:vMerge w:val="continue"/>
                  <w:tcBorders>
                    <w:left w:val="single" w:color="auto" w:sz="4" w:space="0"/>
                    <w:right w:val="single" w:color="auto" w:sz="4" w:space="0"/>
                  </w:tcBorders>
                  <w:vAlign w:val="center"/>
                </w:tcPr>
                <w:p w14:paraId="5B32EF5E">
                  <w:pPr>
                    <w:jc w:val="center"/>
                  </w:pPr>
                </w:p>
              </w:tc>
              <w:tc>
                <w:tcPr>
                  <w:tcW w:w="4118" w:type="dxa"/>
                  <w:vMerge w:val="continue"/>
                  <w:tcBorders>
                    <w:left w:val="single" w:color="auto" w:sz="4" w:space="0"/>
                    <w:bottom w:val="single" w:color="auto" w:sz="4" w:space="0"/>
                    <w:right w:val="single" w:color="auto" w:sz="4" w:space="0"/>
                  </w:tcBorders>
                  <w:vAlign w:val="center"/>
                </w:tcPr>
                <w:p w14:paraId="4C15C28A">
                  <w:pPr>
                    <w:jc w:val="center"/>
                    <w:rPr>
                      <w:szCs w:val="21"/>
                    </w:rPr>
                  </w:pPr>
                </w:p>
              </w:tc>
            </w:tr>
            <w:tr w14:paraId="19FA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bottom w:val="single" w:color="auto" w:sz="4" w:space="0"/>
                    <w:right w:val="single" w:color="auto" w:sz="4" w:space="0"/>
                  </w:tcBorders>
                  <w:vAlign w:val="center"/>
                </w:tcPr>
                <w:p w14:paraId="79FBF32C">
                  <w:pPr>
                    <w:jc w:val="center"/>
                  </w:pPr>
                </w:p>
              </w:tc>
              <w:tc>
                <w:tcPr>
                  <w:tcW w:w="1099" w:type="dxa"/>
                  <w:vMerge w:val="continue"/>
                  <w:tcBorders>
                    <w:left w:val="single" w:color="auto" w:sz="4" w:space="0"/>
                    <w:bottom w:val="single" w:color="auto" w:sz="4" w:space="0"/>
                    <w:right w:val="single" w:color="auto" w:sz="4" w:space="0"/>
                  </w:tcBorders>
                  <w:vAlign w:val="center"/>
                </w:tcPr>
                <w:p w14:paraId="51ACD166">
                  <w:pPr>
                    <w:jc w:val="center"/>
                  </w:pPr>
                </w:p>
              </w:tc>
              <w:tc>
                <w:tcPr>
                  <w:tcW w:w="1096" w:type="dxa"/>
                  <w:tcBorders>
                    <w:top w:val="single" w:color="auto" w:sz="4" w:space="0"/>
                    <w:left w:val="single" w:color="auto" w:sz="4" w:space="0"/>
                    <w:bottom w:val="single" w:color="auto" w:sz="4" w:space="0"/>
                    <w:right w:val="single" w:color="auto" w:sz="4" w:space="0"/>
                  </w:tcBorders>
                  <w:vAlign w:val="center"/>
                </w:tcPr>
                <w:p w14:paraId="6DEA1DFA">
                  <w:pPr>
                    <w:jc w:val="center"/>
                    <w:rPr>
                      <w:szCs w:val="21"/>
                    </w:rPr>
                  </w:pPr>
                  <w:r>
                    <w:rPr>
                      <w:rFonts w:hint="eastAsia"/>
                      <w:szCs w:val="21"/>
                    </w:rPr>
                    <w:t>颗粒物</w:t>
                  </w:r>
                </w:p>
              </w:tc>
              <w:tc>
                <w:tcPr>
                  <w:tcW w:w="1327" w:type="dxa"/>
                  <w:vMerge w:val="continue"/>
                  <w:tcBorders>
                    <w:left w:val="single" w:color="auto" w:sz="4" w:space="0"/>
                    <w:bottom w:val="single" w:color="auto" w:sz="4" w:space="0"/>
                    <w:right w:val="single" w:color="auto" w:sz="4" w:space="0"/>
                  </w:tcBorders>
                  <w:vAlign w:val="center"/>
                </w:tcPr>
                <w:p w14:paraId="498CFD8D">
                  <w:pPr>
                    <w:jc w:val="center"/>
                  </w:pPr>
                </w:p>
              </w:tc>
              <w:tc>
                <w:tcPr>
                  <w:tcW w:w="4118" w:type="dxa"/>
                  <w:tcBorders>
                    <w:top w:val="single" w:color="auto" w:sz="4" w:space="0"/>
                    <w:left w:val="single" w:color="auto" w:sz="4" w:space="0"/>
                    <w:bottom w:val="single" w:color="auto" w:sz="4" w:space="0"/>
                    <w:right w:val="single" w:color="auto" w:sz="4" w:space="0"/>
                  </w:tcBorders>
                  <w:vAlign w:val="center"/>
                </w:tcPr>
                <w:p w14:paraId="40E7DC45">
                  <w:pPr>
                    <w:jc w:val="center"/>
                    <w:rPr>
                      <w:szCs w:val="21"/>
                    </w:rPr>
                  </w:pPr>
                  <w:r>
                    <w:rPr>
                      <w:szCs w:val="21"/>
                    </w:rPr>
                    <w:t>《大气污染物综合排放标准》（</w:t>
                  </w:r>
                  <w:r>
                    <w:rPr>
                      <w:rFonts w:eastAsia="Times New Roman"/>
                      <w:szCs w:val="21"/>
                    </w:rPr>
                    <w:t>GB16297-1996</w:t>
                  </w:r>
                  <w:r>
                    <w:rPr>
                      <w:szCs w:val="21"/>
                    </w:rPr>
                    <w:t>）二级标准</w:t>
                  </w:r>
                  <w:r>
                    <w:rPr>
                      <w:rFonts w:hint="eastAsia"/>
                      <w:szCs w:val="21"/>
                    </w:rPr>
                    <w:t>表2限值要求</w:t>
                  </w:r>
                </w:p>
              </w:tc>
            </w:tr>
            <w:tr w14:paraId="55F8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restart"/>
                  <w:tcBorders>
                    <w:left w:val="single" w:color="auto" w:sz="4" w:space="0"/>
                    <w:right w:val="single" w:color="auto" w:sz="4" w:space="0"/>
                  </w:tcBorders>
                  <w:vAlign w:val="center"/>
                </w:tcPr>
                <w:p w14:paraId="2A9B68CF">
                  <w:pPr>
                    <w:jc w:val="center"/>
                  </w:pPr>
                  <w:r>
                    <w:rPr>
                      <w:rFonts w:hint="eastAsia"/>
                    </w:rPr>
                    <w:t>无组织</w:t>
                  </w:r>
                </w:p>
              </w:tc>
              <w:tc>
                <w:tcPr>
                  <w:tcW w:w="1099" w:type="dxa"/>
                  <w:vMerge w:val="restart"/>
                  <w:tcBorders>
                    <w:left w:val="single" w:color="auto" w:sz="4" w:space="0"/>
                    <w:right w:val="single" w:color="auto" w:sz="4" w:space="0"/>
                  </w:tcBorders>
                  <w:vAlign w:val="center"/>
                </w:tcPr>
                <w:p w14:paraId="27109AD4">
                  <w:pPr>
                    <w:jc w:val="center"/>
                  </w:pPr>
                  <w:r>
                    <w:rPr>
                      <w:rFonts w:hint="eastAsia"/>
                    </w:rPr>
                    <w:t>厂界</w:t>
                  </w: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14:paraId="43107163">
                  <w:pPr>
                    <w:jc w:val="center"/>
                  </w:pPr>
                  <w:r>
                    <w:rPr>
                      <w:rFonts w:hint="eastAsia"/>
                      <w:szCs w:val="21"/>
                    </w:rPr>
                    <w:t>NH</w:t>
                  </w:r>
                  <w:r>
                    <w:rPr>
                      <w:rFonts w:hint="eastAsia"/>
                      <w:szCs w:val="21"/>
                      <w:vertAlign w:val="subscript"/>
                    </w:rPr>
                    <w:t>3</w:t>
                  </w:r>
                </w:p>
              </w:tc>
              <w:tc>
                <w:tcPr>
                  <w:tcW w:w="1327" w:type="dxa"/>
                  <w:vMerge w:val="restart"/>
                  <w:tcBorders>
                    <w:left w:val="single" w:color="auto" w:sz="4" w:space="0"/>
                    <w:right w:val="single" w:color="auto" w:sz="4" w:space="0"/>
                  </w:tcBorders>
                  <w:vAlign w:val="center"/>
                </w:tcPr>
                <w:p w14:paraId="68DAA98C">
                  <w:pPr>
                    <w:jc w:val="center"/>
                  </w:pPr>
                  <w:r>
                    <w:rPr>
                      <w:rFonts w:hint="eastAsia"/>
                    </w:rPr>
                    <w:t>1</w:t>
                  </w:r>
                  <w:r>
                    <w:t>次</w:t>
                  </w:r>
                  <w:r>
                    <w:rPr>
                      <w:rFonts w:hint="eastAsia"/>
                    </w:rPr>
                    <w:t>/季度</w:t>
                  </w:r>
                </w:p>
              </w:tc>
              <w:tc>
                <w:tcPr>
                  <w:tcW w:w="4118" w:type="dxa"/>
                  <w:vMerge w:val="restart"/>
                  <w:tcBorders>
                    <w:top w:val="single" w:color="auto" w:sz="4" w:space="0"/>
                    <w:left w:val="single" w:color="auto" w:sz="4" w:space="0"/>
                    <w:right w:val="single" w:color="auto" w:sz="4" w:space="0"/>
                  </w:tcBorders>
                  <w:vAlign w:val="center"/>
                </w:tcPr>
                <w:p w14:paraId="27A73DBF">
                  <w:pPr>
                    <w:wordWrap w:val="0"/>
                    <w:jc w:val="center"/>
                    <w:rPr>
                      <w:szCs w:val="21"/>
                    </w:rPr>
                  </w:pPr>
                  <w:r>
                    <w:rPr>
                      <w:rFonts w:hint="eastAsia"/>
                      <w:szCs w:val="21"/>
                    </w:rPr>
                    <w:t>《恶臭污染物排放标准》（GB14554-93）表1厂界标准值</w:t>
                  </w:r>
                </w:p>
              </w:tc>
            </w:tr>
            <w:tr w14:paraId="0F44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right w:val="single" w:color="auto" w:sz="4" w:space="0"/>
                  </w:tcBorders>
                  <w:vAlign w:val="center"/>
                </w:tcPr>
                <w:p w14:paraId="3C215783">
                  <w:pPr>
                    <w:jc w:val="center"/>
                  </w:pPr>
                </w:p>
              </w:tc>
              <w:tc>
                <w:tcPr>
                  <w:tcW w:w="1099" w:type="dxa"/>
                  <w:vMerge w:val="continue"/>
                  <w:tcBorders>
                    <w:left w:val="single" w:color="auto" w:sz="4" w:space="0"/>
                    <w:right w:val="single" w:color="auto" w:sz="4" w:space="0"/>
                  </w:tcBorders>
                  <w:vAlign w:val="center"/>
                </w:tcPr>
                <w:p w14:paraId="66271F0B">
                  <w:pPr>
                    <w:jc w:val="cente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14:paraId="05DEDCC4">
                  <w:pPr>
                    <w:jc w:val="center"/>
                    <w:rPr>
                      <w:szCs w:val="21"/>
                    </w:rPr>
                  </w:pPr>
                  <w:r>
                    <w:rPr>
                      <w:rFonts w:hint="eastAsia"/>
                      <w:szCs w:val="21"/>
                    </w:rPr>
                    <w:t>H</w:t>
                  </w:r>
                  <w:r>
                    <w:rPr>
                      <w:rFonts w:hint="eastAsia"/>
                      <w:szCs w:val="21"/>
                      <w:vertAlign w:val="subscript"/>
                    </w:rPr>
                    <w:t>2</w:t>
                  </w:r>
                  <w:r>
                    <w:rPr>
                      <w:rFonts w:hint="eastAsia"/>
                      <w:szCs w:val="21"/>
                    </w:rPr>
                    <w:t>S</w:t>
                  </w:r>
                </w:p>
              </w:tc>
              <w:tc>
                <w:tcPr>
                  <w:tcW w:w="1327" w:type="dxa"/>
                  <w:vMerge w:val="continue"/>
                  <w:tcBorders>
                    <w:left w:val="single" w:color="auto" w:sz="4" w:space="0"/>
                    <w:right w:val="single" w:color="auto" w:sz="4" w:space="0"/>
                  </w:tcBorders>
                  <w:vAlign w:val="center"/>
                </w:tcPr>
                <w:p w14:paraId="51C7F0AB">
                  <w:pPr>
                    <w:jc w:val="center"/>
                  </w:pPr>
                </w:p>
              </w:tc>
              <w:tc>
                <w:tcPr>
                  <w:tcW w:w="4118" w:type="dxa"/>
                  <w:vMerge w:val="continue"/>
                  <w:tcBorders>
                    <w:left w:val="single" w:color="auto" w:sz="4" w:space="0"/>
                    <w:right w:val="single" w:color="auto" w:sz="4" w:space="0"/>
                  </w:tcBorders>
                  <w:vAlign w:val="center"/>
                </w:tcPr>
                <w:p w14:paraId="7E68A310">
                  <w:pPr>
                    <w:jc w:val="center"/>
                    <w:rPr>
                      <w:szCs w:val="21"/>
                    </w:rPr>
                  </w:pPr>
                </w:p>
              </w:tc>
            </w:tr>
            <w:tr w14:paraId="7EDC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right w:val="single" w:color="auto" w:sz="4" w:space="0"/>
                  </w:tcBorders>
                  <w:vAlign w:val="center"/>
                </w:tcPr>
                <w:p w14:paraId="56B88F3B">
                  <w:pPr>
                    <w:jc w:val="center"/>
                  </w:pPr>
                </w:p>
              </w:tc>
              <w:tc>
                <w:tcPr>
                  <w:tcW w:w="1099" w:type="dxa"/>
                  <w:vMerge w:val="continue"/>
                  <w:tcBorders>
                    <w:left w:val="single" w:color="auto" w:sz="4" w:space="0"/>
                    <w:right w:val="single" w:color="auto" w:sz="4" w:space="0"/>
                  </w:tcBorders>
                  <w:vAlign w:val="center"/>
                </w:tcPr>
                <w:p w14:paraId="015BAA7F">
                  <w:pPr>
                    <w:jc w:val="cente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14:paraId="34A8785E">
                  <w:pPr>
                    <w:jc w:val="center"/>
                    <w:rPr>
                      <w:szCs w:val="21"/>
                    </w:rPr>
                  </w:pPr>
                  <w:r>
                    <w:rPr>
                      <w:rFonts w:hint="eastAsia"/>
                      <w:szCs w:val="21"/>
                    </w:rPr>
                    <w:t>臭气浓度</w:t>
                  </w:r>
                </w:p>
              </w:tc>
              <w:tc>
                <w:tcPr>
                  <w:tcW w:w="1327" w:type="dxa"/>
                  <w:vMerge w:val="continue"/>
                  <w:tcBorders>
                    <w:left w:val="single" w:color="auto" w:sz="4" w:space="0"/>
                    <w:right w:val="single" w:color="auto" w:sz="4" w:space="0"/>
                  </w:tcBorders>
                  <w:vAlign w:val="center"/>
                </w:tcPr>
                <w:p w14:paraId="3E1E8AC3">
                  <w:pPr>
                    <w:jc w:val="center"/>
                  </w:pPr>
                </w:p>
              </w:tc>
              <w:tc>
                <w:tcPr>
                  <w:tcW w:w="4118" w:type="dxa"/>
                  <w:vMerge w:val="continue"/>
                  <w:tcBorders>
                    <w:left w:val="single" w:color="auto" w:sz="4" w:space="0"/>
                    <w:bottom w:val="single" w:color="auto" w:sz="4" w:space="0"/>
                    <w:right w:val="single" w:color="auto" w:sz="4" w:space="0"/>
                  </w:tcBorders>
                  <w:vAlign w:val="center"/>
                </w:tcPr>
                <w:p w14:paraId="34BE2D4D">
                  <w:pPr>
                    <w:jc w:val="center"/>
                    <w:rPr>
                      <w:szCs w:val="21"/>
                    </w:rPr>
                  </w:pPr>
                </w:p>
              </w:tc>
            </w:tr>
            <w:tr w14:paraId="3ABB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8" w:type="dxa"/>
                  <w:vMerge w:val="continue"/>
                  <w:tcBorders>
                    <w:left w:val="single" w:color="auto" w:sz="4" w:space="0"/>
                    <w:bottom w:val="single" w:color="auto" w:sz="4" w:space="0"/>
                    <w:right w:val="single" w:color="auto" w:sz="4" w:space="0"/>
                  </w:tcBorders>
                  <w:vAlign w:val="center"/>
                </w:tcPr>
                <w:p w14:paraId="71CC1131">
                  <w:pPr>
                    <w:jc w:val="center"/>
                  </w:pPr>
                </w:p>
              </w:tc>
              <w:tc>
                <w:tcPr>
                  <w:tcW w:w="1099" w:type="dxa"/>
                  <w:vMerge w:val="continue"/>
                  <w:tcBorders>
                    <w:left w:val="single" w:color="auto" w:sz="4" w:space="0"/>
                    <w:bottom w:val="single" w:color="auto" w:sz="4" w:space="0"/>
                    <w:right w:val="single" w:color="auto" w:sz="4" w:space="0"/>
                  </w:tcBorders>
                  <w:vAlign w:val="center"/>
                </w:tcPr>
                <w:p w14:paraId="3CBC8C0C">
                  <w:pPr>
                    <w:jc w:val="center"/>
                  </w:pPr>
                </w:p>
              </w:tc>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14:paraId="28557CF5">
                  <w:pPr>
                    <w:jc w:val="center"/>
                    <w:rPr>
                      <w:szCs w:val="21"/>
                    </w:rPr>
                  </w:pPr>
                  <w:r>
                    <w:rPr>
                      <w:rFonts w:hint="eastAsia"/>
                      <w:szCs w:val="21"/>
                    </w:rPr>
                    <w:t>颗粒物</w:t>
                  </w:r>
                </w:p>
              </w:tc>
              <w:tc>
                <w:tcPr>
                  <w:tcW w:w="1327" w:type="dxa"/>
                  <w:vMerge w:val="continue"/>
                  <w:tcBorders>
                    <w:left w:val="single" w:color="auto" w:sz="4" w:space="0"/>
                    <w:bottom w:val="single" w:color="auto" w:sz="4" w:space="0"/>
                    <w:right w:val="single" w:color="auto" w:sz="4" w:space="0"/>
                  </w:tcBorders>
                  <w:vAlign w:val="center"/>
                </w:tcPr>
                <w:p w14:paraId="72A77940">
                  <w:pPr>
                    <w:jc w:val="center"/>
                  </w:pPr>
                </w:p>
              </w:tc>
              <w:tc>
                <w:tcPr>
                  <w:tcW w:w="4118" w:type="dxa"/>
                  <w:tcBorders>
                    <w:top w:val="single" w:color="auto" w:sz="4" w:space="0"/>
                    <w:left w:val="single" w:color="auto" w:sz="4" w:space="0"/>
                    <w:bottom w:val="single" w:color="auto" w:sz="4" w:space="0"/>
                    <w:right w:val="single" w:color="auto" w:sz="4" w:space="0"/>
                  </w:tcBorders>
                  <w:vAlign w:val="center"/>
                </w:tcPr>
                <w:p w14:paraId="1DE37993">
                  <w:pPr>
                    <w:wordWrap w:val="0"/>
                    <w:jc w:val="center"/>
                    <w:rPr>
                      <w:szCs w:val="21"/>
                    </w:rPr>
                  </w:pPr>
                  <w:r>
                    <w:rPr>
                      <w:rFonts w:hint="eastAsia"/>
                      <w:szCs w:val="21"/>
                    </w:rPr>
                    <w:t>《大气污染物综合排放标准》 （</w:t>
                  </w:r>
                  <w:r>
                    <w:rPr>
                      <w:szCs w:val="21"/>
                    </w:rPr>
                    <w:t>GB16297-1996</w:t>
                  </w:r>
                  <w:r>
                    <w:rPr>
                      <w:rFonts w:hint="eastAsia"/>
                      <w:szCs w:val="21"/>
                    </w:rPr>
                    <w:t>）中无组织排放监控浓度限值</w:t>
                  </w:r>
                </w:p>
              </w:tc>
            </w:tr>
          </w:tbl>
          <w:p w14:paraId="4D6E1B60">
            <w:pPr>
              <w:spacing w:before="120" w:beforeLines="50" w:line="360" w:lineRule="auto"/>
              <w:ind w:firstLine="482" w:firstLineChars="200"/>
              <w:rPr>
                <w:b/>
                <w:bCs/>
                <w:sz w:val="24"/>
              </w:rPr>
            </w:pPr>
            <w:r>
              <w:rPr>
                <w:rFonts w:hint="eastAsia"/>
                <w:b/>
                <w:bCs/>
                <w:sz w:val="24"/>
              </w:rPr>
              <w:t>8</w:t>
            </w:r>
            <w:r>
              <w:rPr>
                <w:b/>
                <w:bCs/>
                <w:sz w:val="24"/>
              </w:rPr>
              <w:t>、环境影响评价结论</w:t>
            </w:r>
          </w:p>
          <w:p w14:paraId="141D10AA">
            <w:pPr>
              <w:widowControl/>
              <w:numPr>
                <w:ilvl w:val="0"/>
                <w:numId w:val="8"/>
              </w:numPr>
              <w:spacing w:before="120" w:beforeLines="50" w:line="360" w:lineRule="auto"/>
              <w:ind w:firstLine="482" w:firstLineChars="200"/>
              <w:jc w:val="left"/>
              <w:rPr>
                <w:b/>
                <w:bCs/>
                <w:color w:val="000000"/>
                <w:kern w:val="0"/>
                <w:sz w:val="24"/>
                <w:lang w:bidi="ar"/>
              </w:rPr>
            </w:pPr>
            <w:r>
              <w:rPr>
                <w:rFonts w:hint="eastAsia"/>
                <w:b/>
                <w:bCs/>
                <w:color w:val="000000"/>
                <w:kern w:val="0"/>
                <w:sz w:val="24"/>
                <w:lang w:bidi="ar"/>
              </w:rPr>
              <w:t>废气</w:t>
            </w:r>
          </w:p>
          <w:p w14:paraId="3A14F49E">
            <w:pPr>
              <w:spacing w:line="360" w:lineRule="auto"/>
              <w:ind w:firstLine="480" w:firstLineChars="200"/>
              <w:rPr>
                <w:sz w:val="24"/>
              </w:rPr>
            </w:pPr>
            <w:r>
              <w:rPr>
                <w:sz w:val="24"/>
              </w:rPr>
              <w:t>本项目转运站车间产生的恶臭及粉尘、污水处理</w:t>
            </w:r>
            <w:r>
              <w:rPr>
                <w:rFonts w:hint="eastAsia"/>
                <w:sz w:val="24"/>
              </w:rPr>
              <w:t>系统</w:t>
            </w:r>
            <w:r>
              <w:rPr>
                <w:sz w:val="24"/>
              </w:rPr>
              <w:t>产生的恶臭负压抽风后引至除臭除尘系统处理后通过15m高排气筒（DA001）达标排放，颗粒物排放满足《大气污染物综合排放标准》（GB16297-1996）表2限值要求，H</w:t>
            </w:r>
            <w:r>
              <w:rPr>
                <w:sz w:val="24"/>
                <w:vertAlign w:val="subscript"/>
              </w:rPr>
              <w:t>2</w:t>
            </w:r>
            <w:r>
              <w:rPr>
                <w:sz w:val="24"/>
              </w:rPr>
              <w:t>S、NH</w:t>
            </w:r>
            <w:r>
              <w:rPr>
                <w:sz w:val="24"/>
                <w:vertAlign w:val="subscript"/>
              </w:rPr>
              <w:t>3</w:t>
            </w:r>
            <w:r>
              <w:rPr>
                <w:sz w:val="24"/>
              </w:rPr>
              <w:t>排放满足《恶臭污染物排放标准》（GB14554-93）中表2限值要求。</w:t>
            </w:r>
          </w:p>
          <w:p w14:paraId="50F92757">
            <w:pPr>
              <w:spacing w:line="360" w:lineRule="auto"/>
              <w:ind w:firstLine="480" w:firstLineChars="200"/>
              <w:rPr>
                <w:sz w:val="24"/>
              </w:rPr>
            </w:pPr>
            <w:r>
              <w:rPr>
                <w:sz w:val="24"/>
              </w:rPr>
              <w:t>综上，根据区域环境质量现状及特征污染物现状情况，项目废气治理所采用的技术成熟可靠，治理后各污染物能够稳定达标排放。治理措施设备性能稳定，技术经济可行性均较好，治理措施可行。故项目建成后，对周围的环境影响较小。</w:t>
            </w:r>
          </w:p>
          <w:p w14:paraId="01671B90">
            <w:pPr>
              <w:widowControl/>
              <w:numPr>
                <w:ilvl w:val="0"/>
                <w:numId w:val="8"/>
              </w:numPr>
              <w:spacing w:before="120" w:beforeLines="50" w:line="360" w:lineRule="auto"/>
              <w:ind w:firstLine="482" w:firstLineChars="200"/>
              <w:jc w:val="left"/>
              <w:rPr>
                <w:b/>
                <w:bCs/>
                <w:color w:val="000000"/>
                <w:kern w:val="0"/>
                <w:sz w:val="24"/>
                <w:lang w:bidi="ar"/>
              </w:rPr>
            </w:pPr>
            <w:r>
              <w:rPr>
                <w:rFonts w:hint="eastAsia"/>
                <w:b/>
                <w:bCs/>
                <w:color w:val="000000"/>
                <w:kern w:val="0"/>
                <w:sz w:val="24"/>
                <w:lang w:bidi="ar"/>
              </w:rPr>
              <w:t>废水</w:t>
            </w:r>
          </w:p>
          <w:p w14:paraId="6B990674">
            <w:pPr>
              <w:spacing w:line="360" w:lineRule="auto"/>
              <w:ind w:firstLine="480" w:firstLineChars="200"/>
              <w:rPr>
                <w:sz w:val="24"/>
              </w:rPr>
            </w:pPr>
            <w:r>
              <w:rPr>
                <w:rFonts w:hint="eastAsia"/>
                <w:sz w:val="24"/>
              </w:rPr>
              <w:t>本项目废水主要有垃圾压缩过程中产生的垃圾渗滤液、车辆冲洗废水、设备冲洗废水、车间冲洗废水、喷淋除臭系统废水及职工办公生活污水等。</w:t>
            </w:r>
          </w:p>
          <w:p w14:paraId="6899713F">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1、废水污染源及治理措施</w:t>
            </w:r>
          </w:p>
          <w:p w14:paraId="619A72D9">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（1）压缩过程中产生的渗滤液</w:t>
            </w:r>
          </w:p>
          <w:p w14:paraId="7D34DD6C">
            <w:pPr>
              <w:widowControl/>
              <w:wordWrap w:val="0"/>
              <w:spacing w:line="360" w:lineRule="auto"/>
              <w:ind w:firstLine="480" w:firstLineChars="200"/>
              <w:jc w:val="left"/>
              <w:rPr>
                <w:color w:val="000000"/>
                <w:kern w:val="0"/>
                <w:sz w:val="24"/>
                <w:lang w:bidi="ar"/>
              </w:rPr>
            </w:pPr>
            <w:r>
              <w:rPr>
                <w:rFonts w:hint="eastAsia"/>
                <w:color w:val="000000"/>
                <w:kern w:val="0"/>
                <w:sz w:val="24"/>
                <w:lang w:bidi="ar"/>
              </w:rPr>
              <w:t>本项目垃圾压缩及垃圾运输的过程中将产生垃圾渗滤液，根据业主提供实际运行经验数据</w:t>
            </w:r>
            <w:r>
              <w:rPr>
                <w:color w:val="000000"/>
                <w:kern w:val="0"/>
                <w:sz w:val="24"/>
                <w:lang w:bidi="ar"/>
              </w:rPr>
              <w:t>，本项目渗滤液产生量按照转运垃圾总量的</w:t>
            </w:r>
            <w:r>
              <w:rPr>
                <w:rFonts w:hint="eastAsia"/>
                <w:color w:val="000000"/>
                <w:kern w:val="0"/>
                <w:sz w:val="24"/>
                <w:lang w:bidi="ar"/>
              </w:rPr>
              <w:t>8</w:t>
            </w:r>
            <w:r>
              <w:rPr>
                <w:color w:val="000000"/>
                <w:kern w:val="0"/>
                <w:sz w:val="24"/>
                <w:lang w:bidi="ar"/>
              </w:rPr>
              <w:t>%来核算，则本项目的垃圾渗滤液产生量为</w:t>
            </w:r>
            <w:r>
              <w:rPr>
                <w:rFonts w:hint="eastAsia"/>
                <w:color w:val="000000"/>
                <w:kern w:val="0"/>
                <w:sz w:val="24"/>
                <w:lang w:bidi="ar"/>
              </w:rPr>
              <w:t>19.2</w:t>
            </w:r>
            <w:r>
              <w:rPr>
                <w:color w:val="000000"/>
                <w:kern w:val="0"/>
                <w:sz w:val="24"/>
                <w:lang w:bidi="ar"/>
              </w:rPr>
              <w:t>t/d。</w:t>
            </w:r>
            <w:r>
              <w:rPr>
                <w:rFonts w:hint="eastAsia"/>
                <w:color w:val="000000"/>
                <w:kern w:val="0"/>
                <w:sz w:val="24"/>
                <w:lang w:bidi="ar"/>
              </w:rPr>
              <w:t>根据本项目设计资料，</w:t>
            </w:r>
            <w:r>
              <w:rPr>
                <w:color w:val="000000"/>
                <w:kern w:val="0"/>
                <w:sz w:val="24"/>
                <w:lang w:bidi="ar"/>
              </w:rPr>
              <w:t>同时类比同类型项目情况，本项目生活垃圾渗滤液主要污染浓度取值为：COD：</w:t>
            </w:r>
            <w:r>
              <w:rPr>
                <w:rFonts w:hint="eastAsia"/>
                <w:color w:val="000000"/>
                <w:kern w:val="0"/>
                <w:sz w:val="24"/>
                <w:lang w:bidi="ar"/>
              </w:rPr>
              <w:t>2</w:t>
            </w:r>
            <w:r>
              <w:rPr>
                <w:color w:val="000000"/>
                <w:kern w:val="0"/>
                <w:sz w:val="24"/>
                <w:lang w:bidi="ar"/>
              </w:rPr>
              <w:t>0000mg/L，BOD</w:t>
            </w:r>
            <w:r>
              <w:rPr>
                <w:color w:val="000000"/>
                <w:kern w:val="0"/>
                <w:sz w:val="24"/>
                <w:vertAlign w:val="subscript"/>
                <w:lang w:bidi="ar"/>
              </w:rPr>
              <w:t>5</w:t>
            </w:r>
            <w:r>
              <w:rPr>
                <w:rFonts w:hint="eastAsia"/>
                <w:color w:val="000000"/>
                <w:kern w:val="0"/>
                <w:sz w:val="24"/>
                <w:vertAlign w:val="subscript"/>
                <w:lang w:eastAsia="zh-CN" w:bidi="ar"/>
              </w:rPr>
              <w:t>:</w:t>
            </w:r>
            <w:r>
              <w:rPr>
                <w:color w:val="000000"/>
                <w:kern w:val="0"/>
                <w:sz w:val="24"/>
                <w:lang w:bidi="ar"/>
              </w:rPr>
              <w:t>1</w:t>
            </w:r>
            <w:r>
              <w:rPr>
                <w:rFonts w:hint="eastAsia"/>
                <w:color w:val="000000"/>
                <w:kern w:val="0"/>
                <w:sz w:val="24"/>
                <w:lang w:bidi="ar"/>
              </w:rPr>
              <w:t>0</w:t>
            </w:r>
            <w:r>
              <w:rPr>
                <w:color w:val="000000"/>
                <w:kern w:val="0"/>
                <w:sz w:val="24"/>
                <w:lang w:bidi="ar"/>
              </w:rPr>
              <w:t>000mg/L，NH</w:t>
            </w:r>
            <w:r>
              <w:rPr>
                <w:color w:val="000000"/>
                <w:kern w:val="0"/>
                <w:sz w:val="24"/>
                <w:vertAlign w:val="subscript"/>
                <w:lang w:bidi="ar"/>
              </w:rPr>
              <w:t>3</w:t>
            </w:r>
            <w:r>
              <w:rPr>
                <w:color w:val="000000"/>
                <w:kern w:val="0"/>
                <w:sz w:val="24"/>
                <w:lang w:bidi="ar"/>
              </w:rPr>
              <w:t>-N：</w:t>
            </w:r>
            <w:r>
              <w:rPr>
                <w:rFonts w:hint="eastAsia"/>
                <w:color w:val="000000"/>
                <w:kern w:val="0"/>
                <w:sz w:val="24"/>
                <w:lang w:bidi="ar"/>
              </w:rPr>
              <w:t>500</w:t>
            </w:r>
            <w:r>
              <w:rPr>
                <w:color w:val="000000"/>
                <w:kern w:val="0"/>
                <w:sz w:val="24"/>
                <w:lang w:bidi="ar"/>
              </w:rPr>
              <w:t>mg/L，SS：</w:t>
            </w:r>
            <w:r>
              <w:rPr>
                <w:rFonts w:hint="eastAsia"/>
                <w:color w:val="000000"/>
                <w:kern w:val="0"/>
                <w:sz w:val="24"/>
                <w:lang w:bidi="ar"/>
              </w:rPr>
              <w:t>10000</w:t>
            </w:r>
            <w:r>
              <w:rPr>
                <w:color w:val="000000"/>
                <w:kern w:val="0"/>
                <w:sz w:val="24"/>
                <w:lang w:bidi="ar"/>
              </w:rPr>
              <w:t>mg/L，</w:t>
            </w:r>
            <w:r>
              <w:rPr>
                <w:rFonts w:hint="eastAsia"/>
                <w:color w:val="000000"/>
                <w:kern w:val="0"/>
                <w:sz w:val="24"/>
                <w:lang w:bidi="ar"/>
              </w:rPr>
              <w:t>动植物油100</w:t>
            </w:r>
            <w:r>
              <w:rPr>
                <w:color w:val="000000"/>
                <w:kern w:val="0"/>
                <w:sz w:val="24"/>
                <w:lang w:bidi="ar"/>
              </w:rPr>
              <w:t>mg/L</w:t>
            </w:r>
            <w:r>
              <w:rPr>
                <w:rFonts w:hint="eastAsia"/>
                <w:color w:val="000000"/>
                <w:kern w:val="0"/>
                <w:sz w:val="24"/>
                <w:lang w:bidi="ar"/>
              </w:rPr>
              <w:t>，</w:t>
            </w:r>
            <w:r>
              <w:rPr>
                <w:color w:val="000000"/>
                <w:kern w:val="0"/>
                <w:sz w:val="24"/>
                <w:lang w:bidi="ar"/>
              </w:rPr>
              <w:t>TP：50mg/L，TN：1200mg/L</w:t>
            </w:r>
            <w:r>
              <w:rPr>
                <w:rFonts w:hint="eastAsia"/>
                <w:color w:val="000000"/>
                <w:kern w:val="0"/>
                <w:sz w:val="24"/>
                <w:lang w:bidi="ar"/>
              </w:rPr>
              <w:t>。</w:t>
            </w:r>
          </w:p>
          <w:p w14:paraId="701F7C55">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（2）车辆冲洗废水</w:t>
            </w:r>
          </w:p>
          <w:p w14:paraId="02F1ABB7">
            <w:pPr>
              <w:adjustRightInd w:val="0"/>
              <w:snapToGrid w:val="0"/>
              <w:spacing w:line="360" w:lineRule="auto"/>
              <w:ind w:firstLine="480" w:firstLineChars="200"/>
              <w:rPr>
                <w:color w:val="000000"/>
                <w:kern w:val="0"/>
                <w:sz w:val="24"/>
                <w:lang w:bidi="ar"/>
              </w:rPr>
            </w:pPr>
            <w:r>
              <w:rPr>
                <w:rFonts w:hint="eastAsia"/>
                <w:sz w:val="24"/>
                <w:szCs w:val="36"/>
              </w:rPr>
              <w:t>根据业主提供资料，正常运行时车辆冲洗次数约16次/天（大车6次，小车10次），参照《四川省用水定额》（川府函〔2021〕8 号）规定的定额选择用水定额进行计算，大车按照100L/辆•次，小车按50L/L辆•次，则车辆清洗用水量平均1.1m</w:t>
            </w:r>
            <w:r>
              <w:rPr>
                <w:rFonts w:hint="eastAsia"/>
                <w:sz w:val="24"/>
                <w:szCs w:val="36"/>
                <w:vertAlign w:val="superscript"/>
              </w:rPr>
              <w:t>3</w:t>
            </w:r>
            <w:r>
              <w:rPr>
                <w:rFonts w:hint="eastAsia"/>
                <w:sz w:val="24"/>
                <w:szCs w:val="36"/>
              </w:rPr>
              <w:t>/d（401.5m</w:t>
            </w:r>
            <w:r>
              <w:rPr>
                <w:rFonts w:hint="eastAsia"/>
                <w:sz w:val="24"/>
                <w:szCs w:val="36"/>
                <w:vertAlign w:val="superscript"/>
              </w:rPr>
              <w:t>3</w:t>
            </w:r>
            <w:r>
              <w:rPr>
                <w:rFonts w:hint="eastAsia"/>
                <w:sz w:val="24"/>
                <w:szCs w:val="36"/>
              </w:rPr>
              <w:t xml:space="preserve">/a）。产污系数按0.85，则车辆冲洗废水产生量为0.935m³/d，341.28m³/a。车辆冲洗废水主要污染因子浓度为 </w:t>
            </w:r>
            <w:r>
              <w:rPr>
                <w:sz w:val="24"/>
                <w:szCs w:val="36"/>
              </w:rPr>
              <w:t>CODcr</w:t>
            </w:r>
            <w:r>
              <w:rPr>
                <w:rFonts w:hint="eastAsia"/>
                <w:sz w:val="24"/>
                <w:szCs w:val="36"/>
              </w:rPr>
              <w:t>：</w:t>
            </w:r>
            <w:r>
              <w:rPr>
                <w:sz w:val="24"/>
                <w:szCs w:val="36"/>
              </w:rPr>
              <w:t>400mg/L</w:t>
            </w:r>
            <w:r>
              <w:rPr>
                <w:rFonts w:hint="eastAsia"/>
                <w:sz w:val="24"/>
                <w:szCs w:val="36"/>
              </w:rPr>
              <w:t>、</w:t>
            </w:r>
            <w:r>
              <w:rPr>
                <w:sz w:val="24"/>
                <w:szCs w:val="36"/>
              </w:rPr>
              <w:t>BOD</w:t>
            </w:r>
            <w:r>
              <w:rPr>
                <w:sz w:val="24"/>
                <w:szCs w:val="36"/>
                <w:vertAlign w:val="subscript"/>
              </w:rPr>
              <w:t>5</w:t>
            </w:r>
            <w:r>
              <w:rPr>
                <w:rFonts w:hint="eastAsia"/>
                <w:sz w:val="24"/>
                <w:szCs w:val="36"/>
                <w:vertAlign w:val="subscript"/>
                <w:lang w:eastAsia="zh-CN"/>
              </w:rPr>
              <w:t>:</w:t>
            </w:r>
            <w:r>
              <w:rPr>
                <w:sz w:val="24"/>
                <w:szCs w:val="36"/>
              </w:rPr>
              <w:t>250mg/L</w:t>
            </w:r>
            <w:r>
              <w:rPr>
                <w:rFonts w:hint="eastAsia"/>
                <w:sz w:val="24"/>
                <w:szCs w:val="36"/>
              </w:rPr>
              <w:t>、</w:t>
            </w:r>
            <w:r>
              <w:rPr>
                <w:sz w:val="24"/>
                <w:szCs w:val="36"/>
              </w:rPr>
              <w:t>SS</w:t>
            </w:r>
            <w:r>
              <w:rPr>
                <w:rFonts w:hint="eastAsia"/>
                <w:sz w:val="24"/>
                <w:szCs w:val="36"/>
              </w:rPr>
              <w:t>：</w:t>
            </w:r>
            <w:r>
              <w:rPr>
                <w:sz w:val="24"/>
                <w:szCs w:val="36"/>
              </w:rPr>
              <w:t>250mg/L</w:t>
            </w:r>
            <w:r>
              <w:rPr>
                <w:rFonts w:hint="eastAsia"/>
                <w:sz w:val="24"/>
                <w:szCs w:val="36"/>
              </w:rPr>
              <w:t xml:space="preserve">、 </w:t>
            </w:r>
            <w:r>
              <w:rPr>
                <w:sz w:val="24"/>
                <w:szCs w:val="36"/>
              </w:rPr>
              <w:t>NH</w:t>
            </w:r>
            <w:r>
              <w:rPr>
                <w:sz w:val="24"/>
                <w:szCs w:val="36"/>
                <w:vertAlign w:val="subscript"/>
              </w:rPr>
              <w:t>3</w:t>
            </w:r>
            <w:r>
              <w:rPr>
                <w:sz w:val="24"/>
                <w:szCs w:val="36"/>
              </w:rPr>
              <w:t>-N</w:t>
            </w:r>
            <w:r>
              <w:rPr>
                <w:rFonts w:hint="eastAsia"/>
                <w:sz w:val="24"/>
                <w:szCs w:val="36"/>
              </w:rPr>
              <w:t>：</w:t>
            </w:r>
            <w:r>
              <w:rPr>
                <w:sz w:val="24"/>
                <w:szCs w:val="36"/>
              </w:rPr>
              <w:t>40mg/L</w:t>
            </w:r>
            <w:r>
              <w:rPr>
                <w:rFonts w:hint="eastAsia"/>
                <w:sz w:val="24"/>
                <w:szCs w:val="36"/>
              </w:rPr>
              <w:t>、</w:t>
            </w:r>
            <w:r>
              <w:rPr>
                <w:sz w:val="24"/>
                <w:szCs w:val="36"/>
              </w:rPr>
              <w:t>TP</w:t>
            </w:r>
            <w:r>
              <w:rPr>
                <w:rFonts w:hint="eastAsia"/>
                <w:sz w:val="24"/>
                <w:szCs w:val="36"/>
              </w:rPr>
              <w:t>：</w:t>
            </w:r>
            <w:r>
              <w:rPr>
                <w:sz w:val="24"/>
                <w:szCs w:val="36"/>
              </w:rPr>
              <w:t>15mg/L</w:t>
            </w:r>
            <w:r>
              <w:rPr>
                <w:rFonts w:hint="eastAsia"/>
                <w:sz w:val="24"/>
                <w:szCs w:val="36"/>
              </w:rPr>
              <w:t>，</w:t>
            </w:r>
            <w:r>
              <w:rPr>
                <w:sz w:val="24"/>
                <w:szCs w:val="36"/>
              </w:rPr>
              <w:t>TN</w:t>
            </w:r>
            <w:r>
              <w:rPr>
                <w:rFonts w:hint="eastAsia"/>
                <w:sz w:val="24"/>
                <w:szCs w:val="36"/>
              </w:rPr>
              <w:t>：</w:t>
            </w:r>
            <w:r>
              <w:rPr>
                <w:sz w:val="24"/>
                <w:szCs w:val="36"/>
              </w:rPr>
              <w:t>80mg/L</w:t>
            </w:r>
            <w:r>
              <w:rPr>
                <w:rFonts w:hint="eastAsia"/>
                <w:sz w:val="24"/>
                <w:szCs w:val="36"/>
              </w:rPr>
              <w:t>。</w:t>
            </w:r>
          </w:p>
          <w:p w14:paraId="0C552F13">
            <w:pPr>
              <w:widowControl/>
              <w:numPr>
                <w:ilvl w:val="0"/>
                <w:numId w:val="6"/>
              </w:numPr>
              <w:spacing w:line="360" w:lineRule="auto"/>
              <w:ind w:firstLine="482" w:firstLineChars="200"/>
              <w:jc w:val="left"/>
              <w:rPr>
                <w:b/>
                <w:bCs/>
                <w:color w:val="000000"/>
                <w:kern w:val="0"/>
                <w:sz w:val="24"/>
                <w:lang w:bidi="ar"/>
              </w:rPr>
            </w:pPr>
            <w:r>
              <w:rPr>
                <w:rFonts w:hint="eastAsia"/>
                <w:b/>
                <w:bCs/>
                <w:color w:val="000000"/>
                <w:kern w:val="0"/>
                <w:sz w:val="24"/>
                <w:lang w:bidi="ar"/>
              </w:rPr>
              <w:t>设备冲洗废水</w:t>
            </w:r>
          </w:p>
          <w:p w14:paraId="3AFBAA19">
            <w:pPr>
              <w:adjustRightInd w:val="0"/>
              <w:snapToGrid w:val="0"/>
              <w:spacing w:line="360" w:lineRule="auto"/>
              <w:ind w:firstLine="480" w:firstLineChars="200"/>
              <w:rPr>
                <w:color w:val="000000"/>
                <w:kern w:val="0"/>
                <w:sz w:val="24"/>
                <w:lang w:bidi="ar"/>
              </w:rPr>
            </w:pPr>
            <w:r>
              <w:rPr>
                <w:sz w:val="24"/>
                <w:szCs w:val="36"/>
              </w:rPr>
              <w:t>项目</w:t>
            </w:r>
            <w:r>
              <w:rPr>
                <w:rFonts w:hint="eastAsia"/>
                <w:sz w:val="24"/>
                <w:szCs w:val="36"/>
              </w:rPr>
              <w:t>配置3个22m³</w:t>
            </w:r>
            <w:r>
              <w:rPr>
                <w:sz w:val="24"/>
                <w:szCs w:val="36"/>
              </w:rPr>
              <w:t>垃圾压缩集装箱</w:t>
            </w:r>
            <w:r>
              <w:rPr>
                <w:rFonts w:hint="eastAsia"/>
                <w:sz w:val="24"/>
                <w:szCs w:val="36"/>
              </w:rPr>
              <w:t>，每天进行1次清洗</w:t>
            </w:r>
            <w:r>
              <w:rPr>
                <w:sz w:val="24"/>
                <w:szCs w:val="36"/>
              </w:rPr>
              <w:t>，</w:t>
            </w:r>
            <w:r>
              <w:rPr>
                <w:rFonts w:hint="eastAsia"/>
                <w:sz w:val="24"/>
                <w:szCs w:val="36"/>
              </w:rPr>
              <w:t>类比同行业，</w:t>
            </w:r>
            <w:r>
              <w:rPr>
                <w:sz w:val="24"/>
                <w:szCs w:val="36"/>
              </w:rPr>
              <w:t>按照100L/只•次。因此本项目垃圾箱体冲洗用水量为</w:t>
            </w:r>
            <w:r>
              <w:rPr>
                <w:rFonts w:hint="eastAsia"/>
                <w:sz w:val="24"/>
                <w:szCs w:val="36"/>
              </w:rPr>
              <w:t>0.3</w:t>
            </w:r>
            <w:r>
              <w:rPr>
                <w:sz w:val="24"/>
                <w:szCs w:val="36"/>
              </w:rPr>
              <w:t>m</w:t>
            </w:r>
            <w:r>
              <w:rPr>
                <w:sz w:val="24"/>
                <w:szCs w:val="36"/>
                <w:vertAlign w:val="superscript"/>
              </w:rPr>
              <w:t>3</w:t>
            </w:r>
            <w:r>
              <w:rPr>
                <w:sz w:val="24"/>
                <w:szCs w:val="36"/>
              </w:rPr>
              <w:t>/d</w:t>
            </w:r>
            <w:r>
              <w:rPr>
                <w:rFonts w:hint="eastAsia"/>
                <w:sz w:val="24"/>
                <w:szCs w:val="36"/>
                <w:lang w:eastAsia="zh-CN"/>
              </w:rPr>
              <w:t>(</w:t>
            </w:r>
            <w:r>
              <w:rPr>
                <w:rFonts w:hint="eastAsia"/>
                <w:sz w:val="24"/>
                <w:szCs w:val="36"/>
              </w:rPr>
              <w:t>109.5</w:t>
            </w:r>
            <w:r>
              <w:rPr>
                <w:sz w:val="24"/>
                <w:szCs w:val="36"/>
              </w:rPr>
              <w:t>m</w:t>
            </w:r>
            <w:r>
              <w:rPr>
                <w:sz w:val="24"/>
                <w:szCs w:val="36"/>
                <w:vertAlign w:val="superscript"/>
              </w:rPr>
              <w:t>3</w:t>
            </w:r>
            <w:r>
              <w:rPr>
                <w:sz w:val="24"/>
                <w:szCs w:val="36"/>
              </w:rPr>
              <w:t>/a</w:t>
            </w:r>
            <w:r>
              <w:rPr>
                <w:rFonts w:hint="eastAsia"/>
                <w:sz w:val="24"/>
                <w:szCs w:val="36"/>
                <w:lang w:eastAsia="zh-CN"/>
              </w:rPr>
              <w:t>)</w:t>
            </w:r>
            <w:r>
              <w:rPr>
                <w:sz w:val="24"/>
                <w:szCs w:val="36"/>
              </w:rPr>
              <w:t>。产污系数按0.8</w:t>
            </w:r>
            <w:r>
              <w:rPr>
                <w:rFonts w:hint="eastAsia"/>
                <w:sz w:val="24"/>
                <w:szCs w:val="36"/>
              </w:rPr>
              <w:t>5</w:t>
            </w:r>
            <w:r>
              <w:rPr>
                <w:sz w:val="24"/>
                <w:szCs w:val="36"/>
              </w:rPr>
              <w:t>计，则项目垃圾箱体冲洗废水产生量为</w:t>
            </w:r>
            <w:r>
              <w:rPr>
                <w:rFonts w:hint="eastAsia"/>
                <w:sz w:val="24"/>
                <w:szCs w:val="36"/>
              </w:rPr>
              <w:t>0.255</w:t>
            </w:r>
            <w:r>
              <w:rPr>
                <w:sz w:val="24"/>
                <w:szCs w:val="36"/>
              </w:rPr>
              <w:t>m</w:t>
            </w:r>
            <w:r>
              <w:rPr>
                <w:sz w:val="24"/>
                <w:szCs w:val="36"/>
                <w:vertAlign w:val="superscript"/>
              </w:rPr>
              <w:t>3/</w:t>
            </w:r>
            <w:r>
              <w:rPr>
                <w:sz w:val="24"/>
                <w:szCs w:val="36"/>
              </w:rPr>
              <w:t>d</w:t>
            </w:r>
            <w:r>
              <w:rPr>
                <w:rFonts w:hint="eastAsia"/>
                <w:sz w:val="24"/>
                <w:szCs w:val="36"/>
              </w:rPr>
              <w:t>（93.075</w:t>
            </w:r>
            <w:r>
              <w:rPr>
                <w:sz w:val="24"/>
                <w:szCs w:val="36"/>
              </w:rPr>
              <w:t>m</w:t>
            </w:r>
            <w:r>
              <w:rPr>
                <w:sz w:val="24"/>
                <w:szCs w:val="36"/>
                <w:vertAlign w:val="superscript"/>
              </w:rPr>
              <w:t>3</w:t>
            </w:r>
            <w:r>
              <w:rPr>
                <w:sz w:val="24"/>
                <w:szCs w:val="36"/>
              </w:rPr>
              <w:t>/a</w:t>
            </w:r>
            <w:r>
              <w:rPr>
                <w:rFonts w:hint="eastAsia"/>
                <w:sz w:val="24"/>
                <w:szCs w:val="36"/>
              </w:rPr>
              <w:t xml:space="preserve">）。设备冲洗废水主要污染因子浓度为 </w:t>
            </w:r>
            <w:r>
              <w:rPr>
                <w:sz w:val="24"/>
                <w:szCs w:val="36"/>
              </w:rPr>
              <w:t>CODcr</w:t>
            </w:r>
            <w:r>
              <w:rPr>
                <w:rFonts w:hint="eastAsia"/>
                <w:sz w:val="24"/>
                <w:szCs w:val="36"/>
              </w:rPr>
              <w:t>：</w:t>
            </w:r>
            <w:r>
              <w:rPr>
                <w:sz w:val="24"/>
                <w:szCs w:val="36"/>
              </w:rPr>
              <w:t>2500mg/L</w:t>
            </w:r>
            <w:r>
              <w:rPr>
                <w:rFonts w:hint="eastAsia"/>
                <w:sz w:val="24"/>
                <w:szCs w:val="36"/>
              </w:rPr>
              <w:t>、</w:t>
            </w:r>
            <w:r>
              <w:rPr>
                <w:sz w:val="24"/>
                <w:szCs w:val="36"/>
              </w:rPr>
              <w:t>BOD</w:t>
            </w:r>
            <w:r>
              <w:rPr>
                <w:sz w:val="24"/>
                <w:szCs w:val="36"/>
                <w:vertAlign w:val="subscript"/>
              </w:rPr>
              <w:t>5</w:t>
            </w:r>
            <w:r>
              <w:rPr>
                <w:rFonts w:hint="eastAsia"/>
                <w:sz w:val="24"/>
                <w:szCs w:val="36"/>
                <w:vertAlign w:val="subscript"/>
                <w:lang w:eastAsia="zh-CN"/>
              </w:rPr>
              <w:t>:</w:t>
            </w:r>
            <w:r>
              <w:rPr>
                <w:sz w:val="24"/>
                <w:szCs w:val="36"/>
              </w:rPr>
              <w:t>1000mg/L</w:t>
            </w:r>
            <w:r>
              <w:rPr>
                <w:rFonts w:hint="eastAsia"/>
                <w:sz w:val="24"/>
                <w:szCs w:val="36"/>
              </w:rPr>
              <w:t>、</w:t>
            </w:r>
            <w:r>
              <w:rPr>
                <w:sz w:val="24"/>
                <w:szCs w:val="36"/>
              </w:rPr>
              <w:t>SS</w:t>
            </w:r>
            <w:r>
              <w:rPr>
                <w:rFonts w:hint="eastAsia"/>
                <w:sz w:val="24"/>
                <w:szCs w:val="36"/>
              </w:rPr>
              <w:t>：</w:t>
            </w:r>
            <w:r>
              <w:rPr>
                <w:sz w:val="24"/>
                <w:szCs w:val="36"/>
              </w:rPr>
              <w:t>400mg/L</w:t>
            </w:r>
            <w:r>
              <w:rPr>
                <w:rFonts w:hint="eastAsia"/>
                <w:sz w:val="24"/>
                <w:szCs w:val="36"/>
              </w:rPr>
              <w:t>、</w:t>
            </w:r>
            <w:r>
              <w:rPr>
                <w:sz w:val="24"/>
                <w:szCs w:val="36"/>
              </w:rPr>
              <w:t>NH</w:t>
            </w:r>
            <w:r>
              <w:rPr>
                <w:sz w:val="24"/>
                <w:szCs w:val="36"/>
                <w:vertAlign w:val="subscript"/>
              </w:rPr>
              <w:t>3</w:t>
            </w:r>
            <w:r>
              <w:rPr>
                <w:sz w:val="24"/>
                <w:szCs w:val="36"/>
              </w:rPr>
              <w:t>-N</w:t>
            </w:r>
            <w:r>
              <w:rPr>
                <w:rFonts w:hint="eastAsia"/>
                <w:sz w:val="24"/>
                <w:szCs w:val="36"/>
              </w:rPr>
              <w:t>：</w:t>
            </w:r>
            <w:r>
              <w:rPr>
                <w:sz w:val="24"/>
                <w:szCs w:val="36"/>
              </w:rPr>
              <w:t>40mg/L</w:t>
            </w:r>
            <w:r>
              <w:rPr>
                <w:rFonts w:hint="eastAsia"/>
                <w:sz w:val="24"/>
                <w:szCs w:val="36"/>
              </w:rPr>
              <w:t xml:space="preserve">、 </w:t>
            </w:r>
            <w:r>
              <w:rPr>
                <w:sz w:val="24"/>
                <w:szCs w:val="36"/>
              </w:rPr>
              <w:t>TP</w:t>
            </w:r>
            <w:r>
              <w:rPr>
                <w:rFonts w:hint="eastAsia"/>
                <w:sz w:val="24"/>
                <w:szCs w:val="36"/>
              </w:rPr>
              <w:t>：</w:t>
            </w:r>
            <w:r>
              <w:rPr>
                <w:sz w:val="24"/>
                <w:szCs w:val="36"/>
              </w:rPr>
              <w:t>15mg/L</w:t>
            </w:r>
            <w:r>
              <w:rPr>
                <w:rFonts w:hint="eastAsia"/>
                <w:sz w:val="24"/>
                <w:szCs w:val="36"/>
              </w:rPr>
              <w:t>，</w:t>
            </w:r>
            <w:r>
              <w:rPr>
                <w:sz w:val="24"/>
                <w:szCs w:val="36"/>
              </w:rPr>
              <w:t>TN</w:t>
            </w:r>
            <w:r>
              <w:rPr>
                <w:rFonts w:hint="eastAsia"/>
                <w:sz w:val="24"/>
                <w:szCs w:val="36"/>
              </w:rPr>
              <w:t>：</w:t>
            </w:r>
            <w:r>
              <w:rPr>
                <w:sz w:val="24"/>
                <w:szCs w:val="36"/>
              </w:rPr>
              <w:t>80mg/L</w:t>
            </w:r>
            <w:r>
              <w:rPr>
                <w:rFonts w:hint="eastAsia"/>
                <w:sz w:val="24"/>
                <w:szCs w:val="36"/>
              </w:rPr>
              <w:t>。</w:t>
            </w:r>
          </w:p>
          <w:p w14:paraId="63B94269">
            <w:pPr>
              <w:widowControl/>
              <w:numPr>
                <w:ilvl w:val="0"/>
                <w:numId w:val="6"/>
              </w:numPr>
              <w:spacing w:line="360" w:lineRule="auto"/>
              <w:ind w:firstLine="482" w:firstLineChars="200"/>
              <w:jc w:val="left"/>
              <w:rPr>
                <w:b/>
                <w:bCs/>
                <w:color w:val="000000"/>
                <w:kern w:val="0"/>
                <w:sz w:val="24"/>
                <w:lang w:bidi="ar"/>
              </w:rPr>
            </w:pPr>
            <w:r>
              <w:rPr>
                <w:rFonts w:hint="eastAsia"/>
                <w:b/>
                <w:bCs/>
                <w:color w:val="000000"/>
                <w:kern w:val="0"/>
                <w:sz w:val="24"/>
                <w:lang w:bidi="ar"/>
              </w:rPr>
              <w:t>车间地面清洁废水</w:t>
            </w:r>
          </w:p>
          <w:p w14:paraId="55358FAF">
            <w:pPr>
              <w:adjustRightInd w:val="0"/>
              <w:snapToGrid w:val="0"/>
              <w:spacing w:line="360" w:lineRule="auto"/>
              <w:ind w:firstLine="480" w:firstLineChars="200"/>
              <w:rPr>
                <w:sz w:val="24"/>
                <w:szCs w:val="36"/>
              </w:rPr>
            </w:pPr>
            <w:r>
              <w:rPr>
                <w:rFonts w:hint="eastAsia"/>
                <w:sz w:val="24"/>
                <w:szCs w:val="36"/>
              </w:rPr>
              <w:t>本项目类比同行业，参照《四川省用水定额》（川府函〔2021〕8 号）中生活垃圾中转站用水定额，地面清洁用水按1L/</w:t>
            </w:r>
            <w:r>
              <w:rPr>
                <w:rFonts w:hint="eastAsia"/>
                <w:sz w:val="24"/>
                <w:szCs w:val="36"/>
                <w:lang w:eastAsia="zh-CN"/>
              </w:rPr>
              <w:t>（</w:t>
            </w:r>
            <w:r>
              <w:rPr>
                <w:rFonts w:hint="eastAsia"/>
                <w:sz w:val="24"/>
                <w:szCs w:val="36"/>
              </w:rPr>
              <w:t>m</w:t>
            </w:r>
            <w:r>
              <w:rPr>
                <w:rFonts w:hint="eastAsia"/>
                <w:sz w:val="24"/>
                <w:szCs w:val="36"/>
                <w:vertAlign w:val="superscript"/>
              </w:rPr>
              <w:t>2</w:t>
            </w:r>
            <w:r>
              <w:rPr>
                <w:rFonts w:hint="eastAsia"/>
                <w:sz w:val="24"/>
                <w:szCs w:val="36"/>
              </w:rPr>
              <w:t>·次</w:t>
            </w:r>
            <w:r>
              <w:rPr>
                <w:rFonts w:hint="eastAsia"/>
                <w:sz w:val="24"/>
                <w:szCs w:val="36"/>
                <w:lang w:eastAsia="zh-CN"/>
              </w:rPr>
              <w:t>）</w:t>
            </w:r>
            <w:r>
              <w:rPr>
                <w:rFonts w:hint="eastAsia"/>
                <w:sz w:val="24"/>
                <w:szCs w:val="36"/>
              </w:rPr>
              <w:t>计，冲洗本项目每天需冲洗面积为1173.77m</w:t>
            </w:r>
            <w:r>
              <w:rPr>
                <w:rFonts w:hint="eastAsia"/>
                <w:sz w:val="24"/>
                <w:szCs w:val="36"/>
                <w:vertAlign w:val="superscript"/>
              </w:rPr>
              <w:t>2</w:t>
            </w:r>
            <w:r>
              <w:rPr>
                <w:rFonts w:hint="eastAsia"/>
                <w:sz w:val="24"/>
                <w:szCs w:val="36"/>
              </w:rPr>
              <w:t>，因此地面冲洗用水量为1.17m</w:t>
            </w:r>
            <w:r>
              <w:rPr>
                <w:rFonts w:hint="eastAsia"/>
                <w:sz w:val="24"/>
                <w:szCs w:val="36"/>
                <w:vertAlign w:val="superscript"/>
              </w:rPr>
              <w:t>3</w:t>
            </w:r>
            <w:r>
              <w:rPr>
                <w:rFonts w:hint="eastAsia"/>
                <w:sz w:val="24"/>
                <w:szCs w:val="36"/>
              </w:rPr>
              <w:t>/d(428.43m</w:t>
            </w:r>
            <w:r>
              <w:rPr>
                <w:rFonts w:hint="eastAsia"/>
                <w:sz w:val="24"/>
                <w:szCs w:val="36"/>
                <w:vertAlign w:val="superscript"/>
              </w:rPr>
              <w:t>3</w:t>
            </w:r>
            <w:r>
              <w:rPr>
                <w:rFonts w:hint="eastAsia"/>
                <w:sz w:val="24"/>
                <w:szCs w:val="36"/>
              </w:rPr>
              <w:t>/a</w:t>
            </w:r>
            <w:r>
              <w:rPr>
                <w:rFonts w:hint="eastAsia"/>
                <w:sz w:val="24"/>
                <w:szCs w:val="36"/>
                <w:lang w:eastAsia="zh-CN"/>
              </w:rPr>
              <w:t>）</w:t>
            </w:r>
            <w:r>
              <w:rPr>
                <w:rFonts w:hint="eastAsia"/>
                <w:sz w:val="24"/>
                <w:szCs w:val="36"/>
              </w:rPr>
              <w:t>。产污系数按0.85计，则项目地面冲洗废水产生量为0.99m</w:t>
            </w:r>
            <w:r>
              <w:rPr>
                <w:rFonts w:hint="eastAsia"/>
                <w:sz w:val="24"/>
                <w:szCs w:val="36"/>
                <w:vertAlign w:val="superscript"/>
              </w:rPr>
              <w:t>3</w:t>
            </w:r>
            <w:r>
              <w:rPr>
                <w:rFonts w:hint="eastAsia"/>
                <w:sz w:val="24"/>
                <w:szCs w:val="36"/>
              </w:rPr>
              <w:t>/d(362.99m</w:t>
            </w:r>
            <w:r>
              <w:rPr>
                <w:rFonts w:hint="eastAsia"/>
                <w:sz w:val="24"/>
                <w:szCs w:val="36"/>
                <w:vertAlign w:val="superscript"/>
              </w:rPr>
              <w:t>3</w:t>
            </w:r>
            <w:r>
              <w:rPr>
                <w:rFonts w:hint="eastAsia"/>
                <w:sz w:val="24"/>
                <w:szCs w:val="36"/>
              </w:rPr>
              <w:t>/a</w:t>
            </w:r>
            <w:r>
              <w:rPr>
                <w:rFonts w:hint="eastAsia"/>
                <w:sz w:val="24"/>
                <w:szCs w:val="36"/>
                <w:lang w:eastAsia="zh-CN"/>
              </w:rPr>
              <w:t>）</w:t>
            </w:r>
            <w:r>
              <w:rPr>
                <w:rFonts w:hint="eastAsia"/>
                <w:sz w:val="24"/>
                <w:szCs w:val="36"/>
              </w:rPr>
              <w:t xml:space="preserve">。地面冲洗废水主要污染因子浓度为 </w:t>
            </w:r>
            <w:r>
              <w:rPr>
                <w:sz w:val="24"/>
                <w:szCs w:val="36"/>
              </w:rPr>
              <w:t>CODcr</w:t>
            </w:r>
            <w:r>
              <w:rPr>
                <w:rFonts w:hint="eastAsia"/>
                <w:sz w:val="24"/>
                <w:szCs w:val="36"/>
              </w:rPr>
              <w:t>：</w:t>
            </w:r>
            <w:r>
              <w:rPr>
                <w:sz w:val="24"/>
                <w:szCs w:val="36"/>
              </w:rPr>
              <w:t>2500mg/L</w:t>
            </w:r>
            <w:r>
              <w:rPr>
                <w:rFonts w:hint="eastAsia"/>
                <w:sz w:val="24"/>
                <w:szCs w:val="36"/>
              </w:rPr>
              <w:t>、</w:t>
            </w:r>
            <w:r>
              <w:rPr>
                <w:sz w:val="24"/>
                <w:szCs w:val="36"/>
              </w:rPr>
              <w:t>BOD</w:t>
            </w:r>
            <w:r>
              <w:rPr>
                <w:sz w:val="24"/>
                <w:szCs w:val="36"/>
                <w:vertAlign w:val="subscript"/>
              </w:rPr>
              <w:t>5</w:t>
            </w:r>
            <w:r>
              <w:rPr>
                <w:rFonts w:hint="eastAsia"/>
                <w:sz w:val="24"/>
                <w:szCs w:val="36"/>
                <w:vertAlign w:val="subscript"/>
                <w:lang w:eastAsia="zh-CN"/>
              </w:rPr>
              <w:t>:</w:t>
            </w:r>
            <w:r>
              <w:rPr>
                <w:sz w:val="24"/>
                <w:szCs w:val="36"/>
              </w:rPr>
              <w:t>1000mg/L</w:t>
            </w:r>
            <w:r>
              <w:rPr>
                <w:rFonts w:hint="eastAsia"/>
                <w:sz w:val="24"/>
                <w:szCs w:val="36"/>
              </w:rPr>
              <w:t>、</w:t>
            </w:r>
            <w:r>
              <w:rPr>
                <w:sz w:val="24"/>
                <w:szCs w:val="36"/>
              </w:rPr>
              <w:t>SS</w:t>
            </w:r>
            <w:r>
              <w:rPr>
                <w:rFonts w:hint="eastAsia"/>
                <w:sz w:val="24"/>
                <w:szCs w:val="36"/>
              </w:rPr>
              <w:t>：</w:t>
            </w:r>
            <w:r>
              <w:rPr>
                <w:sz w:val="24"/>
                <w:szCs w:val="36"/>
              </w:rPr>
              <w:t>400mg/L</w:t>
            </w:r>
            <w:r>
              <w:rPr>
                <w:rFonts w:hint="eastAsia"/>
                <w:sz w:val="24"/>
                <w:szCs w:val="36"/>
              </w:rPr>
              <w:t>、</w:t>
            </w:r>
            <w:r>
              <w:rPr>
                <w:sz w:val="24"/>
                <w:szCs w:val="36"/>
              </w:rPr>
              <w:t>NH</w:t>
            </w:r>
            <w:r>
              <w:rPr>
                <w:sz w:val="24"/>
                <w:szCs w:val="36"/>
                <w:vertAlign w:val="subscript"/>
              </w:rPr>
              <w:t>3</w:t>
            </w:r>
            <w:r>
              <w:rPr>
                <w:sz w:val="24"/>
                <w:szCs w:val="36"/>
              </w:rPr>
              <w:t>-N</w:t>
            </w:r>
            <w:r>
              <w:rPr>
                <w:rFonts w:hint="eastAsia"/>
                <w:sz w:val="24"/>
                <w:szCs w:val="36"/>
              </w:rPr>
              <w:t>：</w:t>
            </w:r>
            <w:r>
              <w:rPr>
                <w:sz w:val="24"/>
                <w:szCs w:val="36"/>
              </w:rPr>
              <w:t>40mg/L</w:t>
            </w:r>
            <w:r>
              <w:rPr>
                <w:rFonts w:hint="eastAsia"/>
                <w:sz w:val="24"/>
                <w:szCs w:val="36"/>
              </w:rPr>
              <w:t xml:space="preserve">、 </w:t>
            </w:r>
            <w:r>
              <w:rPr>
                <w:sz w:val="24"/>
                <w:szCs w:val="36"/>
              </w:rPr>
              <w:t>TP</w:t>
            </w:r>
            <w:r>
              <w:rPr>
                <w:rFonts w:hint="eastAsia"/>
                <w:sz w:val="24"/>
                <w:szCs w:val="36"/>
              </w:rPr>
              <w:t>：</w:t>
            </w:r>
            <w:r>
              <w:rPr>
                <w:sz w:val="24"/>
                <w:szCs w:val="36"/>
              </w:rPr>
              <w:t>15mg/L</w:t>
            </w:r>
            <w:r>
              <w:rPr>
                <w:rFonts w:hint="eastAsia"/>
                <w:sz w:val="24"/>
                <w:szCs w:val="36"/>
              </w:rPr>
              <w:t>，</w:t>
            </w:r>
            <w:r>
              <w:rPr>
                <w:sz w:val="24"/>
                <w:szCs w:val="36"/>
              </w:rPr>
              <w:t>TN</w:t>
            </w:r>
            <w:r>
              <w:rPr>
                <w:rFonts w:hint="eastAsia"/>
                <w:sz w:val="24"/>
                <w:szCs w:val="36"/>
              </w:rPr>
              <w:t>：</w:t>
            </w:r>
            <w:r>
              <w:rPr>
                <w:sz w:val="24"/>
                <w:szCs w:val="36"/>
              </w:rPr>
              <w:t>80mg/L</w:t>
            </w:r>
            <w:r>
              <w:rPr>
                <w:rFonts w:hint="eastAsia"/>
                <w:sz w:val="24"/>
                <w:szCs w:val="36"/>
              </w:rPr>
              <w:t>。</w:t>
            </w:r>
          </w:p>
          <w:p w14:paraId="02D608BD">
            <w:pPr>
              <w:widowControl/>
              <w:numPr>
                <w:ilvl w:val="0"/>
                <w:numId w:val="6"/>
              </w:numPr>
              <w:spacing w:line="360" w:lineRule="auto"/>
              <w:ind w:firstLine="482" w:firstLineChars="200"/>
              <w:jc w:val="left"/>
              <w:rPr>
                <w:b/>
                <w:bCs/>
                <w:color w:val="000000"/>
                <w:kern w:val="0"/>
                <w:sz w:val="24"/>
                <w:lang w:bidi="ar"/>
              </w:rPr>
            </w:pPr>
            <w:r>
              <w:rPr>
                <w:rFonts w:hint="eastAsia"/>
                <w:b/>
                <w:bCs/>
                <w:color w:val="000000"/>
                <w:kern w:val="0"/>
                <w:sz w:val="24"/>
                <w:lang w:bidi="ar"/>
              </w:rPr>
              <w:t>喷淋除臭系统废水</w:t>
            </w:r>
          </w:p>
          <w:p w14:paraId="6819FE2B">
            <w:pPr>
              <w:widowControl/>
              <w:wordWrap w:val="0"/>
              <w:spacing w:line="360" w:lineRule="auto"/>
              <w:ind w:firstLine="480" w:firstLineChars="200"/>
              <w:jc w:val="left"/>
              <w:rPr>
                <w:sz w:val="24"/>
                <w:szCs w:val="36"/>
              </w:rPr>
            </w:pPr>
            <w:r>
              <w:rPr>
                <w:rFonts w:hint="eastAsia"/>
                <w:sz w:val="24"/>
                <w:szCs w:val="36"/>
              </w:rPr>
              <w:t>根据设计资料及类比同类项目，负压抽风除臭系统除臭塔内的循环除臭工作液7</w:t>
            </w:r>
            <w:r>
              <w:rPr>
                <w:rFonts w:hint="eastAsia"/>
                <w:sz w:val="24"/>
                <w:szCs w:val="36"/>
                <w:lang w:eastAsia="zh-CN"/>
              </w:rPr>
              <w:t>～</w:t>
            </w:r>
            <w:r>
              <w:rPr>
                <w:rFonts w:hint="eastAsia"/>
                <w:sz w:val="24"/>
                <w:szCs w:val="36"/>
              </w:rPr>
              <w:t>10d更换一次（本次评价按10d计），每次需更换0.8m³工作液，则产生废液约29.2m³/a。</w:t>
            </w:r>
            <w:r>
              <w:rPr>
                <w:rFonts w:hint="eastAsia"/>
                <w:snapToGrid w:val="0"/>
                <w:color w:val="000000"/>
                <w:sz w:val="24"/>
              </w:rPr>
              <w:t xml:space="preserve">除臭及喷淋系统废水主要污染因子浓度为 </w:t>
            </w:r>
            <w:r>
              <w:rPr>
                <w:snapToGrid w:val="0"/>
                <w:color w:val="000000"/>
                <w:sz w:val="24"/>
              </w:rPr>
              <w:t>CODcr</w:t>
            </w:r>
            <w:r>
              <w:rPr>
                <w:rFonts w:hint="eastAsia"/>
                <w:snapToGrid w:val="0"/>
                <w:color w:val="000000"/>
                <w:sz w:val="24"/>
              </w:rPr>
              <w:t>：</w:t>
            </w:r>
            <w:r>
              <w:rPr>
                <w:snapToGrid w:val="0"/>
                <w:color w:val="000000"/>
                <w:sz w:val="24"/>
              </w:rPr>
              <w:t>1000mg/L</w:t>
            </w:r>
            <w:r>
              <w:rPr>
                <w:rFonts w:hint="eastAsia"/>
                <w:snapToGrid w:val="0"/>
                <w:color w:val="000000"/>
                <w:sz w:val="24"/>
              </w:rPr>
              <w:t xml:space="preserve">、 </w:t>
            </w:r>
            <w:r>
              <w:rPr>
                <w:snapToGrid w:val="0"/>
                <w:color w:val="000000"/>
                <w:sz w:val="24"/>
              </w:rPr>
              <w:t>BOD</w:t>
            </w:r>
            <w:r>
              <w:rPr>
                <w:snapToGrid w:val="0"/>
                <w:color w:val="000000"/>
                <w:sz w:val="24"/>
                <w:vertAlign w:val="subscript"/>
              </w:rPr>
              <w:t>5</w:t>
            </w:r>
            <w:r>
              <w:rPr>
                <w:rFonts w:hint="eastAsia"/>
                <w:snapToGrid w:val="0"/>
                <w:color w:val="000000"/>
                <w:sz w:val="24"/>
                <w:vertAlign w:val="subscript"/>
                <w:lang w:eastAsia="zh-CN"/>
              </w:rPr>
              <w:t>:</w:t>
            </w:r>
            <w:r>
              <w:rPr>
                <w:snapToGrid w:val="0"/>
                <w:color w:val="000000"/>
                <w:sz w:val="24"/>
              </w:rPr>
              <w:t>500mg/L</w:t>
            </w:r>
            <w:r>
              <w:rPr>
                <w:rFonts w:hint="eastAsia"/>
                <w:snapToGrid w:val="0"/>
                <w:color w:val="000000"/>
                <w:sz w:val="24"/>
              </w:rPr>
              <w:t>、</w:t>
            </w:r>
            <w:r>
              <w:rPr>
                <w:snapToGrid w:val="0"/>
                <w:color w:val="000000"/>
                <w:sz w:val="24"/>
              </w:rPr>
              <w:t>SS</w:t>
            </w:r>
            <w:r>
              <w:rPr>
                <w:rFonts w:hint="eastAsia"/>
                <w:snapToGrid w:val="0"/>
                <w:color w:val="000000"/>
                <w:sz w:val="24"/>
              </w:rPr>
              <w:t>：</w:t>
            </w:r>
            <w:r>
              <w:rPr>
                <w:snapToGrid w:val="0"/>
                <w:color w:val="000000"/>
                <w:sz w:val="24"/>
              </w:rPr>
              <w:t>300mg/L</w:t>
            </w:r>
            <w:r>
              <w:rPr>
                <w:rFonts w:hint="eastAsia"/>
                <w:snapToGrid w:val="0"/>
                <w:color w:val="000000"/>
                <w:sz w:val="24"/>
              </w:rPr>
              <w:t>、</w:t>
            </w:r>
            <w:r>
              <w:rPr>
                <w:snapToGrid w:val="0"/>
                <w:color w:val="000000"/>
                <w:sz w:val="24"/>
              </w:rPr>
              <w:t>NH</w:t>
            </w:r>
            <w:r>
              <w:rPr>
                <w:snapToGrid w:val="0"/>
                <w:color w:val="000000"/>
                <w:sz w:val="24"/>
                <w:vertAlign w:val="subscript"/>
              </w:rPr>
              <w:t>3</w:t>
            </w:r>
            <w:r>
              <w:rPr>
                <w:snapToGrid w:val="0"/>
                <w:color w:val="000000"/>
                <w:sz w:val="24"/>
              </w:rPr>
              <w:t>-N</w:t>
            </w:r>
            <w:r>
              <w:rPr>
                <w:rFonts w:hint="eastAsia"/>
                <w:snapToGrid w:val="0"/>
                <w:color w:val="000000"/>
                <w:sz w:val="24"/>
              </w:rPr>
              <w:t>：</w:t>
            </w:r>
            <w:r>
              <w:rPr>
                <w:snapToGrid w:val="0"/>
                <w:color w:val="000000"/>
                <w:sz w:val="24"/>
              </w:rPr>
              <w:t>40mg/L</w:t>
            </w:r>
            <w:r>
              <w:rPr>
                <w:rFonts w:hint="eastAsia"/>
                <w:snapToGrid w:val="0"/>
                <w:color w:val="000000"/>
                <w:sz w:val="24"/>
              </w:rPr>
              <w:t>、</w:t>
            </w:r>
            <w:r>
              <w:rPr>
                <w:snapToGrid w:val="0"/>
                <w:color w:val="000000"/>
                <w:sz w:val="24"/>
              </w:rPr>
              <w:t>TP</w:t>
            </w:r>
            <w:r>
              <w:rPr>
                <w:rFonts w:hint="eastAsia"/>
                <w:snapToGrid w:val="0"/>
                <w:color w:val="000000"/>
                <w:sz w:val="24"/>
              </w:rPr>
              <w:t>：</w:t>
            </w:r>
            <w:r>
              <w:rPr>
                <w:snapToGrid w:val="0"/>
                <w:color w:val="000000"/>
                <w:sz w:val="24"/>
              </w:rPr>
              <w:t>40mg/L</w:t>
            </w:r>
            <w:r>
              <w:rPr>
                <w:rFonts w:hint="eastAsia"/>
                <w:snapToGrid w:val="0"/>
                <w:color w:val="000000"/>
                <w:sz w:val="24"/>
              </w:rPr>
              <w:t>，</w:t>
            </w:r>
            <w:r>
              <w:rPr>
                <w:snapToGrid w:val="0"/>
                <w:color w:val="000000"/>
                <w:sz w:val="24"/>
              </w:rPr>
              <w:t>TN</w:t>
            </w:r>
            <w:r>
              <w:rPr>
                <w:rFonts w:hint="eastAsia"/>
                <w:snapToGrid w:val="0"/>
                <w:color w:val="000000"/>
                <w:sz w:val="24"/>
              </w:rPr>
              <w:t>：</w:t>
            </w:r>
            <w:r>
              <w:rPr>
                <w:snapToGrid w:val="0"/>
                <w:color w:val="000000"/>
                <w:sz w:val="24"/>
              </w:rPr>
              <w:t>100mg/L</w:t>
            </w:r>
          </w:p>
          <w:p w14:paraId="4838AAB7">
            <w:pPr>
              <w:widowControl/>
              <w:wordWrap w:val="0"/>
              <w:spacing w:line="360" w:lineRule="auto"/>
              <w:ind w:firstLine="482" w:firstLineChars="200"/>
              <w:jc w:val="left"/>
              <w:rPr>
                <w:color w:val="000000"/>
                <w:kern w:val="0"/>
                <w:sz w:val="24"/>
                <w:lang w:bidi="ar"/>
              </w:rPr>
            </w:pPr>
            <w:r>
              <w:rPr>
                <w:rFonts w:hint="eastAsia"/>
                <w:b/>
                <w:bCs/>
                <w:color w:val="000000"/>
                <w:kern w:val="0"/>
                <w:sz w:val="24"/>
                <w:lang w:bidi="ar"/>
              </w:rPr>
              <w:t>治理措施：</w:t>
            </w:r>
            <w:r>
              <w:rPr>
                <w:rFonts w:hint="eastAsia"/>
                <w:color w:val="000000"/>
                <w:kern w:val="0"/>
                <w:sz w:val="24"/>
                <w:lang w:bidi="ar"/>
              </w:rPr>
              <w:t>本项目自建污水处理设施，以上生产废水经自建污水处理系统（“高效预处理+MBR系统（二级硝化反硝化+超滤）”）处理后污染物浓度达到《污水综合排放标准》（GB8978-1996）中三级排放标准，其中氨氮、总氮、总磷执行《污水排放城镇下水道水质标准》（GB/T31962-2015）中B等级标准并满足达州市第二城市生活污水处理厂的进水水质标准要求后，排入市政污水管网，最终排入达州市第二城市生活污水处理厂进一步处理达标后排放。</w:t>
            </w:r>
          </w:p>
          <w:p w14:paraId="40F9F8F6">
            <w:pPr>
              <w:numPr>
                <w:ilvl w:val="0"/>
                <w:numId w:val="6"/>
              </w:numPr>
              <w:adjustRightInd w:val="0"/>
              <w:snapToGrid w:val="0"/>
              <w:spacing w:line="360" w:lineRule="auto"/>
              <w:ind w:firstLine="482" w:firstLineChars="200"/>
              <w:rPr>
                <w:b/>
                <w:bCs/>
                <w:sz w:val="24"/>
                <w:szCs w:val="36"/>
              </w:rPr>
            </w:pPr>
            <w:r>
              <w:rPr>
                <w:rFonts w:hint="eastAsia"/>
                <w:b/>
                <w:bCs/>
                <w:sz w:val="24"/>
                <w:szCs w:val="36"/>
              </w:rPr>
              <w:t>初期雨水</w:t>
            </w:r>
          </w:p>
          <w:p w14:paraId="50D0BDF9">
            <w:pPr>
              <w:adjustRightInd w:val="0"/>
              <w:snapToGrid w:val="0"/>
              <w:spacing w:line="360" w:lineRule="auto"/>
              <w:ind w:firstLine="468" w:firstLineChars="200"/>
              <w:rPr>
                <w:rFonts w:cs="宋体"/>
                <w:spacing w:val="-3"/>
                <w:sz w:val="24"/>
              </w:rPr>
            </w:pPr>
            <w:r>
              <w:rPr>
                <w:rFonts w:hint="eastAsia" w:cs="宋体"/>
                <w:spacing w:val="-3"/>
                <w:sz w:val="24"/>
              </w:rPr>
              <w:t>本系统采用重力流排水，室外雨水系统采用达州市暴雨强度公式计算：</w:t>
            </w:r>
          </w:p>
          <w:p w14:paraId="7314D3AB">
            <w:pPr>
              <w:adjustRightInd w:val="0"/>
              <w:snapToGrid w:val="0"/>
              <w:spacing w:line="360" w:lineRule="auto"/>
              <w:ind w:firstLine="468" w:firstLineChars="200"/>
              <w:rPr>
                <w:rFonts w:hAnsi="Cambria Math" w:cs="宋体"/>
                <w:spacing w:val="-3"/>
                <w:sz w:val="24"/>
              </w:rPr>
            </w:pPr>
            <m:oMathPara>
              <m:oMath>
                <m:r>
                  <m:rPr>
                    <m:sty m:val="p"/>
                  </m:rPr>
                  <w:rPr>
                    <w:rFonts w:ascii="Cambria Math" w:hAnsi="Cambria Math" w:cs="宋体"/>
                    <w:spacing w:val="-3"/>
                    <w:sz w:val="24"/>
                  </w:rPr>
                  <m:t>q=</m:t>
                </m:r>
                <m:f>
                  <m:fPr>
                    <m:ctrlPr>
                      <w:rPr>
                        <w:rFonts w:ascii="Cambria Math" w:hAnsi="Cambria Math" w:cs="宋体"/>
                        <w:spacing w:val="-3"/>
                        <w:sz w:val="24"/>
                      </w:rPr>
                    </m:ctrlPr>
                  </m:fPr>
                  <m:num>
                    <m:r>
                      <m:rPr>
                        <m:sty m:val="p"/>
                      </m:rPr>
                      <w:rPr>
                        <w:rFonts w:ascii="Cambria Math" w:hAnsi="Cambria Math" w:cs="宋体"/>
                        <w:spacing w:val="-3"/>
                        <w:sz w:val="24"/>
                      </w:rPr>
                      <m:t>928.799×</m:t>
                    </m:r>
                    <m:r>
                      <m:rPr>
                        <m:sty m:val="p"/>
                      </m:rPr>
                      <w:rPr>
                        <w:rFonts w:hint="default" w:ascii="Cambria Math" w:hAnsi="Cambria Math" w:cs="宋体"/>
                        <w:spacing w:val="-3"/>
                        <w:sz w:val="24"/>
                        <w:lang w:eastAsia="zh-CN"/>
                      </w:rPr>
                      <m:t>(</m:t>
                    </m:r>
                    <m:r>
                      <m:rPr>
                        <m:sty m:val="p"/>
                      </m:rPr>
                      <w:rPr>
                        <w:rFonts w:ascii="Cambria Math" w:hAnsi="Cambria Math" w:cs="宋体"/>
                        <w:spacing w:val="-3"/>
                        <w:sz w:val="24"/>
                      </w:rPr>
                      <m:t>1+0.818LgP</m:t>
                    </m:r>
                    <m:r>
                      <m:rPr>
                        <m:sty m:val="p"/>
                      </m:rPr>
                      <w:rPr>
                        <w:rFonts w:hint="default" w:ascii="Cambria Math" w:hAnsi="Cambria Math" w:cs="宋体"/>
                        <w:spacing w:val="-3"/>
                        <w:sz w:val="24"/>
                        <w:lang w:eastAsia="zh-CN"/>
                      </w:rPr>
                      <m:t>)</m:t>
                    </m:r>
                    <m:ctrlPr>
                      <w:rPr>
                        <w:rFonts w:ascii="Cambria Math" w:hAnsi="Cambria Math" w:cs="宋体"/>
                        <w:spacing w:val="-3"/>
                        <w:sz w:val="24"/>
                      </w:rPr>
                    </m:ctrlPr>
                  </m:num>
                  <m:den>
                    <m:r>
                      <m:rPr>
                        <m:sty m:val="p"/>
                      </m:rPr>
                      <w:rPr>
                        <w:rFonts w:hint="default" w:ascii="Cambria Math" w:hAnsi="Cambria Math" w:cs="宋体"/>
                        <w:spacing w:val="-3"/>
                        <w:sz w:val="24"/>
                        <w:lang w:eastAsia="zh-CN"/>
                      </w:rPr>
                      <m:t>(</m:t>
                    </m:r>
                    <m:r>
                      <m:rPr>
                        <m:sty m:val="p"/>
                      </m:rPr>
                      <w:rPr>
                        <w:rFonts w:ascii="Cambria Math" w:hAnsi="Cambria Math" w:cs="宋体"/>
                        <w:spacing w:val="-3"/>
                        <w:sz w:val="24"/>
                      </w:rPr>
                      <m:t>t+5.788</m:t>
                    </m:r>
                    <m:r>
                      <m:rPr>
                        <m:sty m:val="p"/>
                      </m:rPr>
                      <w:rPr>
                        <w:rFonts w:hint="default" w:ascii="Cambria Math" w:hAnsi="Cambria Math" w:cs="宋体"/>
                        <w:spacing w:val="-3"/>
                        <w:sz w:val="24"/>
                        <w:lang w:eastAsia="zh-CN"/>
                      </w:rPr>
                      <m:t>)</m:t>
                    </m:r>
                    <m:r>
                      <m:rPr>
                        <m:sty m:val="p"/>
                      </m:rPr>
                      <w:rPr>
                        <w:rFonts w:ascii="Cambria Math" w:hAnsi="Cambria Math" w:cs="宋体"/>
                        <w:spacing w:val="-3"/>
                        <w:sz w:val="24"/>
                      </w:rPr>
                      <m:t>×0.565</m:t>
                    </m:r>
                    <m:ctrlPr>
                      <w:rPr>
                        <w:rFonts w:ascii="Cambria Math" w:hAnsi="Cambria Math" w:cs="宋体"/>
                        <w:spacing w:val="-3"/>
                        <w:sz w:val="24"/>
                      </w:rPr>
                    </m:ctrlPr>
                  </m:den>
                </m:f>
              </m:oMath>
            </m:oMathPara>
          </w:p>
          <w:p w14:paraId="01093BA4">
            <w:pPr>
              <w:widowControl/>
              <w:wordWrap w:val="0"/>
              <w:adjustRightInd w:val="0"/>
              <w:spacing w:line="360" w:lineRule="auto"/>
              <w:ind w:firstLine="480" w:firstLineChars="200"/>
              <w:rPr>
                <w:bCs/>
                <w:sz w:val="24"/>
              </w:rPr>
            </w:pPr>
            <w:r>
              <w:rPr>
                <w:bCs/>
                <w:sz w:val="24"/>
              </w:rPr>
              <w:t>式中：P—设计降雨重现期，</w:t>
            </w:r>
            <w:r>
              <w:rPr>
                <w:rFonts w:hint="eastAsia"/>
                <w:bCs/>
                <w:sz w:val="24"/>
              </w:rPr>
              <w:t>5</w:t>
            </w:r>
            <w:r>
              <w:rPr>
                <w:bCs/>
                <w:sz w:val="24"/>
              </w:rPr>
              <w:t>年；</w:t>
            </w:r>
          </w:p>
          <w:p w14:paraId="5A41A113">
            <w:pPr>
              <w:widowControl/>
              <w:wordWrap w:val="0"/>
              <w:adjustRightInd w:val="0"/>
              <w:spacing w:line="360" w:lineRule="auto"/>
              <w:ind w:firstLine="1200" w:firstLineChars="500"/>
              <w:rPr>
                <w:bCs/>
                <w:sz w:val="24"/>
              </w:rPr>
            </w:pPr>
            <w:r>
              <w:rPr>
                <w:bCs/>
                <w:sz w:val="24"/>
              </w:rPr>
              <w:t>t—降雨历时，</w:t>
            </w:r>
            <w:r>
              <w:rPr>
                <w:rFonts w:hint="eastAsia"/>
                <w:bCs/>
                <w:sz w:val="24"/>
              </w:rPr>
              <w:t>8</w:t>
            </w:r>
            <w:r>
              <w:rPr>
                <w:bCs/>
                <w:sz w:val="24"/>
              </w:rPr>
              <w:t>min；</w:t>
            </w:r>
          </w:p>
          <w:p w14:paraId="22CD2CF9">
            <w:pPr>
              <w:widowControl/>
              <w:wordWrap w:val="0"/>
              <w:adjustRightInd w:val="0"/>
              <w:spacing w:line="360" w:lineRule="auto"/>
              <w:ind w:firstLine="1200" w:firstLineChars="500"/>
              <w:rPr>
                <w:bCs/>
                <w:sz w:val="24"/>
              </w:rPr>
            </w:pPr>
            <w:r>
              <w:rPr>
                <w:bCs/>
                <w:sz w:val="24"/>
              </w:rPr>
              <w:t>q—设计暴雨强度，升/秒·公顷</w:t>
            </w:r>
          </w:p>
          <w:p w14:paraId="34430DF2">
            <w:pPr>
              <w:widowControl/>
              <w:wordWrap w:val="0"/>
              <w:adjustRightInd w:val="0"/>
              <w:spacing w:line="360" w:lineRule="auto"/>
              <w:ind w:firstLine="480" w:firstLineChars="200"/>
              <w:rPr>
                <w:rFonts w:cs="宋体"/>
                <w:sz w:val="24"/>
              </w:rPr>
            </w:pPr>
            <w:r>
              <w:rPr>
                <w:rFonts w:hint="eastAsia"/>
                <w:bCs/>
                <w:sz w:val="24"/>
              </w:rPr>
              <w:t>根据以上公式</w:t>
            </w:r>
            <w:r>
              <w:rPr>
                <w:bCs/>
                <w:sz w:val="24"/>
              </w:rPr>
              <w:t>算出暴雨强度q</w:t>
            </w:r>
            <w:r>
              <w:rPr>
                <w:rFonts w:hint="eastAsia"/>
                <w:bCs/>
                <w:sz w:val="24"/>
              </w:rPr>
              <w:t>为300.09</w:t>
            </w:r>
            <w:r>
              <w:rPr>
                <w:bCs/>
                <w:sz w:val="24"/>
              </w:rPr>
              <w:t>L/s•hm</w:t>
            </w:r>
            <w:r>
              <w:rPr>
                <w:bCs/>
                <w:sz w:val="24"/>
                <w:vertAlign w:val="superscript"/>
              </w:rPr>
              <w:t>2</w:t>
            </w:r>
            <w:r>
              <w:rPr>
                <w:bCs/>
                <w:sz w:val="24"/>
              </w:rPr>
              <w:t>。一次暴雨最大雨水流量计</w:t>
            </w:r>
            <w:r>
              <w:rPr>
                <w:rFonts w:cs="宋体"/>
                <w:spacing w:val="-4"/>
                <w:sz w:val="24"/>
              </w:rPr>
              <w:t>算公式为：</w:t>
            </w:r>
          </w:p>
          <w:p w14:paraId="0B7ACD51">
            <w:pPr>
              <w:widowControl/>
              <w:jc w:val="center"/>
              <w:rPr>
                <w:color w:val="000000"/>
                <w:kern w:val="0"/>
                <w:sz w:val="24"/>
                <w:lang w:bidi="ar"/>
              </w:rPr>
            </w:pPr>
            <w:r>
              <w:rPr>
                <w:color w:val="000000"/>
                <w:kern w:val="0"/>
                <w:sz w:val="24"/>
                <w:lang w:bidi="ar"/>
              </w:rPr>
              <w:t>Q=qψ</w:t>
            </w:r>
            <w:r>
              <w:rPr>
                <w:rFonts w:hint="eastAsia"/>
                <w:color w:val="000000"/>
                <w:kern w:val="0"/>
                <w:sz w:val="24"/>
                <w:lang w:bidi="ar"/>
              </w:rPr>
              <w:t>F</w:t>
            </w:r>
          </w:p>
          <w:p w14:paraId="01234C16">
            <w:pPr>
              <w:widowControl/>
              <w:wordWrap w:val="0"/>
              <w:adjustRightInd w:val="0"/>
              <w:spacing w:line="360" w:lineRule="auto"/>
              <w:ind w:firstLine="480" w:firstLineChars="200"/>
              <w:rPr>
                <w:bCs/>
                <w:sz w:val="24"/>
              </w:rPr>
            </w:pPr>
            <w:r>
              <w:rPr>
                <w:bCs/>
                <w:sz w:val="24"/>
              </w:rPr>
              <w:t>式中</w:t>
            </w:r>
            <w:r>
              <w:rPr>
                <w:rFonts w:hint="eastAsia"/>
                <w:bCs/>
                <w:sz w:val="24"/>
              </w:rPr>
              <w:t>：</w:t>
            </w:r>
            <w:r>
              <w:rPr>
                <w:bCs/>
                <w:sz w:val="24"/>
              </w:rPr>
              <w:t>Ψ——径流系数</w:t>
            </w:r>
            <w:r>
              <w:rPr>
                <w:rFonts w:hint="eastAsia"/>
                <w:bCs/>
                <w:sz w:val="24"/>
              </w:rPr>
              <w:t>，取0.7；</w:t>
            </w:r>
          </w:p>
          <w:p w14:paraId="422A8930">
            <w:pPr>
              <w:widowControl/>
              <w:wordWrap w:val="0"/>
              <w:adjustRightInd w:val="0"/>
              <w:spacing w:line="360" w:lineRule="auto"/>
              <w:ind w:firstLine="1200" w:firstLineChars="500"/>
              <w:rPr>
                <w:bCs/>
                <w:sz w:val="24"/>
              </w:rPr>
            </w:pPr>
            <w:r>
              <w:rPr>
                <w:rFonts w:hint="eastAsia"/>
                <w:bCs/>
                <w:sz w:val="24"/>
              </w:rPr>
              <w:t>F</w:t>
            </w:r>
            <w:r>
              <w:rPr>
                <w:bCs/>
                <w:sz w:val="24"/>
              </w:rPr>
              <w:t>——汇水面积，hm</w:t>
            </w:r>
            <w:r>
              <w:rPr>
                <w:bCs/>
                <w:sz w:val="24"/>
                <w:vertAlign w:val="superscript"/>
              </w:rPr>
              <w:t>2</w:t>
            </w:r>
            <w:r>
              <w:rPr>
                <w:rFonts w:hint="eastAsia"/>
                <w:bCs/>
                <w:sz w:val="24"/>
              </w:rPr>
              <w:t>，取0.596hm</w:t>
            </w:r>
            <w:r>
              <w:rPr>
                <w:rFonts w:hint="eastAsia"/>
                <w:bCs/>
                <w:sz w:val="24"/>
                <w:vertAlign w:val="superscript"/>
              </w:rPr>
              <w:t>2</w:t>
            </w:r>
            <w:r>
              <w:rPr>
                <w:bCs/>
                <w:sz w:val="24"/>
              </w:rPr>
              <w:t>。</w:t>
            </w:r>
          </w:p>
          <w:p w14:paraId="74DDBBD2">
            <w:pPr>
              <w:widowControl/>
              <w:spacing w:line="360" w:lineRule="auto"/>
              <w:ind w:firstLine="480" w:firstLineChars="200"/>
              <w:jc w:val="left"/>
              <w:rPr>
                <w:color w:val="000000"/>
                <w:kern w:val="0"/>
                <w:sz w:val="24"/>
                <w:lang w:bidi="ar"/>
              </w:rPr>
            </w:pPr>
            <w:r>
              <w:rPr>
                <w:rFonts w:hint="eastAsia"/>
                <w:color w:val="000000"/>
                <w:kern w:val="0"/>
                <w:sz w:val="24"/>
                <w:lang w:bidi="ar"/>
              </w:rPr>
              <w:t>结合前文当地暴雨强度和最大初期雨水流量计算公式，得出项目最大雨水流量为125.2L/s，则初期雨水量约60.09m³/次，考虑</w:t>
            </w:r>
            <w:r>
              <w:rPr>
                <w:color w:val="000000"/>
                <w:kern w:val="0"/>
                <w:sz w:val="24"/>
                <w:lang w:bidi="ar"/>
              </w:rPr>
              <w:t>0.80</w:t>
            </w:r>
            <w:r>
              <w:rPr>
                <w:rFonts w:hint="eastAsia"/>
                <w:color w:val="000000"/>
                <w:kern w:val="0"/>
                <w:sz w:val="24"/>
                <w:lang w:bidi="ar"/>
              </w:rPr>
              <w:t>安全系数，故初期雨水沉淀池不应小75</w:t>
            </w:r>
            <w:r>
              <w:rPr>
                <w:color w:val="000000"/>
                <w:kern w:val="0"/>
                <w:sz w:val="24"/>
                <w:lang w:bidi="ar"/>
              </w:rPr>
              <w:t>m</w:t>
            </w:r>
            <w:r>
              <w:rPr>
                <w:color w:val="000000"/>
                <w:kern w:val="0"/>
                <w:sz w:val="24"/>
                <w:vertAlign w:val="superscript"/>
                <w:lang w:bidi="ar"/>
              </w:rPr>
              <w:t>3</w:t>
            </w:r>
            <w:r>
              <w:rPr>
                <w:rFonts w:hint="eastAsia"/>
                <w:color w:val="000000"/>
                <w:kern w:val="0"/>
                <w:sz w:val="24"/>
                <w:lang w:bidi="ar"/>
              </w:rPr>
              <w:t>。本项目在地势最低处设置一个容积75</w:t>
            </w:r>
            <w:r>
              <w:rPr>
                <w:color w:val="000000"/>
                <w:kern w:val="0"/>
                <w:sz w:val="24"/>
                <w:lang w:bidi="ar"/>
              </w:rPr>
              <w:t>m</w:t>
            </w:r>
            <w:r>
              <w:rPr>
                <w:color w:val="000000"/>
                <w:kern w:val="0"/>
                <w:sz w:val="24"/>
                <w:vertAlign w:val="superscript"/>
                <w:lang w:bidi="ar"/>
              </w:rPr>
              <w:t>3</w:t>
            </w:r>
            <w:r>
              <w:rPr>
                <w:rFonts w:hint="eastAsia"/>
                <w:color w:val="000000"/>
                <w:kern w:val="0"/>
                <w:sz w:val="24"/>
                <w:lang w:bidi="ar"/>
              </w:rPr>
              <w:t>的初期雨水收集池，满足要求。</w:t>
            </w:r>
          </w:p>
          <w:p w14:paraId="797B543B">
            <w:pPr>
              <w:widowControl/>
              <w:spacing w:line="360" w:lineRule="auto"/>
              <w:ind w:firstLine="482" w:firstLineChars="200"/>
              <w:jc w:val="left"/>
              <w:rPr>
                <w:color w:val="000000"/>
                <w:kern w:val="0"/>
                <w:sz w:val="24"/>
                <w:lang w:bidi="ar"/>
              </w:rPr>
            </w:pPr>
            <w:r>
              <w:rPr>
                <w:rFonts w:hint="eastAsia"/>
                <w:b/>
                <w:bCs/>
                <w:color w:val="000000"/>
                <w:kern w:val="0"/>
                <w:sz w:val="24"/>
                <w:lang w:bidi="ar"/>
              </w:rPr>
              <w:t>治理措施：</w:t>
            </w:r>
            <w:r>
              <w:rPr>
                <w:rFonts w:hint="eastAsia"/>
                <w:color w:val="000000"/>
                <w:kern w:val="0"/>
                <w:sz w:val="24"/>
                <w:lang w:bidi="ar"/>
              </w:rPr>
              <w:t>经场地内雨水沟自流汇入初期雨水收集池，初期雨水收集池设置应急切换阀，初期雨水收集后泵入自建污水处理系统处理，后期雨水经切换阀切换后直接排入雨水管网外排；另：本项目厂内跑冒滴漏产生的渗滤液通过路面清洗排入雨水边沟，进入初期雨水收集池后泵送至自建污水处理站处理。</w:t>
            </w:r>
          </w:p>
          <w:p w14:paraId="0B5B5FD6">
            <w:pPr>
              <w:numPr>
                <w:ilvl w:val="0"/>
                <w:numId w:val="6"/>
              </w:numPr>
              <w:adjustRightInd w:val="0"/>
              <w:snapToGrid w:val="0"/>
              <w:spacing w:line="360" w:lineRule="auto"/>
              <w:ind w:firstLine="482" w:firstLineChars="200"/>
              <w:rPr>
                <w:b/>
                <w:bCs/>
                <w:sz w:val="24"/>
                <w:szCs w:val="36"/>
              </w:rPr>
            </w:pPr>
            <w:r>
              <w:rPr>
                <w:rFonts w:hint="eastAsia"/>
                <w:b/>
                <w:bCs/>
                <w:sz w:val="24"/>
                <w:szCs w:val="36"/>
              </w:rPr>
              <w:t>生活污水</w:t>
            </w:r>
          </w:p>
          <w:p w14:paraId="4B7846B8">
            <w:pPr>
              <w:widowControl/>
              <w:spacing w:line="360" w:lineRule="auto"/>
              <w:ind w:firstLine="480" w:firstLineChars="200"/>
              <w:jc w:val="left"/>
              <w:rPr>
                <w:color w:val="000000"/>
                <w:kern w:val="0"/>
                <w:sz w:val="24"/>
                <w:lang w:bidi="ar"/>
              </w:rPr>
            </w:pPr>
            <w:r>
              <w:rPr>
                <w:rFonts w:hint="eastAsia"/>
                <w:color w:val="000000"/>
                <w:kern w:val="0"/>
                <w:sz w:val="24"/>
                <w:lang w:bidi="ar"/>
              </w:rPr>
              <w:t>根</w:t>
            </w:r>
            <w:r>
              <w:rPr>
                <w:color w:val="000000"/>
                <w:kern w:val="0"/>
                <w:sz w:val="24"/>
                <w:lang w:bidi="ar"/>
              </w:rPr>
              <w:t>据建设单位提供资料，本项目劳动定员12人，不在厂内食宿</w:t>
            </w:r>
            <w:r>
              <w:rPr>
                <w:rFonts w:hint="eastAsia"/>
                <w:color w:val="000000"/>
                <w:kern w:val="0"/>
                <w:sz w:val="24"/>
                <w:lang w:bidi="ar"/>
              </w:rPr>
              <w:t>。</w:t>
            </w:r>
            <w:r>
              <w:rPr>
                <w:color w:val="000000"/>
                <w:kern w:val="0"/>
                <w:sz w:val="24"/>
                <w:lang w:bidi="ar"/>
              </w:rPr>
              <w:t>根据《建筑给水排水设计标准》（GB50015-2019</w:t>
            </w:r>
            <w:r>
              <w:rPr>
                <w:rFonts w:hint="eastAsia"/>
                <w:color w:val="000000"/>
                <w:kern w:val="0"/>
                <w:sz w:val="24"/>
                <w:lang w:bidi="ar"/>
              </w:rPr>
              <w:t>）</w:t>
            </w:r>
            <w:r>
              <w:rPr>
                <w:color w:val="000000"/>
                <w:kern w:val="0"/>
                <w:sz w:val="24"/>
                <w:lang w:bidi="ar"/>
              </w:rPr>
              <w:t>，不含食宿的职工用水量按50L/人·d计，本项目年工作365d，由此本项目厂员工生活用水量0.6m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w:t>
            </w:r>
            <w:r>
              <w:rPr>
                <w:color w:val="000000"/>
                <w:kern w:val="0"/>
                <w:sz w:val="24"/>
                <w:lang w:bidi="ar"/>
              </w:rPr>
              <w:t>219m</w:t>
            </w:r>
            <w:r>
              <w:rPr>
                <w:color w:val="000000"/>
                <w:kern w:val="0"/>
                <w:sz w:val="24"/>
                <w:vertAlign w:val="superscript"/>
                <w:lang w:bidi="ar"/>
              </w:rPr>
              <w:t>3</w:t>
            </w:r>
            <w:r>
              <w:rPr>
                <w:color w:val="000000"/>
                <w:kern w:val="0"/>
                <w:sz w:val="24"/>
                <w:lang w:bidi="ar"/>
              </w:rPr>
              <w:t>/d，排污系数按0.85计，生活污水量约0.51m</w:t>
            </w:r>
            <w:r>
              <w:rPr>
                <w:color w:val="000000"/>
                <w:kern w:val="0"/>
                <w:sz w:val="24"/>
                <w:vertAlign w:val="superscript"/>
                <w:lang w:bidi="ar"/>
              </w:rPr>
              <w:t>3</w:t>
            </w:r>
            <w:r>
              <w:rPr>
                <w:color w:val="000000"/>
                <w:kern w:val="0"/>
                <w:sz w:val="24"/>
                <w:lang w:bidi="ar"/>
              </w:rPr>
              <w:t>/d，186.15m</w:t>
            </w:r>
            <w:r>
              <w:rPr>
                <w:color w:val="000000"/>
                <w:kern w:val="0"/>
                <w:sz w:val="24"/>
                <w:vertAlign w:val="superscript"/>
                <w:lang w:bidi="ar"/>
              </w:rPr>
              <w:t>3</w:t>
            </w:r>
            <w:r>
              <w:rPr>
                <w:color w:val="000000"/>
                <w:kern w:val="0"/>
                <w:sz w:val="24"/>
                <w:lang w:bidi="ar"/>
              </w:rPr>
              <w:t>/a。生活污水源强类比</w:t>
            </w:r>
            <w:r>
              <w:rPr>
                <w:rFonts w:hint="eastAsia"/>
                <w:color w:val="000000"/>
                <w:kern w:val="0"/>
                <w:sz w:val="24"/>
                <w:lang w:bidi="ar"/>
              </w:rPr>
              <w:t>生活垃圾中转站</w:t>
            </w:r>
            <w:r>
              <w:rPr>
                <w:color w:val="000000"/>
                <w:kern w:val="0"/>
                <w:sz w:val="24"/>
                <w:lang w:bidi="ar"/>
              </w:rPr>
              <w:t>生活污水水质，其主要污染物产生浓度为：BOD</w:t>
            </w:r>
            <w:r>
              <w:rPr>
                <w:color w:val="000000"/>
                <w:kern w:val="0"/>
                <w:sz w:val="24"/>
                <w:vertAlign w:val="subscript"/>
                <w:lang w:bidi="ar"/>
              </w:rPr>
              <w:t>5</w:t>
            </w:r>
            <w:r>
              <w:rPr>
                <w:rFonts w:hint="eastAsia"/>
                <w:color w:val="000000"/>
                <w:kern w:val="0"/>
                <w:sz w:val="24"/>
                <w:vertAlign w:val="subscript"/>
                <w:lang w:eastAsia="zh-CN" w:bidi="ar"/>
              </w:rPr>
              <w:t>:</w:t>
            </w:r>
            <w:r>
              <w:rPr>
                <w:color w:val="000000"/>
                <w:kern w:val="0"/>
                <w:sz w:val="24"/>
                <w:lang w:bidi="ar"/>
              </w:rPr>
              <w:t>200mg/L、COD：350mg/L、SS：250mg/L、NH</w:t>
            </w:r>
            <w:r>
              <w:rPr>
                <w:color w:val="000000"/>
                <w:kern w:val="0"/>
                <w:sz w:val="24"/>
                <w:vertAlign w:val="subscript"/>
                <w:lang w:bidi="ar"/>
              </w:rPr>
              <w:t>3</w:t>
            </w:r>
            <w:r>
              <w:rPr>
                <w:color w:val="000000"/>
                <w:kern w:val="0"/>
                <w:sz w:val="24"/>
                <w:lang w:bidi="ar"/>
              </w:rPr>
              <w:t>-N：30mg/L、TN：40mg/L、TP：4mg/L。</w:t>
            </w:r>
          </w:p>
          <w:p w14:paraId="603DE09A">
            <w:pPr>
              <w:numPr>
                <w:ilvl w:val="0"/>
                <w:numId w:val="6"/>
              </w:numPr>
              <w:adjustRightInd w:val="0"/>
              <w:snapToGrid w:val="0"/>
              <w:spacing w:line="360" w:lineRule="auto"/>
              <w:ind w:firstLine="482" w:firstLineChars="200"/>
              <w:rPr>
                <w:b/>
                <w:bCs/>
                <w:sz w:val="24"/>
                <w:szCs w:val="36"/>
              </w:rPr>
            </w:pPr>
            <w:r>
              <w:rPr>
                <w:rFonts w:hint="eastAsia"/>
                <w:b/>
                <w:bCs/>
                <w:sz w:val="24"/>
                <w:szCs w:val="36"/>
              </w:rPr>
              <w:t>生产管理用房等地面清洁废水</w:t>
            </w:r>
          </w:p>
          <w:p w14:paraId="40DE5308">
            <w:pPr>
              <w:adjustRightInd w:val="0"/>
              <w:snapToGrid w:val="0"/>
              <w:spacing w:line="360" w:lineRule="auto"/>
              <w:ind w:firstLine="480" w:firstLineChars="200"/>
              <w:rPr>
                <w:color w:val="000000"/>
                <w:kern w:val="0"/>
                <w:sz w:val="24"/>
                <w:lang w:bidi="ar"/>
              </w:rPr>
            </w:pPr>
            <w:r>
              <w:rPr>
                <w:rFonts w:hint="eastAsia"/>
                <w:sz w:val="24"/>
                <w:szCs w:val="36"/>
              </w:rPr>
              <w:t>每周对生产管理用房等地面进行清洁（采用扫帚和拖布，不用水冲洗）。需采用湿式拖布清洁的面积以367m</w:t>
            </w:r>
            <w:r>
              <w:rPr>
                <w:rFonts w:hint="eastAsia"/>
                <w:sz w:val="24"/>
                <w:szCs w:val="36"/>
                <w:vertAlign w:val="superscript"/>
              </w:rPr>
              <w:t>2</w:t>
            </w:r>
            <w:r>
              <w:rPr>
                <w:rFonts w:hint="eastAsia"/>
                <w:sz w:val="24"/>
                <w:szCs w:val="36"/>
              </w:rPr>
              <w:t>计，用水按0.5L/m</w:t>
            </w:r>
            <w:r>
              <w:rPr>
                <w:rFonts w:hint="eastAsia"/>
                <w:sz w:val="24"/>
                <w:szCs w:val="36"/>
                <w:vertAlign w:val="superscript"/>
              </w:rPr>
              <w:t>2</w:t>
            </w:r>
            <w:r>
              <w:rPr>
                <w:rFonts w:hint="eastAsia"/>
                <w:sz w:val="24"/>
                <w:szCs w:val="36"/>
                <w:vertAlign w:val="superscript"/>
                <w:lang w:eastAsia="zh-CN"/>
              </w:rPr>
              <w:t>一次</w:t>
            </w:r>
            <w:r>
              <w:rPr>
                <w:rFonts w:hint="eastAsia"/>
                <w:sz w:val="24"/>
                <w:szCs w:val="36"/>
              </w:rPr>
              <w:t>，则计算地面清洗用水量约为0.18m</w:t>
            </w:r>
            <w:r>
              <w:rPr>
                <w:rFonts w:hint="eastAsia"/>
                <w:sz w:val="24"/>
                <w:szCs w:val="36"/>
                <w:vertAlign w:val="superscript"/>
              </w:rPr>
              <w:t>3</w:t>
            </w:r>
            <w:r>
              <w:rPr>
                <w:rFonts w:hint="eastAsia"/>
                <w:sz w:val="24"/>
                <w:szCs w:val="36"/>
              </w:rPr>
              <w:t>/d（9.36m</w:t>
            </w:r>
            <w:r>
              <w:rPr>
                <w:rFonts w:hint="eastAsia"/>
                <w:sz w:val="24"/>
                <w:szCs w:val="36"/>
                <w:vertAlign w:val="superscript"/>
              </w:rPr>
              <w:t>3</w:t>
            </w:r>
            <w:r>
              <w:rPr>
                <w:rFonts w:hint="eastAsia"/>
                <w:sz w:val="24"/>
                <w:szCs w:val="36"/>
              </w:rPr>
              <w:t>/a），排放系数取值0.85，则计算地面清洗废水量为0.153m</w:t>
            </w:r>
            <w:r>
              <w:rPr>
                <w:rFonts w:hint="eastAsia"/>
                <w:sz w:val="24"/>
                <w:szCs w:val="36"/>
                <w:vertAlign w:val="superscript"/>
              </w:rPr>
              <w:t>3</w:t>
            </w:r>
            <w:r>
              <w:rPr>
                <w:rFonts w:hint="eastAsia"/>
                <w:sz w:val="24"/>
                <w:szCs w:val="36"/>
              </w:rPr>
              <w:t>/d（7.96m</w:t>
            </w:r>
            <w:r>
              <w:rPr>
                <w:rFonts w:hint="eastAsia"/>
                <w:sz w:val="24"/>
                <w:szCs w:val="36"/>
                <w:vertAlign w:val="superscript"/>
              </w:rPr>
              <w:t>3</w:t>
            </w:r>
            <w:r>
              <w:rPr>
                <w:rFonts w:hint="eastAsia"/>
                <w:sz w:val="24"/>
                <w:szCs w:val="36"/>
              </w:rPr>
              <w:t>/a）</w:t>
            </w:r>
          </w:p>
          <w:p w14:paraId="2C2420A4">
            <w:pPr>
              <w:widowControl/>
              <w:spacing w:line="360" w:lineRule="auto"/>
              <w:ind w:firstLine="482" w:firstLineChars="200"/>
              <w:jc w:val="left"/>
              <w:rPr>
                <w:color w:val="000000"/>
                <w:kern w:val="0"/>
                <w:sz w:val="24"/>
                <w:lang w:bidi="ar"/>
              </w:rPr>
            </w:pPr>
            <w:r>
              <w:rPr>
                <w:rFonts w:hint="eastAsia"/>
                <w:b/>
                <w:bCs/>
                <w:color w:val="000000"/>
                <w:kern w:val="0"/>
                <w:sz w:val="24"/>
                <w:lang w:bidi="ar"/>
              </w:rPr>
              <w:t>治理措施：</w:t>
            </w:r>
            <w:r>
              <w:rPr>
                <w:rFonts w:hint="eastAsia"/>
                <w:color w:val="000000"/>
                <w:kern w:val="0"/>
                <w:sz w:val="24"/>
                <w:lang w:bidi="ar"/>
              </w:rPr>
              <w:t>生活污水、生产管理用房地面清洁废水经化粪池（50m³）预处理后污染物浓度达到《污水综合排放标准》（GB8978-1996）中三级排放标准，其中氨氮、总氮、总磷执行《污水排放城镇下水道水质标准》（GB/T31962-2015）中B等级标准并满足达州市第二城市生活污水处理厂的进水水质标准要求后排入市政污水管网，进入达州市第二城市生活污水处理厂进一步处理达标后排放。</w:t>
            </w:r>
          </w:p>
          <w:p w14:paraId="0104F90A">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2、废水产排情况</w:t>
            </w:r>
          </w:p>
          <w:p w14:paraId="36D2B6B8">
            <w:pPr>
              <w:adjustRightInd w:val="0"/>
              <w:snapToGrid w:val="0"/>
              <w:spacing w:line="360" w:lineRule="auto"/>
              <w:ind w:firstLine="480" w:firstLineChars="200"/>
              <w:rPr>
                <w:sz w:val="24"/>
              </w:rPr>
            </w:pPr>
            <w:r>
              <w:rPr>
                <w:rFonts w:hint="eastAsia"/>
                <w:sz w:val="24"/>
              </w:rPr>
              <w:t>（1）生活废水、生产管理用房地面清洁废水</w:t>
            </w:r>
          </w:p>
          <w:p w14:paraId="4CB892A0">
            <w:pPr>
              <w:adjustRightInd w:val="0"/>
              <w:snapToGrid w:val="0"/>
              <w:spacing w:line="360" w:lineRule="auto"/>
              <w:ind w:firstLine="480" w:firstLineChars="200"/>
              <w:rPr>
                <w:sz w:val="24"/>
              </w:rPr>
            </w:pPr>
            <w:r>
              <w:rPr>
                <w:rFonts w:hint="eastAsia"/>
                <w:sz w:val="24"/>
              </w:rPr>
              <w:t>参考《第一次全国污染源普查城镇生活源产排污系数手册》等相关内容及类比同类项目，达州属于第四区，化粪池对生活污水中各类污染物的去除效率</w:t>
            </w:r>
            <w:r>
              <w:rPr>
                <w:rFonts w:hint="eastAsia"/>
                <w:sz w:val="24"/>
                <w:lang w:eastAsia="zh-CN"/>
              </w:rPr>
              <w:t>：</w:t>
            </w:r>
            <w:r>
              <w:rPr>
                <w:rFonts w:hint="eastAsia"/>
                <w:sz w:val="24"/>
              </w:rPr>
              <w:t>COD去除率为20%，BOD</w:t>
            </w:r>
            <w:r>
              <w:rPr>
                <w:rFonts w:hint="eastAsia"/>
                <w:sz w:val="24"/>
                <w:vertAlign w:val="subscript"/>
              </w:rPr>
              <w:t>5</w:t>
            </w:r>
            <w:r>
              <w:rPr>
                <w:rFonts w:hint="eastAsia"/>
                <w:sz w:val="24"/>
              </w:rPr>
              <w:t>去除率为 25%，NH</w:t>
            </w:r>
            <w:r>
              <w:rPr>
                <w:rFonts w:hint="eastAsia"/>
                <w:sz w:val="24"/>
                <w:vertAlign w:val="subscript"/>
              </w:rPr>
              <w:t>3</w:t>
            </w:r>
            <w:r>
              <w:rPr>
                <w:rFonts w:hint="eastAsia"/>
                <w:sz w:val="24"/>
              </w:rPr>
              <w:t>-N去除率为3%、总磷去除率27%，SS的去除效率参照环境手册2.1常用污水处理设备及去除率中给定的30%。</w:t>
            </w:r>
          </w:p>
          <w:p w14:paraId="5FDDEB00">
            <w:pPr>
              <w:adjustRightInd w:val="0"/>
              <w:snapToGrid w:val="0"/>
              <w:spacing w:line="360" w:lineRule="auto"/>
              <w:ind w:firstLine="480" w:firstLineChars="200"/>
              <w:rPr>
                <w:sz w:val="24"/>
              </w:rPr>
            </w:pPr>
            <w:r>
              <w:rPr>
                <w:rFonts w:hint="eastAsia"/>
                <w:sz w:val="24"/>
              </w:rPr>
              <w:t>本项目</w:t>
            </w:r>
            <w:r>
              <w:rPr>
                <w:rFonts w:hint="eastAsia"/>
                <w:sz w:val="24"/>
                <w:lang w:eastAsia="zh-CN"/>
              </w:rPr>
              <w:t>生活污水</w:t>
            </w:r>
            <w:r>
              <w:rPr>
                <w:rFonts w:hint="eastAsia"/>
                <w:sz w:val="24"/>
              </w:rPr>
              <w:t>、生产管理用房地面清洁废水产排及治理情况见下表。</w:t>
            </w:r>
          </w:p>
          <w:p w14:paraId="5F8D47E6">
            <w:pPr>
              <w:jc w:val="center"/>
              <w:rPr>
                <w:b/>
                <w:bCs/>
                <w:szCs w:val="21"/>
              </w:rPr>
            </w:pPr>
            <w:r>
              <w:rPr>
                <w:b/>
                <w:bCs/>
                <w:szCs w:val="21"/>
              </w:rPr>
              <w:t>表4-</w:t>
            </w:r>
            <w:r>
              <w:rPr>
                <w:rFonts w:hint="eastAsia"/>
                <w:b/>
                <w:bCs/>
                <w:szCs w:val="21"/>
              </w:rPr>
              <w:t>12</w:t>
            </w:r>
            <w:r>
              <w:rPr>
                <w:b/>
                <w:bCs/>
                <w:szCs w:val="21"/>
              </w:rPr>
              <w:t xml:space="preserve">  本项目</w:t>
            </w:r>
            <w:r>
              <w:rPr>
                <w:rFonts w:hint="eastAsia"/>
                <w:b/>
                <w:bCs/>
                <w:szCs w:val="21"/>
              </w:rPr>
              <w:t>生活</w:t>
            </w:r>
            <w:r>
              <w:rPr>
                <w:b/>
                <w:bCs/>
                <w:szCs w:val="21"/>
              </w:rPr>
              <w:t>废水产排一览表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115"/>
              <w:gridCol w:w="1044"/>
              <w:gridCol w:w="946"/>
              <w:gridCol w:w="903"/>
              <w:gridCol w:w="998"/>
              <w:gridCol w:w="827"/>
              <w:gridCol w:w="1008"/>
              <w:gridCol w:w="1019"/>
            </w:tblGrid>
            <w:tr w14:paraId="48E3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20" w:type="pct"/>
                  <w:gridSpan w:val="2"/>
                  <w:vAlign w:val="center"/>
                </w:tcPr>
                <w:p w14:paraId="4A0C27C8">
                  <w:pPr>
                    <w:jc w:val="center"/>
                    <w:outlineLvl w:val="0"/>
                    <w:rPr>
                      <w:b/>
                      <w:bCs/>
                      <w:szCs w:val="21"/>
                    </w:rPr>
                  </w:pPr>
                  <w:r>
                    <w:rPr>
                      <w:b/>
                      <w:bCs/>
                      <w:szCs w:val="21"/>
                    </w:rPr>
                    <w:t>废水性质</w:t>
                  </w:r>
                </w:p>
              </w:tc>
              <w:tc>
                <w:tcPr>
                  <w:tcW w:w="616" w:type="pct"/>
                  <w:vAlign w:val="center"/>
                </w:tcPr>
                <w:p w14:paraId="4F5F0CB5">
                  <w:pPr>
                    <w:jc w:val="center"/>
                    <w:outlineLvl w:val="0"/>
                    <w:rPr>
                      <w:b/>
                      <w:bCs/>
                      <w:szCs w:val="21"/>
                    </w:rPr>
                  </w:pPr>
                  <w:r>
                    <w:rPr>
                      <w:b/>
                      <w:bCs/>
                      <w:szCs w:val="21"/>
                    </w:rPr>
                    <w:t>废水量（m</w:t>
                  </w:r>
                  <w:r>
                    <w:rPr>
                      <w:b/>
                      <w:bCs/>
                      <w:szCs w:val="21"/>
                      <w:vertAlign w:val="superscript"/>
                    </w:rPr>
                    <w:t>3</w:t>
                  </w:r>
                  <w:r>
                    <w:rPr>
                      <w:b/>
                      <w:bCs/>
                      <w:szCs w:val="21"/>
                    </w:rPr>
                    <w:t>/a）</w:t>
                  </w:r>
                </w:p>
              </w:tc>
              <w:tc>
                <w:tcPr>
                  <w:tcW w:w="558" w:type="pct"/>
                  <w:vAlign w:val="center"/>
                </w:tcPr>
                <w:p w14:paraId="0C77488F">
                  <w:pPr>
                    <w:jc w:val="center"/>
                    <w:outlineLvl w:val="0"/>
                    <w:rPr>
                      <w:b/>
                      <w:bCs/>
                      <w:szCs w:val="21"/>
                    </w:rPr>
                  </w:pPr>
                  <w:r>
                    <w:rPr>
                      <w:b/>
                      <w:bCs/>
                      <w:szCs w:val="21"/>
                    </w:rPr>
                    <w:t>COD</w:t>
                  </w:r>
                </w:p>
              </w:tc>
              <w:tc>
                <w:tcPr>
                  <w:tcW w:w="533" w:type="pct"/>
                  <w:vAlign w:val="center"/>
                </w:tcPr>
                <w:p w14:paraId="57275064">
                  <w:pPr>
                    <w:jc w:val="center"/>
                    <w:outlineLvl w:val="0"/>
                    <w:rPr>
                      <w:b/>
                      <w:bCs/>
                      <w:szCs w:val="21"/>
                    </w:rPr>
                  </w:pPr>
                  <w:r>
                    <w:rPr>
                      <w:rFonts w:hint="eastAsia"/>
                      <w:b/>
                      <w:bCs/>
                      <w:szCs w:val="21"/>
                    </w:rPr>
                    <w:t>BOD</w:t>
                  </w:r>
                  <w:r>
                    <w:rPr>
                      <w:rFonts w:hint="eastAsia"/>
                      <w:b/>
                      <w:bCs/>
                      <w:szCs w:val="21"/>
                      <w:vertAlign w:val="subscript"/>
                    </w:rPr>
                    <w:t>5</w:t>
                  </w:r>
                </w:p>
              </w:tc>
              <w:tc>
                <w:tcPr>
                  <w:tcW w:w="589" w:type="pct"/>
                  <w:vAlign w:val="center"/>
                </w:tcPr>
                <w:p w14:paraId="1A44003F">
                  <w:pPr>
                    <w:jc w:val="center"/>
                    <w:outlineLvl w:val="0"/>
                    <w:rPr>
                      <w:b/>
                      <w:bCs/>
                      <w:szCs w:val="21"/>
                    </w:rPr>
                  </w:pPr>
                  <w:r>
                    <w:rPr>
                      <w:rFonts w:hint="eastAsia"/>
                      <w:b/>
                      <w:bCs/>
                      <w:szCs w:val="21"/>
                    </w:rPr>
                    <w:t>SS</w:t>
                  </w:r>
                </w:p>
              </w:tc>
              <w:tc>
                <w:tcPr>
                  <w:tcW w:w="488" w:type="pct"/>
                  <w:vAlign w:val="center"/>
                </w:tcPr>
                <w:p w14:paraId="3DCA244A">
                  <w:pPr>
                    <w:jc w:val="center"/>
                    <w:outlineLvl w:val="0"/>
                    <w:rPr>
                      <w:b/>
                      <w:bCs/>
                      <w:szCs w:val="21"/>
                    </w:rPr>
                  </w:pPr>
                  <w:r>
                    <w:rPr>
                      <w:rFonts w:hint="eastAsia"/>
                      <w:b/>
                      <w:bCs/>
                      <w:szCs w:val="21"/>
                    </w:rPr>
                    <w:t>NH</w:t>
                  </w:r>
                  <w:r>
                    <w:rPr>
                      <w:rFonts w:hint="eastAsia"/>
                      <w:b/>
                      <w:bCs/>
                      <w:szCs w:val="21"/>
                      <w:vertAlign w:val="subscript"/>
                    </w:rPr>
                    <w:t>3</w:t>
                  </w:r>
                  <w:r>
                    <w:rPr>
                      <w:rFonts w:hint="eastAsia"/>
                      <w:b/>
                      <w:bCs/>
                      <w:szCs w:val="21"/>
                    </w:rPr>
                    <w:t>-N</w:t>
                  </w:r>
                </w:p>
              </w:tc>
              <w:tc>
                <w:tcPr>
                  <w:tcW w:w="595" w:type="pct"/>
                  <w:vAlign w:val="center"/>
                </w:tcPr>
                <w:p w14:paraId="0EDEF597">
                  <w:pPr>
                    <w:jc w:val="center"/>
                    <w:outlineLvl w:val="0"/>
                    <w:rPr>
                      <w:b/>
                      <w:bCs/>
                      <w:szCs w:val="21"/>
                    </w:rPr>
                  </w:pPr>
                  <w:r>
                    <w:rPr>
                      <w:rFonts w:hint="eastAsia"/>
                      <w:b/>
                      <w:bCs/>
                      <w:szCs w:val="21"/>
                    </w:rPr>
                    <w:t>总氮</w:t>
                  </w:r>
                </w:p>
              </w:tc>
              <w:tc>
                <w:tcPr>
                  <w:tcW w:w="597" w:type="pct"/>
                  <w:vAlign w:val="center"/>
                </w:tcPr>
                <w:p w14:paraId="1A805901">
                  <w:pPr>
                    <w:jc w:val="center"/>
                    <w:outlineLvl w:val="0"/>
                    <w:rPr>
                      <w:b/>
                      <w:bCs/>
                      <w:szCs w:val="21"/>
                    </w:rPr>
                  </w:pPr>
                  <w:r>
                    <w:rPr>
                      <w:rFonts w:hint="eastAsia"/>
                      <w:b/>
                      <w:bCs/>
                      <w:szCs w:val="21"/>
                    </w:rPr>
                    <w:t>总磷</w:t>
                  </w:r>
                </w:p>
              </w:tc>
            </w:tr>
            <w:tr w14:paraId="16F0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62" w:type="pct"/>
                  <w:vMerge w:val="restart"/>
                  <w:vAlign w:val="center"/>
                </w:tcPr>
                <w:p w14:paraId="527C9241">
                  <w:pPr>
                    <w:jc w:val="center"/>
                    <w:rPr>
                      <w:szCs w:val="21"/>
                    </w:rPr>
                  </w:pPr>
                  <w:r>
                    <w:rPr>
                      <w:rFonts w:hint="eastAsia"/>
                      <w:szCs w:val="21"/>
                    </w:rPr>
                    <w:t>生活废水处理前</w:t>
                  </w:r>
                </w:p>
              </w:tc>
              <w:tc>
                <w:tcPr>
                  <w:tcW w:w="657" w:type="pct"/>
                  <w:vAlign w:val="center"/>
                </w:tcPr>
                <w:p w14:paraId="1003A833">
                  <w:pPr>
                    <w:jc w:val="center"/>
                    <w:rPr>
                      <w:szCs w:val="21"/>
                    </w:rPr>
                  </w:pPr>
                  <w:r>
                    <w:rPr>
                      <w:szCs w:val="21"/>
                    </w:rPr>
                    <w:t>浓度（mg/L）</w:t>
                  </w:r>
                </w:p>
              </w:tc>
              <w:tc>
                <w:tcPr>
                  <w:tcW w:w="616" w:type="pct"/>
                  <w:vMerge w:val="restart"/>
                  <w:vAlign w:val="center"/>
                </w:tcPr>
                <w:p w14:paraId="7758652C">
                  <w:pPr>
                    <w:jc w:val="center"/>
                    <w:rPr>
                      <w:szCs w:val="21"/>
                    </w:rPr>
                  </w:pPr>
                  <w:r>
                    <w:rPr>
                      <w:rFonts w:hint="eastAsia"/>
                      <w:szCs w:val="21"/>
                    </w:rPr>
                    <w:t>194.11</w:t>
                  </w:r>
                </w:p>
              </w:tc>
              <w:tc>
                <w:tcPr>
                  <w:tcW w:w="558" w:type="pct"/>
                  <w:shd w:val="clear" w:color="auto" w:fill="auto"/>
                  <w:vAlign w:val="center"/>
                </w:tcPr>
                <w:p w14:paraId="152E2F1D">
                  <w:pPr>
                    <w:jc w:val="center"/>
                    <w:rPr>
                      <w:szCs w:val="21"/>
                    </w:rPr>
                  </w:pPr>
                  <w:r>
                    <w:rPr>
                      <w:szCs w:val="21"/>
                    </w:rPr>
                    <w:t>350</w:t>
                  </w:r>
                </w:p>
              </w:tc>
              <w:tc>
                <w:tcPr>
                  <w:tcW w:w="533" w:type="pct"/>
                  <w:shd w:val="clear" w:color="auto" w:fill="auto"/>
                  <w:vAlign w:val="center"/>
                </w:tcPr>
                <w:p w14:paraId="27D23531">
                  <w:pPr>
                    <w:jc w:val="center"/>
                    <w:rPr>
                      <w:szCs w:val="21"/>
                    </w:rPr>
                  </w:pPr>
                  <w:r>
                    <w:rPr>
                      <w:szCs w:val="21"/>
                    </w:rPr>
                    <w:t>200</w:t>
                  </w:r>
                </w:p>
              </w:tc>
              <w:tc>
                <w:tcPr>
                  <w:tcW w:w="589" w:type="pct"/>
                  <w:shd w:val="clear" w:color="auto" w:fill="auto"/>
                  <w:vAlign w:val="center"/>
                </w:tcPr>
                <w:p w14:paraId="464F617B">
                  <w:pPr>
                    <w:jc w:val="center"/>
                    <w:rPr>
                      <w:szCs w:val="21"/>
                    </w:rPr>
                  </w:pPr>
                  <w:r>
                    <w:rPr>
                      <w:szCs w:val="21"/>
                    </w:rPr>
                    <w:t>250</w:t>
                  </w:r>
                </w:p>
              </w:tc>
              <w:tc>
                <w:tcPr>
                  <w:tcW w:w="488" w:type="pct"/>
                  <w:vAlign w:val="center"/>
                </w:tcPr>
                <w:p w14:paraId="6E5B8CDD">
                  <w:pPr>
                    <w:jc w:val="center"/>
                    <w:rPr>
                      <w:szCs w:val="21"/>
                    </w:rPr>
                  </w:pPr>
                  <w:r>
                    <w:rPr>
                      <w:szCs w:val="21"/>
                    </w:rPr>
                    <w:t>30</w:t>
                  </w:r>
                </w:p>
              </w:tc>
              <w:tc>
                <w:tcPr>
                  <w:tcW w:w="595" w:type="pct"/>
                  <w:vAlign w:val="center"/>
                </w:tcPr>
                <w:p w14:paraId="4937EAAD">
                  <w:pPr>
                    <w:jc w:val="center"/>
                    <w:rPr>
                      <w:szCs w:val="21"/>
                    </w:rPr>
                  </w:pPr>
                  <w:r>
                    <w:rPr>
                      <w:szCs w:val="21"/>
                    </w:rPr>
                    <w:t>40</w:t>
                  </w:r>
                </w:p>
              </w:tc>
              <w:tc>
                <w:tcPr>
                  <w:tcW w:w="597" w:type="pct"/>
                  <w:vAlign w:val="center"/>
                </w:tcPr>
                <w:p w14:paraId="0132DA60">
                  <w:pPr>
                    <w:jc w:val="center"/>
                    <w:rPr>
                      <w:szCs w:val="21"/>
                    </w:rPr>
                  </w:pPr>
                  <w:r>
                    <w:rPr>
                      <w:szCs w:val="21"/>
                    </w:rPr>
                    <w:t>4</w:t>
                  </w:r>
                </w:p>
              </w:tc>
            </w:tr>
            <w:tr w14:paraId="640C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62" w:type="pct"/>
                  <w:vMerge w:val="continue"/>
                  <w:vAlign w:val="center"/>
                </w:tcPr>
                <w:p w14:paraId="1917AD43">
                  <w:pPr>
                    <w:jc w:val="center"/>
                    <w:rPr>
                      <w:szCs w:val="21"/>
                    </w:rPr>
                  </w:pPr>
                </w:p>
              </w:tc>
              <w:tc>
                <w:tcPr>
                  <w:tcW w:w="657" w:type="pct"/>
                  <w:vAlign w:val="center"/>
                </w:tcPr>
                <w:p w14:paraId="3C5EA264">
                  <w:pPr>
                    <w:jc w:val="center"/>
                    <w:rPr>
                      <w:szCs w:val="21"/>
                    </w:rPr>
                  </w:pPr>
                  <w:r>
                    <w:rPr>
                      <w:szCs w:val="21"/>
                    </w:rPr>
                    <w:t>产生量（t/a）</w:t>
                  </w:r>
                </w:p>
              </w:tc>
              <w:tc>
                <w:tcPr>
                  <w:tcW w:w="616" w:type="pct"/>
                  <w:vMerge w:val="continue"/>
                  <w:vAlign w:val="center"/>
                </w:tcPr>
                <w:p w14:paraId="1588BD9F">
                  <w:pPr>
                    <w:jc w:val="center"/>
                    <w:rPr>
                      <w:szCs w:val="21"/>
                    </w:rPr>
                  </w:pPr>
                </w:p>
              </w:tc>
              <w:tc>
                <w:tcPr>
                  <w:tcW w:w="558" w:type="pct"/>
                  <w:shd w:val="clear" w:color="auto" w:fill="auto"/>
                  <w:vAlign w:val="center"/>
                </w:tcPr>
                <w:p w14:paraId="39DF2C1E">
                  <w:pPr>
                    <w:jc w:val="center"/>
                    <w:rPr>
                      <w:szCs w:val="21"/>
                    </w:rPr>
                  </w:pPr>
                  <w:r>
                    <w:rPr>
                      <w:szCs w:val="21"/>
                    </w:rPr>
                    <w:t xml:space="preserve">0.0679 </w:t>
                  </w:r>
                </w:p>
              </w:tc>
              <w:tc>
                <w:tcPr>
                  <w:tcW w:w="533" w:type="pct"/>
                  <w:shd w:val="clear" w:color="auto" w:fill="auto"/>
                  <w:vAlign w:val="center"/>
                </w:tcPr>
                <w:p w14:paraId="41AC4CF2">
                  <w:pPr>
                    <w:jc w:val="center"/>
                    <w:rPr>
                      <w:szCs w:val="21"/>
                    </w:rPr>
                  </w:pPr>
                  <w:r>
                    <w:rPr>
                      <w:szCs w:val="21"/>
                    </w:rPr>
                    <w:t xml:space="preserve">0.0388 </w:t>
                  </w:r>
                </w:p>
              </w:tc>
              <w:tc>
                <w:tcPr>
                  <w:tcW w:w="589" w:type="pct"/>
                  <w:shd w:val="clear" w:color="auto" w:fill="auto"/>
                  <w:vAlign w:val="center"/>
                </w:tcPr>
                <w:p w14:paraId="0A10B5C9">
                  <w:pPr>
                    <w:jc w:val="center"/>
                    <w:rPr>
                      <w:szCs w:val="21"/>
                    </w:rPr>
                  </w:pPr>
                  <w:r>
                    <w:rPr>
                      <w:szCs w:val="21"/>
                    </w:rPr>
                    <w:t xml:space="preserve">0.0485 </w:t>
                  </w:r>
                </w:p>
              </w:tc>
              <w:tc>
                <w:tcPr>
                  <w:tcW w:w="488" w:type="pct"/>
                  <w:vAlign w:val="center"/>
                </w:tcPr>
                <w:p w14:paraId="3E1A99A4">
                  <w:pPr>
                    <w:jc w:val="center"/>
                    <w:rPr>
                      <w:szCs w:val="21"/>
                    </w:rPr>
                  </w:pPr>
                  <w:r>
                    <w:rPr>
                      <w:szCs w:val="21"/>
                    </w:rPr>
                    <w:t xml:space="preserve">0.0058 </w:t>
                  </w:r>
                </w:p>
              </w:tc>
              <w:tc>
                <w:tcPr>
                  <w:tcW w:w="595" w:type="pct"/>
                  <w:vAlign w:val="center"/>
                </w:tcPr>
                <w:p w14:paraId="1D84F635">
                  <w:pPr>
                    <w:jc w:val="center"/>
                    <w:rPr>
                      <w:szCs w:val="21"/>
                    </w:rPr>
                  </w:pPr>
                  <w:r>
                    <w:rPr>
                      <w:szCs w:val="21"/>
                    </w:rPr>
                    <w:t xml:space="preserve">0.0078 </w:t>
                  </w:r>
                </w:p>
              </w:tc>
              <w:tc>
                <w:tcPr>
                  <w:tcW w:w="597" w:type="pct"/>
                  <w:vAlign w:val="center"/>
                </w:tcPr>
                <w:p w14:paraId="10E609A0">
                  <w:pPr>
                    <w:jc w:val="center"/>
                    <w:rPr>
                      <w:szCs w:val="21"/>
                    </w:rPr>
                  </w:pPr>
                  <w:r>
                    <w:rPr>
                      <w:szCs w:val="21"/>
                    </w:rPr>
                    <w:t xml:space="preserve">0.0008 </w:t>
                  </w:r>
                </w:p>
              </w:tc>
            </w:tr>
            <w:tr w14:paraId="6DDC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62" w:type="pct"/>
                  <w:vMerge w:val="restart"/>
                  <w:vAlign w:val="center"/>
                </w:tcPr>
                <w:p w14:paraId="3C43CEA4">
                  <w:pPr>
                    <w:jc w:val="center"/>
                    <w:rPr>
                      <w:szCs w:val="21"/>
                    </w:rPr>
                  </w:pPr>
                  <w:r>
                    <w:rPr>
                      <w:rFonts w:hint="eastAsia"/>
                      <w:szCs w:val="21"/>
                    </w:rPr>
                    <w:t>生活废水处理后</w:t>
                  </w:r>
                </w:p>
              </w:tc>
              <w:tc>
                <w:tcPr>
                  <w:tcW w:w="657" w:type="pct"/>
                  <w:vAlign w:val="center"/>
                </w:tcPr>
                <w:p w14:paraId="105B33E9">
                  <w:pPr>
                    <w:jc w:val="center"/>
                    <w:rPr>
                      <w:szCs w:val="21"/>
                    </w:rPr>
                  </w:pPr>
                  <w:r>
                    <w:rPr>
                      <w:szCs w:val="21"/>
                    </w:rPr>
                    <w:t>浓度（mg/L）</w:t>
                  </w:r>
                </w:p>
              </w:tc>
              <w:tc>
                <w:tcPr>
                  <w:tcW w:w="616" w:type="pct"/>
                  <w:vMerge w:val="restart"/>
                  <w:vAlign w:val="center"/>
                </w:tcPr>
                <w:p w14:paraId="15E32C51">
                  <w:pPr>
                    <w:jc w:val="center"/>
                    <w:rPr>
                      <w:szCs w:val="21"/>
                    </w:rPr>
                  </w:pPr>
                  <w:r>
                    <w:rPr>
                      <w:rFonts w:hint="eastAsia"/>
                      <w:szCs w:val="21"/>
                    </w:rPr>
                    <w:t>194.11</w:t>
                  </w:r>
                </w:p>
              </w:tc>
              <w:tc>
                <w:tcPr>
                  <w:tcW w:w="558" w:type="pct"/>
                  <w:vAlign w:val="center"/>
                </w:tcPr>
                <w:p w14:paraId="4727DB85">
                  <w:pPr>
                    <w:jc w:val="center"/>
                    <w:rPr>
                      <w:szCs w:val="21"/>
                    </w:rPr>
                  </w:pPr>
                  <w:r>
                    <w:rPr>
                      <w:szCs w:val="21"/>
                    </w:rPr>
                    <w:t>280</w:t>
                  </w:r>
                </w:p>
              </w:tc>
              <w:tc>
                <w:tcPr>
                  <w:tcW w:w="533" w:type="pct"/>
                  <w:vAlign w:val="center"/>
                </w:tcPr>
                <w:p w14:paraId="5F1D4AB7">
                  <w:pPr>
                    <w:jc w:val="center"/>
                    <w:rPr>
                      <w:szCs w:val="21"/>
                    </w:rPr>
                  </w:pPr>
                  <w:r>
                    <w:rPr>
                      <w:szCs w:val="21"/>
                    </w:rPr>
                    <w:t>150</w:t>
                  </w:r>
                </w:p>
              </w:tc>
              <w:tc>
                <w:tcPr>
                  <w:tcW w:w="589" w:type="pct"/>
                  <w:vAlign w:val="center"/>
                </w:tcPr>
                <w:p w14:paraId="01C840AD">
                  <w:pPr>
                    <w:jc w:val="center"/>
                    <w:rPr>
                      <w:szCs w:val="21"/>
                    </w:rPr>
                  </w:pPr>
                  <w:r>
                    <w:rPr>
                      <w:szCs w:val="21"/>
                    </w:rPr>
                    <w:t>175</w:t>
                  </w:r>
                </w:p>
              </w:tc>
              <w:tc>
                <w:tcPr>
                  <w:tcW w:w="488" w:type="pct"/>
                  <w:vAlign w:val="center"/>
                </w:tcPr>
                <w:p w14:paraId="7A65D96D">
                  <w:pPr>
                    <w:jc w:val="center"/>
                    <w:rPr>
                      <w:szCs w:val="21"/>
                    </w:rPr>
                  </w:pPr>
                  <w:r>
                    <w:rPr>
                      <w:szCs w:val="21"/>
                    </w:rPr>
                    <w:t>29.1</w:t>
                  </w:r>
                </w:p>
              </w:tc>
              <w:tc>
                <w:tcPr>
                  <w:tcW w:w="595" w:type="pct"/>
                  <w:vAlign w:val="center"/>
                </w:tcPr>
                <w:p w14:paraId="30532DBA">
                  <w:pPr>
                    <w:jc w:val="center"/>
                    <w:rPr>
                      <w:szCs w:val="21"/>
                    </w:rPr>
                  </w:pPr>
                  <w:r>
                    <w:rPr>
                      <w:szCs w:val="21"/>
                    </w:rPr>
                    <w:t>40</w:t>
                  </w:r>
                </w:p>
              </w:tc>
              <w:tc>
                <w:tcPr>
                  <w:tcW w:w="597" w:type="pct"/>
                  <w:vAlign w:val="center"/>
                </w:tcPr>
                <w:p w14:paraId="020DFE2F">
                  <w:pPr>
                    <w:jc w:val="center"/>
                    <w:rPr>
                      <w:szCs w:val="21"/>
                    </w:rPr>
                  </w:pPr>
                  <w:r>
                    <w:rPr>
                      <w:szCs w:val="21"/>
                    </w:rPr>
                    <w:t>2.92</w:t>
                  </w:r>
                </w:p>
              </w:tc>
            </w:tr>
            <w:tr w14:paraId="5E75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362" w:type="pct"/>
                  <w:vMerge w:val="continue"/>
                  <w:vAlign w:val="center"/>
                </w:tcPr>
                <w:p w14:paraId="518BD7D6">
                  <w:pPr>
                    <w:jc w:val="center"/>
                    <w:rPr>
                      <w:szCs w:val="21"/>
                    </w:rPr>
                  </w:pPr>
                </w:p>
              </w:tc>
              <w:tc>
                <w:tcPr>
                  <w:tcW w:w="657" w:type="pct"/>
                  <w:vAlign w:val="center"/>
                </w:tcPr>
                <w:p w14:paraId="7CE41FE7">
                  <w:pPr>
                    <w:jc w:val="center"/>
                    <w:rPr>
                      <w:szCs w:val="21"/>
                    </w:rPr>
                  </w:pPr>
                  <w:r>
                    <w:rPr>
                      <w:szCs w:val="21"/>
                    </w:rPr>
                    <w:t>排放量（t/a）</w:t>
                  </w:r>
                </w:p>
              </w:tc>
              <w:tc>
                <w:tcPr>
                  <w:tcW w:w="616" w:type="pct"/>
                  <w:vMerge w:val="continue"/>
                  <w:vAlign w:val="center"/>
                </w:tcPr>
                <w:p w14:paraId="56A8E816">
                  <w:pPr>
                    <w:jc w:val="center"/>
                    <w:rPr>
                      <w:szCs w:val="21"/>
                    </w:rPr>
                  </w:pPr>
                </w:p>
              </w:tc>
              <w:tc>
                <w:tcPr>
                  <w:tcW w:w="558" w:type="pct"/>
                  <w:vAlign w:val="center"/>
                </w:tcPr>
                <w:p w14:paraId="28DC87E8">
                  <w:pPr>
                    <w:jc w:val="center"/>
                    <w:rPr>
                      <w:szCs w:val="21"/>
                    </w:rPr>
                  </w:pPr>
                  <w:r>
                    <w:rPr>
                      <w:szCs w:val="21"/>
                    </w:rPr>
                    <w:t xml:space="preserve">0.0544 </w:t>
                  </w:r>
                </w:p>
              </w:tc>
              <w:tc>
                <w:tcPr>
                  <w:tcW w:w="533" w:type="pct"/>
                  <w:vAlign w:val="center"/>
                </w:tcPr>
                <w:p w14:paraId="2F56A90C">
                  <w:pPr>
                    <w:jc w:val="center"/>
                    <w:rPr>
                      <w:szCs w:val="21"/>
                    </w:rPr>
                  </w:pPr>
                  <w:r>
                    <w:rPr>
                      <w:szCs w:val="21"/>
                    </w:rPr>
                    <w:t xml:space="preserve">0.0291 </w:t>
                  </w:r>
                </w:p>
              </w:tc>
              <w:tc>
                <w:tcPr>
                  <w:tcW w:w="589" w:type="pct"/>
                  <w:vAlign w:val="center"/>
                </w:tcPr>
                <w:p w14:paraId="2A9FFC11">
                  <w:pPr>
                    <w:jc w:val="center"/>
                    <w:rPr>
                      <w:szCs w:val="21"/>
                    </w:rPr>
                  </w:pPr>
                  <w:r>
                    <w:rPr>
                      <w:szCs w:val="21"/>
                    </w:rPr>
                    <w:t xml:space="preserve">0.0340 </w:t>
                  </w:r>
                </w:p>
              </w:tc>
              <w:tc>
                <w:tcPr>
                  <w:tcW w:w="488" w:type="pct"/>
                  <w:vAlign w:val="center"/>
                </w:tcPr>
                <w:p w14:paraId="5695CF52">
                  <w:pPr>
                    <w:jc w:val="center"/>
                    <w:rPr>
                      <w:szCs w:val="21"/>
                    </w:rPr>
                  </w:pPr>
                  <w:r>
                    <w:rPr>
                      <w:szCs w:val="21"/>
                    </w:rPr>
                    <w:t xml:space="preserve">0.0056 </w:t>
                  </w:r>
                </w:p>
              </w:tc>
              <w:tc>
                <w:tcPr>
                  <w:tcW w:w="595" w:type="pct"/>
                  <w:vAlign w:val="center"/>
                </w:tcPr>
                <w:p w14:paraId="4C3F7101">
                  <w:pPr>
                    <w:jc w:val="center"/>
                    <w:rPr>
                      <w:szCs w:val="21"/>
                    </w:rPr>
                  </w:pPr>
                  <w:r>
                    <w:rPr>
                      <w:szCs w:val="21"/>
                    </w:rPr>
                    <w:t xml:space="preserve">0.0078 </w:t>
                  </w:r>
                </w:p>
              </w:tc>
              <w:tc>
                <w:tcPr>
                  <w:tcW w:w="597" w:type="pct"/>
                  <w:vAlign w:val="center"/>
                </w:tcPr>
                <w:p w14:paraId="38DF02A3">
                  <w:pPr>
                    <w:jc w:val="center"/>
                    <w:rPr>
                      <w:szCs w:val="21"/>
                    </w:rPr>
                  </w:pPr>
                  <w:r>
                    <w:rPr>
                      <w:szCs w:val="21"/>
                    </w:rPr>
                    <w:t xml:space="preserve">0.0006 </w:t>
                  </w:r>
                </w:p>
              </w:tc>
            </w:tr>
            <w:tr w14:paraId="4389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20" w:type="pct"/>
                  <w:gridSpan w:val="2"/>
                  <w:vAlign w:val="center"/>
                </w:tcPr>
                <w:p w14:paraId="4AB8FC1E">
                  <w:pPr>
                    <w:wordWrap w:val="0"/>
                    <w:jc w:val="center"/>
                    <w:rPr>
                      <w:szCs w:val="21"/>
                    </w:rPr>
                  </w:pPr>
                  <w:r>
                    <w:rPr>
                      <w:szCs w:val="21"/>
                    </w:rPr>
                    <w:t>《污水综合排放标准》（GB8978-1996）三级标准</w:t>
                  </w:r>
                </w:p>
              </w:tc>
              <w:tc>
                <w:tcPr>
                  <w:tcW w:w="616" w:type="pct"/>
                  <w:vAlign w:val="center"/>
                </w:tcPr>
                <w:p w14:paraId="35ACF107">
                  <w:pPr>
                    <w:jc w:val="center"/>
                    <w:rPr>
                      <w:szCs w:val="21"/>
                    </w:rPr>
                  </w:pPr>
                  <w:r>
                    <w:rPr>
                      <w:szCs w:val="21"/>
                    </w:rPr>
                    <w:t>/</w:t>
                  </w:r>
                </w:p>
              </w:tc>
              <w:tc>
                <w:tcPr>
                  <w:tcW w:w="558" w:type="pct"/>
                  <w:vAlign w:val="center"/>
                </w:tcPr>
                <w:p w14:paraId="46A7631F">
                  <w:pPr>
                    <w:jc w:val="center"/>
                    <w:rPr>
                      <w:szCs w:val="21"/>
                    </w:rPr>
                  </w:pPr>
                  <w:r>
                    <w:rPr>
                      <w:szCs w:val="21"/>
                    </w:rPr>
                    <w:t>500</w:t>
                  </w:r>
                </w:p>
              </w:tc>
              <w:tc>
                <w:tcPr>
                  <w:tcW w:w="533" w:type="pct"/>
                  <w:vAlign w:val="center"/>
                </w:tcPr>
                <w:p w14:paraId="1E928457">
                  <w:pPr>
                    <w:jc w:val="center"/>
                    <w:rPr>
                      <w:szCs w:val="21"/>
                    </w:rPr>
                  </w:pPr>
                  <w:r>
                    <w:rPr>
                      <w:szCs w:val="21"/>
                    </w:rPr>
                    <w:t>300</w:t>
                  </w:r>
                </w:p>
              </w:tc>
              <w:tc>
                <w:tcPr>
                  <w:tcW w:w="589" w:type="pct"/>
                  <w:vAlign w:val="center"/>
                </w:tcPr>
                <w:p w14:paraId="75EBBC8B">
                  <w:pPr>
                    <w:jc w:val="center"/>
                    <w:rPr>
                      <w:szCs w:val="21"/>
                    </w:rPr>
                  </w:pPr>
                  <w:r>
                    <w:rPr>
                      <w:szCs w:val="21"/>
                    </w:rPr>
                    <w:t>400</w:t>
                  </w:r>
                </w:p>
              </w:tc>
              <w:tc>
                <w:tcPr>
                  <w:tcW w:w="488" w:type="pct"/>
                  <w:vAlign w:val="center"/>
                </w:tcPr>
                <w:p w14:paraId="6FAD1083">
                  <w:pPr>
                    <w:jc w:val="center"/>
                    <w:rPr>
                      <w:szCs w:val="21"/>
                    </w:rPr>
                  </w:pPr>
                  <w:r>
                    <w:rPr>
                      <w:szCs w:val="21"/>
                    </w:rPr>
                    <w:t>45</w:t>
                  </w:r>
                </w:p>
              </w:tc>
              <w:tc>
                <w:tcPr>
                  <w:tcW w:w="595" w:type="pct"/>
                  <w:vAlign w:val="center"/>
                </w:tcPr>
                <w:p w14:paraId="5D5F60B5">
                  <w:pPr>
                    <w:jc w:val="center"/>
                    <w:rPr>
                      <w:szCs w:val="21"/>
                    </w:rPr>
                  </w:pPr>
                  <w:r>
                    <w:rPr>
                      <w:szCs w:val="21"/>
                    </w:rPr>
                    <w:t>70</w:t>
                  </w:r>
                </w:p>
              </w:tc>
              <w:tc>
                <w:tcPr>
                  <w:tcW w:w="597" w:type="pct"/>
                  <w:vAlign w:val="center"/>
                </w:tcPr>
                <w:p w14:paraId="2F0DE7FB">
                  <w:pPr>
                    <w:jc w:val="center"/>
                    <w:rPr>
                      <w:szCs w:val="21"/>
                    </w:rPr>
                  </w:pPr>
                  <w:r>
                    <w:rPr>
                      <w:szCs w:val="21"/>
                    </w:rPr>
                    <w:t>8</w:t>
                  </w:r>
                </w:p>
              </w:tc>
            </w:tr>
            <w:tr w14:paraId="3C87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362" w:type="pct"/>
                  <w:vMerge w:val="restart"/>
                  <w:vAlign w:val="center"/>
                </w:tcPr>
                <w:p w14:paraId="0691083B">
                  <w:pPr>
                    <w:jc w:val="center"/>
                    <w:rPr>
                      <w:szCs w:val="21"/>
                    </w:rPr>
                  </w:pPr>
                  <w:r>
                    <w:rPr>
                      <w:bCs/>
                      <w:szCs w:val="21"/>
                    </w:rPr>
                    <w:t>污水处理厂</w:t>
                  </w:r>
                  <w:r>
                    <w:rPr>
                      <w:rFonts w:hint="eastAsia"/>
                      <w:bCs/>
                      <w:szCs w:val="21"/>
                    </w:rPr>
                    <w:t>排口</w:t>
                  </w:r>
                </w:p>
              </w:tc>
              <w:tc>
                <w:tcPr>
                  <w:tcW w:w="657" w:type="pct"/>
                  <w:vAlign w:val="center"/>
                </w:tcPr>
                <w:p w14:paraId="04F56281">
                  <w:pPr>
                    <w:jc w:val="center"/>
                    <w:rPr>
                      <w:szCs w:val="21"/>
                    </w:rPr>
                  </w:pPr>
                  <w:r>
                    <w:rPr>
                      <w:szCs w:val="21"/>
                    </w:rPr>
                    <w:t>浓度（mg/L）</w:t>
                  </w:r>
                </w:p>
              </w:tc>
              <w:tc>
                <w:tcPr>
                  <w:tcW w:w="616" w:type="pct"/>
                  <w:vMerge w:val="restart"/>
                  <w:vAlign w:val="center"/>
                </w:tcPr>
                <w:p w14:paraId="54D0A2A3">
                  <w:pPr>
                    <w:jc w:val="center"/>
                    <w:rPr>
                      <w:szCs w:val="21"/>
                    </w:rPr>
                  </w:pPr>
                  <w:r>
                    <w:rPr>
                      <w:rFonts w:hint="eastAsia"/>
                      <w:szCs w:val="21"/>
                    </w:rPr>
                    <w:t>194.11</w:t>
                  </w:r>
                </w:p>
              </w:tc>
              <w:tc>
                <w:tcPr>
                  <w:tcW w:w="558" w:type="pct"/>
                  <w:vAlign w:val="center"/>
                </w:tcPr>
                <w:p w14:paraId="62FC34C2">
                  <w:pPr>
                    <w:jc w:val="center"/>
                    <w:rPr>
                      <w:szCs w:val="21"/>
                    </w:rPr>
                  </w:pPr>
                  <w:r>
                    <w:rPr>
                      <w:szCs w:val="21"/>
                    </w:rPr>
                    <w:t>50</w:t>
                  </w:r>
                </w:p>
              </w:tc>
              <w:tc>
                <w:tcPr>
                  <w:tcW w:w="533" w:type="pct"/>
                  <w:vAlign w:val="center"/>
                </w:tcPr>
                <w:p w14:paraId="0080E5C0">
                  <w:pPr>
                    <w:jc w:val="center"/>
                    <w:rPr>
                      <w:szCs w:val="21"/>
                    </w:rPr>
                  </w:pPr>
                  <w:r>
                    <w:rPr>
                      <w:szCs w:val="21"/>
                    </w:rPr>
                    <w:t>10</w:t>
                  </w:r>
                </w:p>
              </w:tc>
              <w:tc>
                <w:tcPr>
                  <w:tcW w:w="589" w:type="pct"/>
                  <w:vAlign w:val="center"/>
                </w:tcPr>
                <w:p w14:paraId="6BFAA01C">
                  <w:pPr>
                    <w:jc w:val="center"/>
                    <w:rPr>
                      <w:szCs w:val="21"/>
                    </w:rPr>
                  </w:pPr>
                  <w:r>
                    <w:rPr>
                      <w:szCs w:val="21"/>
                    </w:rPr>
                    <w:t>10</w:t>
                  </w:r>
                </w:p>
              </w:tc>
              <w:tc>
                <w:tcPr>
                  <w:tcW w:w="488" w:type="pct"/>
                  <w:vAlign w:val="center"/>
                </w:tcPr>
                <w:p w14:paraId="08DD3635">
                  <w:pPr>
                    <w:jc w:val="center"/>
                    <w:rPr>
                      <w:szCs w:val="21"/>
                    </w:rPr>
                  </w:pPr>
                  <w:r>
                    <w:rPr>
                      <w:szCs w:val="21"/>
                    </w:rPr>
                    <w:t>8</w:t>
                  </w:r>
                </w:p>
              </w:tc>
              <w:tc>
                <w:tcPr>
                  <w:tcW w:w="595" w:type="pct"/>
                  <w:vAlign w:val="center"/>
                </w:tcPr>
                <w:p w14:paraId="29753ACA">
                  <w:pPr>
                    <w:jc w:val="center"/>
                    <w:rPr>
                      <w:szCs w:val="21"/>
                    </w:rPr>
                  </w:pPr>
                  <w:r>
                    <w:rPr>
                      <w:szCs w:val="21"/>
                    </w:rPr>
                    <w:t>15</w:t>
                  </w:r>
                </w:p>
              </w:tc>
              <w:tc>
                <w:tcPr>
                  <w:tcW w:w="597" w:type="pct"/>
                  <w:vAlign w:val="center"/>
                </w:tcPr>
                <w:p w14:paraId="115D1F51">
                  <w:pPr>
                    <w:jc w:val="center"/>
                    <w:rPr>
                      <w:szCs w:val="21"/>
                    </w:rPr>
                  </w:pPr>
                  <w:r>
                    <w:rPr>
                      <w:szCs w:val="21"/>
                    </w:rPr>
                    <w:t>0.5</w:t>
                  </w:r>
                </w:p>
              </w:tc>
            </w:tr>
            <w:tr w14:paraId="564D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2" w:type="pct"/>
                  <w:vMerge w:val="continue"/>
                  <w:vAlign w:val="center"/>
                </w:tcPr>
                <w:p w14:paraId="28216BC3">
                  <w:pPr>
                    <w:jc w:val="center"/>
                    <w:rPr>
                      <w:szCs w:val="21"/>
                    </w:rPr>
                  </w:pPr>
                </w:p>
              </w:tc>
              <w:tc>
                <w:tcPr>
                  <w:tcW w:w="657" w:type="pct"/>
                  <w:vAlign w:val="center"/>
                </w:tcPr>
                <w:p w14:paraId="252FD941">
                  <w:pPr>
                    <w:jc w:val="center"/>
                    <w:rPr>
                      <w:szCs w:val="21"/>
                    </w:rPr>
                  </w:pPr>
                  <w:r>
                    <w:rPr>
                      <w:szCs w:val="21"/>
                    </w:rPr>
                    <w:t>排放量（t/a）</w:t>
                  </w:r>
                </w:p>
              </w:tc>
              <w:tc>
                <w:tcPr>
                  <w:tcW w:w="616" w:type="pct"/>
                  <w:vMerge w:val="continue"/>
                  <w:vAlign w:val="center"/>
                </w:tcPr>
                <w:p w14:paraId="37AE5C0B">
                  <w:pPr>
                    <w:jc w:val="center"/>
                    <w:rPr>
                      <w:szCs w:val="21"/>
                    </w:rPr>
                  </w:pPr>
                </w:p>
              </w:tc>
              <w:tc>
                <w:tcPr>
                  <w:tcW w:w="558" w:type="pct"/>
                  <w:vAlign w:val="center"/>
                </w:tcPr>
                <w:p w14:paraId="370DEC23">
                  <w:pPr>
                    <w:jc w:val="center"/>
                    <w:rPr>
                      <w:szCs w:val="21"/>
                    </w:rPr>
                  </w:pPr>
                  <w:r>
                    <w:rPr>
                      <w:szCs w:val="21"/>
                    </w:rPr>
                    <w:t xml:space="preserve">0.0097 </w:t>
                  </w:r>
                </w:p>
              </w:tc>
              <w:tc>
                <w:tcPr>
                  <w:tcW w:w="533" w:type="pct"/>
                  <w:vAlign w:val="center"/>
                </w:tcPr>
                <w:p w14:paraId="2C28C1E6">
                  <w:pPr>
                    <w:jc w:val="center"/>
                    <w:rPr>
                      <w:szCs w:val="21"/>
                    </w:rPr>
                  </w:pPr>
                  <w:r>
                    <w:rPr>
                      <w:szCs w:val="21"/>
                    </w:rPr>
                    <w:t xml:space="preserve">0.0019 </w:t>
                  </w:r>
                </w:p>
              </w:tc>
              <w:tc>
                <w:tcPr>
                  <w:tcW w:w="589" w:type="pct"/>
                  <w:vAlign w:val="center"/>
                </w:tcPr>
                <w:p w14:paraId="32A35D76">
                  <w:pPr>
                    <w:jc w:val="center"/>
                    <w:rPr>
                      <w:szCs w:val="21"/>
                    </w:rPr>
                  </w:pPr>
                  <w:r>
                    <w:rPr>
                      <w:szCs w:val="21"/>
                    </w:rPr>
                    <w:t xml:space="preserve">0.0019 </w:t>
                  </w:r>
                </w:p>
              </w:tc>
              <w:tc>
                <w:tcPr>
                  <w:tcW w:w="488" w:type="pct"/>
                  <w:vAlign w:val="center"/>
                </w:tcPr>
                <w:p w14:paraId="40454797">
                  <w:pPr>
                    <w:jc w:val="center"/>
                    <w:rPr>
                      <w:szCs w:val="21"/>
                    </w:rPr>
                  </w:pPr>
                  <w:r>
                    <w:rPr>
                      <w:szCs w:val="21"/>
                    </w:rPr>
                    <w:t xml:space="preserve">0.0016 </w:t>
                  </w:r>
                </w:p>
              </w:tc>
              <w:tc>
                <w:tcPr>
                  <w:tcW w:w="595" w:type="pct"/>
                  <w:vAlign w:val="center"/>
                </w:tcPr>
                <w:p w14:paraId="3CD84FE3">
                  <w:pPr>
                    <w:jc w:val="center"/>
                    <w:rPr>
                      <w:szCs w:val="21"/>
                    </w:rPr>
                  </w:pPr>
                  <w:r>
                    <w:rPr>
                      <w:szCs w:val="21"/>
                    </w:rPr>
                    <w:t xml:space="preserve">0.0029 </w:t>
                  </w:r>
                </w:p>
              </w:tc>
              <w:tc>
                <w:tcPr>
                  <w:tcW w:w="597" w:type="pct"/>
                  <w:vAlign w:val="center"/>
                </w:tcPr>
                <w:p w14:paraId="517D7DBF">
                  <w:pPr>
                    <w:jc w:val="center"/>
                    <w:rPr>
                      <w:szCs w:val="21"/>
                    </w:rPr>
                  </w:pPr>
                  <w:r>
                    <w:rPr>
                      <w:szCs w:val="21"/>
                    </w:rPr>
                    <w:t xml:space="preserve">0.0001 </w:t>
                  </w:r>
                </w:p>
              </w:tc>
            </w:tr>
            <w:tr w14:paraId="15A2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000" w:type="pct"/>
                  <w:gridSpan w:val="9"/>
                  <w:vAlign w:val="center"/>
                </w:tcPr>
                <w:p w14:paraId="071A43A8">
                  <w:pPr>
                    <w:widowControl/>
                    <w:textAlignment w:val="center"/>
                    <w:rPr>
                      <w:szCs w:val="21"/>
                    </w:rPr>
                  </w:pPr>
                  <w:r>
                    <w:rPr>
                      <w:rFonts w:hint="eastAsia"/>
                      <w:szCs w:val="21"/>
                    </w:rPr>
                    <w:t>备注：①企业废水总排口出水指标执行《污水综合排放标准》（GB8978-1996）表4中三级标准限值；NH</w:t>
                  </w:r>
                  <w:r>
                    <w:rPr>
                      <w:rFonts w:hint="eastAsia"/>
                      <w:szCs w:val="21"/>
                      <w:vertAlign w:val="subscript"/>
                    </w:rPr>
                    <w:t>3</w:t>
                  </w:r>
                  <w:r>
                    <w:rPr>
                      <w:rFonts w:hint="eastAsia"/>
                      <w:szCs w:val="21"/>
                    </w:rPr>
                    <w:t>-N、TP、TP参照执行《污水排入城镇下水道水质标准》（GB/T31962-2015）表1中B级标准限值；②达州市第二城市污水处理厂排口其主要出水指标执行《城镇污水处理厂污染物排放标准》（GB18918-2002）中一级A标准。</w:t>
                  </w:r>
                </w:p>
              </w:tc>
            </w:tr>
          </w:tbl>
          <w:p w14:paraId="0C12BE13">
            <w:pPr>
              <w:numPr>
                <w:ilvl w:val="0"/>
                <w:numId w:val="9"/>
              </w:numPr>
              <w:adjustRightInd w:val="0"/>
              <w:snapToGrid w:val="0"/>
              <w:spacing w:line="360" w:lineRule="auto"/>
              <w:ind w:firstLine="480" w:firstLineChars="200"/>
              <w:rPr>
                <w:sz w:val="24"/>
              </w:rPr>
            </w:pPr>
            <w:r>
              <w:rPr>
                <w:rFonts w:hint="eastAsia"/>
                <w:sz w:val="24"/>
              </w:rPr>
              <w:t>生产废水</w:t>
            </w:r>
          </w:p>
          <w:p w14:paraId="46128BA2">
            <w:pPr>
              <w:pStyle w:val="88"/>
              <w:ind w:firstLine="480"/>
            </w:pPr>
            <w:r>
              <w:rPr>
                <w:rFonts w:hint="eastAsia"/>
              </w:rPr>
              <w:t>根据设计资料，本项目废水处理系统对污染物的去除率：COD去除率97.9%，BOD</w:t>
            </w:r>
            <w:r>
              <w:rPr>
                <w:rFonts w:hint="eastAsia"/>
                <w:vertAlign w:val="subscript"/>
              </w:rPr>
              <w:t>5</w:t>
            </w:r>
            <w:r>
              <w:rPr>
                <w:rFonts w:hint="eastAsia"/>
              </w:rPr>
              <w:t>去除率98.3%，NH</w:t>
            </w:r>
            <w:r>
              <w:rPr>
                <w:rFonts w:hint="eastAsia"/>
                <w:vertAlign w:val="subscript"/>
              </w:rPr>
              <w:t>3</w:t>
            </w:r>
            <w:r>
              <w:rPr>
                <w:rFonts w:hint="eastAsia"/>
              </w:rPr>
              <w:t>-H去除率93%，SS去除率97%；类比同类型生活垃圾站，总氮去除率93%，总磷去除率95%。</w:t>
            </w:r>
          </w:p>
          <w:p w14:paraId="5083B08C">
            <w:pPr>
              <w:jc w:val="center"/>
              <w:rPr>
                <w:b/>
                <w:bCs/>
                <w:szCs w:val="21"/>
              </w:rPr>
            </w:pPr>
            <w:r>
              <w:rPr>
                <w:b/>
                <w:bCs/>
                <w:szCs w:val="21"/>
              </w:rPr>
              <w:t>表4-</w:t>
            </w:r>
            <w:r>
              <w:rPr>
                <w:rFonts w:hint="eastAsia"/>
                <w:b/>
                <w:bCs/>
                <w:szCs w:val="21"/>
              </w:rPr>
              <w:t>13</w:t>
            </w:r>
            <w:r>
              <w:rPr>
                <w:b/>
                <w:bCs/>
                <w:szCs w:val="21"/>
              </w:rPr>
              <w:t xml:space="preserve">  本项目</w:t>
            </w:r>
            <w:r>
              <w:rPr>
                <w:rFonts w:hint="eastAsia"/>
                <w:b/>
                <w:bCs/>
                <w:szCs w:val="21"/>
              </w:rPr>
              <w:t>生产</w:t>
            </w:r>
            <w:r>
              <w:rPr>
                <w:b/>
                <w:bCs/>
                <w:szCs w:val="21"/>
              </w:rPr>
              <w:t>废水产排一览表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219"/>
              <w:gridCol w:w="1158"/>
              <w:gridCol w:w="997"/>
              <w:gridCol w:w="882"/>
              <w:gridCol w:w="882"/>
              <w:gridCol w:w="910"/>
              <w:gridCol w:w="890"/>
              <w:gridCol w:w="1058"/>
            </w:tblGrid>
            <w:tr w14:paraId="33BE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0" w:type="pct"/>
                  <w:gridSpan w:val="2"/>
                  <w:vAlign w:val="center"/>
                </w:tcPr>
                <w:p w14:paraId="6718DDDF">
                  <w:pPr>
                    <w:jc w:val="center"/>
                    <w:outlineLvl w:val="0"/>
                    <w:rPr>
                      <w:b/>
                      <w:bCs/>
                      <w:szCs w:val="21"/>
                    </w:rPr>
                  </w:pPr>
                  <w:r>
                    <w:rPr>
                      <w:b/>
                      <w:bCs/>
                      <w:szCs w:val="21"/>
                    </w:rPr>
                    <w:t>废水性质</w:t>
                  </w:r>
                </w:p>
              </w:tc>
              <w:tc>
                <w:tcPr>
                  <w:tcW w:w="683" w:type="pct"/>
                  <w:vAlign w:val="center"/>
                </w:tcPr>
                <w:p w14:paraId="4004AD3F">
                  <w:pPr>
                    <w:jc w:val="center"/>
                    <w:outlineLvl w:val="0"/>
                    <w:rPr>
                      <w:b/>
                      <w:bCs/>
                      <w:szCs w:val="21"/>
                    </w:rPr>
                  </w:pPr>
                  <w:r>
                    <w:rPr>
                      <w:b/>
                      <w:bCs/>
                      <w:szCs w:val="21"/>
                    </w:rPr>
                    <w:t>废水量（m</w:t>
                  </w:r>
                  <w:r>
                    <w:rPr>
                      <w:b/>
                      <w:bCs/>
                      <w:szCs w:val="21"/>
                      <w:vertAlign w:val="superscript"/>
                    </w:rPr>
                    <w:t>3</w:t>
                  </w:r>
                  <w:r>
                    <w:rPr>
                      <w:b/>
                      <w:bCs/>
                      <w:szCs w:val="21"/>
                    </w:rPr>
                    <w:t>/a）</w:t>
                  </w:r>
                </w:p>
              </w:tc>
              <w:tc>
                <w:tcPr>
                  <w:tcW w:w="588" w:type="pct"/>
                  <w:vAlign w:val="center"/>
                </w:tcPr>
                <w:p w14:paraId="0E771FAF">
                  <w:pPr>
                    <w:jc w:val="center"/>
                    <w:outlineLvl w:val="0"/>
                    <w:rPr>
                      <w:b/>
                      <w:bCs/>
                      <w:szCs w:val="21"/>
                    </w:rPr>
                  </w:pPr>
                  <w:r>
                    <w:rPr>
                      <w:b/>
                      <w:bCs/>
                      <w:szCs w:val="21"/>
                    </w:rPr>
                    <w:t>COD</w:t>
                  </w:r>
                </w:p>
              </w:tc>
              <w:tc>
                <w:tcPr>
                  <w:tcW w:w="520" w:type="pct"/>
                  <w:vAlign w:val="center"/>
                </w:tcPr>
                <w:p w14:paraId="0B072F3B">
                  <w:pPr>
                    <w:jc w:val="center"/>
                    <w:outlineLvl w:val="0"/>
                    <w:rPr>
                      <w:b/>
                      <w:bCs/>
                      <w:szCs w:val="21"/>
                    </w:rPr>
                  </w:pPr>
                  <w:r>
                    <w:rPr>
                      <w:rFonts w:hint="eastAsia"/>
                      <w:b/>
                      <w:bCs/>
                      <w:szCs w:val="21"/>
                    </w:rPr>
                    <w:t>BOD</w:t>
                  </w:r>
                  <w:r>
                    <w:rPr>
                      <w:rFonts w:hint="eastAsia"/>
                      <w:b/>
                      <w:bCs/>
                      <w:szCs w:val="21"/>
                      <w:vertAlign w:val="subscript"/>
                    </w:rPr>
                    <w:t>5</w:t>
                  </w:r>
                </w:p>
              </w:tc>
              <w:tc>
                <w:tcPr>
                  <w:tcW w:w="520" w:type="pct"/>
                  <w:vAlign w:val="center"/>
                </w:tcPr>
                <w:p w14:paraId="2DAB95D2">
                  <w:pPr>
                    <w:jc w:val="center"/>
                    <w:outlineLvl w:val="0"/>
                    <w:rPr>
                      <w:b/>
                      <w:bCs/>
                      <w:szCs w:val="21"/>
                    </w:rPr>
                  </w:pPr>
                  <w:r>
                    <w:rPr>
                      <w:rFonts w:hint="eastAsia"/>
                      <w:b/>
                      <w:bCs/>
                      <w:szCs w:val="21"/>
                    </w:rPr>
                    <w:t>SS</w:t>
                  </w:r>
                </w:p>
              </w:tc>
              <w:tc>
                <w:tcPr>
                  <w:tcW w:w="537" w:type="pct"/>
                  <w:vAlign w:val="center"/>
                </w:tcPr>
                <w:p w14:paraId="2A9F5349">
                  <w:pPr>
                    <w:jc w:val="center"/>
                    <w:outlineLvl w:val="0"/>
                    <w:rPr>
                      <w:b/>
                      <w:bCs/>
                      <w:szCs w:val="21"/>
                    </w:rPr>
                  </w:pPr>
                  <w:r>
                    <w:rPr>
                      <w:rFonts w:hint="eastAsia"/>
                      <w:b/>
                      <w:bCs/>
                      <w:szCs w:val="21"/>
                    </w:rPr>
                    <w:t>NH</w:t>
                  </w:r>
                  <w:r>
                    <w:rPr>
                      <w:rFonts w:hint="eastAsia"/>
                      <w:b/>
                      <w:bCs/>
                      <w:szCs w:val="21"/>
                      <w:vertAlign w:val="subscript"/>
                    </w:rPr>
                    <w:t>3</w:t>
                  </w:r>
                  <w:r>
                    <w:rPr>
                      <w:rFonts w:hint="eastAsia"/>
                      <w:b/>
                      <w:bCs/>
                      <w:szCs w:val="21"/>
                    </w:rPr>
                    <w:t>-N</w:t>
                  </w:r>
                </w:p>
              </w:tc>
              <w:tc>
                <w:tcPr>
                  <w:tcW w:w="525" w:type="pct"/>
                  <w:vAlign w:val="center"/>
                </w:tcPr>
                <w:p w14:paraId="3D4AE1A0">
                  <w:pPr>
                    <w:jc w:val="center"/>
                    <w:outlineLvl w:val="0"/>
                    <w:rPr>
                      <w:b/>
                      <w:bCs/>
                      <w:szCs w:val="21"/>
                    </w:rPr>
                  </w:pPr>
                  <w:r>
                    <w:rPr>
                      <w:rFonts w:hint="eastAsia"/>
                      <w:b/>
                      <w:bCs/>
                      <w:szCs w:val="21"/>
                    </w:rPr>
                    <w:t>总氮</w:t>
                  </w:r>
                </w:p>
              </w:tc>
              <w:tc>
                <w:tcPr>
                  <w:tcW w:w="624" w:type="pct"/>
                  <w:vAlign w:val="center"/>
                </w:tcPr>
                <w:p w14:paraId="7CBE8340">
                  <w:pPr>
                    <w:jc w:val="center"/>
                    <w:outlineLvl w:val="0"/>
                    <w:rPr>
                      <w:b/>
                      <w:bCs/>
                      <w:szCs w:val="21"/>
                    </w:rPr>
                  </w:pPr>
                  <w:r>
                    <w:rPr>
                      <w:rFonts w:hint="eastAsia"/>
                      <w:b/>
                      <w:bCs/>
                      <w:szCs w:val="21"/>
                    </w:rPr>
                    <w:t>总磷</w:t>
                  </w:r>
                </w:p>
              </w:tc>
            </w:tr>
            <w:tr w14:paraId="39EF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81" w:type="pct"/>
                  <w:vMerge w:val="restart"/>
                  <w:vAlign w:val="center"/>
                </w:tcPr>
                <w:p w14:paraId="1F6E07E5">
                  <w:pPr>
                    <w:jc w:val="center"/>
                    <w:rPr>
                      <w:szCs w:val="21"/>
                    </w:rPr>
                  </w:pPr>
                  <w:r>
                    <w:rPr>
                      <w:rFonts w:hint="eastAsia"/>
                      <w:szCs w:val="21"/>
                    </w:rPr>
                    <w:t>渗滤液</w:t>
                  </w:r>
                </w:p>
              </w:tc>
              <w:tc>
                <w:tcPr>
                  <w:tcW w:w="718" w:type="pct"/>
                  <w:vAlign w:val="center"/>
                </w:tcPr>
                <w:p w14:paraId="5B319330">
                  <w:pPr>
                    <w:jc w:val="center"/>
                    <w:rPr>
                      <w:szCs w:val="21"/>
                    </w:rPr>
                  </w:pPr>
                  <w:r>
                    <w:rPr>
                      <w:szCs w:val="21"/>
                    </w:rPr>
                    <w:t>浓度（mg/L）</w:t>
                  </w:r>
                </w:p>
              </w:tc>
              <w:tc>
                <w:tcPr>
                  <w:tcW w:w="683" w:type="pct"/>
                  <w:vMerge w:val="restart"/>
                  <w:vAlign w:val="center"/>
                </w:tcPr>
                <w:p w14:paraId="17E87EB8">
                  <w:pPr>
                    <w:widowControl/>
                    <w:jc w:val="center"/>
                    <w:textAlignment w:val="center"/>
                    <w:rPr>
                      <w:szCs w:val="21"/>
                    </w:rPr>
                  </w:pPr>
                  <w:r>
                    <w:rPr>
                      <w:color w:val="000000"/>
                      <w:kern w:val="0"/>
                      <w:szCs w:val="21"/>
                      <w:lang w:bidi="ar"/>
                    </w:rPr>
                    <w:t>7008</w:t>
                  </w:r>
                </w:p>
              </w:tc>
              <w:tc>
                <w:tcPr>
                  <w:tcW w:w="588" w:type="pct"/>
                  <w:shd w:val="clear" w:color="auto" w:fill="auto"/>
                  <w:vAlign w:val="center"/>
                </w:tcPr>
                <w:p w14:paraId="4D5209FF">
                  <w:pPr>
                    <w:widowControl/>
                    <w:jc w:val="center"/>
                    <w:textAlignment w:val="center"/>
                    <w:rPr>
                      <w:color w:val="000000"/>
                      <w:kern w:val="0"/>
                      <w:szCs w:val="21"/>
                      <w:lang w:bidi="ar"/>
                    </w:rPr>
                  </w:pPr>
                  <w:r>
                    <w:rPr>
                      <w:color w:val="000000"/>
                      <w:kern w:val="0"/>
                      <w:szCs w:val="21"/>
                      <w:lang w:bidi="ar"/>
                    </w:rPr>
                    <w:t>20000</w:t>
                  </w:r>
                </w:p>
              </w:tc>
              <w:tc>
                <w:tcPr>
                  <w:tcW w:w="520" w:type="pct"/>
                  <w:shd w:val="clear" w:color="auto" w:fill="auto"/>
                  <w:vAlign w:val="center"/>
                </w:tcPr>
                <w:p w14:paraId="5F565B78">
                  <w:pPr>
                    <w:widowControl/>
                    <w:jc w:val="center"/>
                    <w:textAlignment w:val="center"/>
                    <w:rPr>
                      <w:color w:val="000000"/>
                      <w:kern w:val="0"/>
                      <w:szCs w:val="21"/>
                      <w:lang w:bidi="ar"/>
                    </w:rPr>
                  </w:pPr>
                  <w:r>
                    <w:rPr>
                      <w:color w:val="000000"/>
                      <w:kern w:val="0"/>
                      <w:szCs w:val="21"/>
                      <w:lang w:bidi="ar"/>
                    </w:rPr>
                    <w:t>10000</w:t>
                  </w:r>
                </w:p>
              </w:tc>
              <w:tc>
                <w:tcPr>
                  <w:tcW w:w="520" w:type="pct"/>
                  <w:shd w:val="clear" w:color="auto" w:fill="auto"/>
                  <w:vAlign w:val="center"/>
                </w:tcPr>
                <w:p w14:paraId="0EFFF0A6">
                  <w:pPr>
                    <w:widowControl/>
                    <w:jc w:val="center"/>
                    <w:textAlignment w:val="center"/>
                    <w:rPr>
                      <w:color w:val="000000"/>
                      <w:kern w:val="0"/>
                      <w:szCs w:val="21"/>
                      <w:lang w:bidi="ar"/>
                    </w:rPr>
                  </w:pPr>
                  <w:r>
                    <w:rPr>
                      <w:color w:val="000000"/>
                      <w:kern w:val="0"/>
                      <w:szCs w:val="21"/>
                      <w:lang w:bidi="ar"/>
                    </w:rPr>
                    <w:t>10000</w:t>
                  </w:r>
                </w:p>
              </w:tc>
              <w:tc>
                <w:tcPr>
                  <w:tcW w:w="537" w:type="pct"/>
                  <w:vAlign w:val="center"/>
                </w:tcPr>
                <w:p w14:paraId="0BBFD2EB">
                  <w:pPr>
                    <w:widowControl/>
                    <w:jc w:val="center"/>
                    <w:textAlignment w:val="center"/>
                    <w:rPr>
                      <w:color w:val="000000"/>
                      <w:kern w:val="0"/>
                      <w:szCs w:val="21"/>
                      <w:lang w:bidi="ar"/>
                    </w:rPr>
                  </w:pPr>
                  <w:r>
                    <w:rPr>
                      <w:color w:val="000000"/>
                      <w:kern w:val="0"/>
                      <w:szCs w:val="21"/>
                      <w:lang w:bidi="ar"/>
                    </w:rPr>
                    <w:t>500</w:t>
                  </w:r>
                </w:p>
              </w:tc>
              <w:tc>
                <w:tcPr>
                  <w:tcW w:w="525" w:type="pct"/>
                  <w:vAlign w:val="center"/>
                </w:tcPr>
                <w:p w14:paraId="590B4734">
                  <w:pPr>
                    <w:widowControl/>
                    <w:jc w:val="center"/>
                    <w:textAlignment w:val="center"/>
                    <w:rPr>
                      <w:color w:val="000000"/>
                      <w:kern w:val="0"/>
                      <w:szCs w:val="21"/>
                      <w:lang w:bidi="ar"/>
                    </w:rPr>
                  </w:pPr>
                  <w:r>
                    <w:rPr>
                      <w:color w:val="000000"/>
                      <w:kern w:val="0"/>
                      <w:szCs w:val="21"/>
                      <w:lang w:bidi="ar"/>
                    </w:rPr>
                    <w:t>1200</w:t>
                  </w:r>
                </w:p>
              </w:tc>
              <w:tc>
                <w:tcPr>
                  <w:tcW w:w="624" w:type="pct"/>
                  <w:vAlign w:val="center"/>
                </w:tcPr>
                <w:p w14:paraId="20B77AD2">
                  <w:pPr>
                    <w:widowControl/>
                    <w:jc w:val="center"/>
                    <w:textAlignment w:val="center"/>
                    <w:rPr>
                      <w:color w:val="000000"/>
                      <w:kern w:val="0"/>
                      <w:szCs w:val="21"/>
                      <w:lang w:bidi="ar"/>
                    </w:rPr>
                  </w:pPr>
                  <w:r>
                    <w:rPr>
                      <w:color w:val="000000"/>
                      <w:kern w:val="0"/>
                      <w:szCs w:val="21"/>
                      <w:lang w:bidi="ar"/>
                    </w:rPr>
                    <w:t>50</w:t>
                  </w:r>
                </w:p>
              </w:tc>
            </w:tr>
            <w:tr w14:paraId="426B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37928D84">
                  <w:pPr>
                    <w:jc w:val="center"/>
                    <w:rPr>
                      <w:szCs w:val="21"/>
                    </w:rPr>
                  </w:pPr>
                </w:p>
              </w:tc>
              <w:tc>
                <w:tcPr>
                  <w:tcW w:w="718" w:type="pct"/>
                  <w:vAlign w:val="center"/>
                </w:tcPr>
                <w:p w14:paraId="0C4BE044">
                  <w:pPr>
                    <w:jc w:val="center"/>
                    <w:rPr>
                      <w:szCs w:val="21"/>
                    </w:rPr>
                  </w:pPr>
                  <w:r>
                    <w:rPr>
                      <w:szCs w:val="21"/>
                    </w:rPr>
                    <w:t>产生量（t/a）</w:t>
                  </w:r>
                </w:p>
              </w:tc>
              <w:tc>
                <w:tcPr>
                  <w:tcW w:w="683" w:type="pct"/>
                  <w:vMerge w:val="continue"/>
                  <w:vAlign w:val="center"/>
                </w:tcPr>
                <w:p w14:paraId="55E745FA">
                  <w:pPr>
                    <w:jc w:val="center"/>
                    <w:rPr>
                      <w:szCs w:val="21"/>
                    </w:rPr>
                  </w:pPr>
                </w:p>
              </w:tc>
              <w:tc>
                <w:tcPr>
                  <w:tcW w:w="588" w:type="pct"/>
                  <w:shd w:val="clear" w:color="auto" w:fill="auto"/>
                  <w:vAlign w:val="center"/>
                </w:tcPr>
                <w:p w14:paraId="24746748">
                  <w:pPr>
                    <w:widowControl/>
                    <w:jc w:val="center"/>
                    <w:textAlignment w:val="center"/>
                    <w:rPr>
                      <w:color w:val="000000"/>
                      <w:kern w:val="0"/>
                      <w:szCs w:val="21"/>
                      <w:lang w:bidi="ar"/>
                    </w:rPr>
                  </w:pPr>
                  <w:r>
                    <w:rPr>
                      <w:color w:val="000000"/>
                      <w:kern w:val="0"/>
                      <w:szCs w:val="21"/>
                      <w:lang w:bidi="ar"/>
                    </w:rPr>
                    <w:t xml:space="preserve">140.16 </w:t>
                  </w:r>
                </w:p>
              </w:tc>
              <w:tc>
                <w:tcPr>
                  <w:tcW w:w="520" w:type="pct"/>
                  <w:shd w:val="clear" w:color="auto" w:fill="auto"/>
                  <w:vAlign w:val="center"/>
                </w:tcPr>
                <w:p w14:paraId="20AAF85F">
                  <w:pPr>
                    <w:widowControl/>
                    <w:jc w:val="center"/>
                    <w:textAlignment w:val="center"/>
                    <w:rPr>
                      <w:color w:val="000000"/>
                      <w:kern w:val="0"/>
                      <w:szCs w:val="21"/>
                      <w:lang w:bidi="ar"/>
                    </w:rPr>
                  </w:pPr>
                  <w:r>
                    <w:rPr>
                      <w:color w:val="000000"/>
                      <w:kern w:val="0"/>
                      <w:szCs w:val="21"/>
                      <w:lang w:bidi="ar"/>
                    </w:rPr>
                    <w:t xml:space="preserve">70.08 </w:t>
                  </w:r>
                </w:p>
              </w:tc>
              <w:tc>
                <w:tcPr>
                  <w:tcW w:w="520" w:type="pct"/>
                  <w:shd w:val="clear" w:color="auto" w:fill="auto"/>
                  <w:vAlign w:val="center"/>
                </w:tcPr>
                <w:p w14:paraId="5A07055D">
                  <w:pPr>
                    <w:widowControl/>
                    <w:jc w:val="center"/>
                    <w:textAlignment w:val="center"/>
                    <w:rPr>
                      <w:color w:val="000000"/>
                      <w:kern w:val="0"/>
                      <w:szCs w:val="21"/>
                      <w:lang w:bidi="ar"/>
                    </w:rPr>
                  </w:pPr>
                  <w:r>
                    <w:rPr>
                      <w:color w:val="000000"/>
                      <w:kern w:val="0"/>
                      <w:szCs w:val="21"/>
                      <w:lang w:bidi="ar"/>
                    </w:rPr>
                    <w:t xml:space="preserve">70.08 </w:t>
                  </w:r>
                </w:p>
              </w:tc>
              <w:tc>
                <w:tcPr>
                  <w:tcW w:w="537" w:type="pct"/>
                  <w:vAlign w:val="center"/>
                </w:tcPr>
                <w:p w14:paraId="5A65AB1B">
                  <w:pPr>
                    <w:widowControl/>
                    <w:jc w:val="center"/>
                    <w:textAlignment w:val="center"/>
                    <w:rPr>
                      <w:color w:val="000000"/>
                      <w:kern w:val="0"/>
                      <w:szCs w:val="21"/>
                      <w:lang w:bidi="ar"/>
                    </w:rPr>
                  </w:pPr>
                  <w:r>
                    <w:rPr>
                      <w:color w:val="000000"/>
                      <w:kern w:val="0"/>
                      <w:szCs w:val="21"/>
                      <w:lang w:bidi="ar"/>
                    </w:rPr>
                    <w:t xml:space="preserve">3.504 </w:t>
                  </w:r>
                </w:p>
              </w:tc>
              <w:tc>
                <w:tcPr>
                  <w:tcW w:w="525" w:type="pct"/>
                  <w:vAlign w:val="center"/>
                </w:tcPr>
                <w:p w14:paraId="09622159">
                  <w:pPr>
                    <w:widowControl/>
                    <w:jc w:val="center"/>
                    <w:textAlignment w:val="center"/>
                    <w:rPr>
                      <w:color w:val="000000"/>
                      <w:kern w:val="0"/>
                      <w:szCs w:val="21"/>
                      <w:lang w:bidi="ar"/>
                    </w:rPr>
                  </w:pPr>
                  <w:r>
                    <w:rPr>
                      <w:color w:val="000000"/>
                      <w:kern w:val="0"/>
                      <w:szCs w:val="21"/>
                      <w:lang w:bidi="ar"/>
                    </w:rPr>
                    <w:t>8.41</w:t>
                  </w:r>
                </w:p>
              </w:tc>
              <w:tc>
                <w:tcPr>
                  <w:tcW w:w="624" w:type="pct"/>
                  <w:vAlign w:val="center"/>
                </w:tcPr>
                <w:p w14:paraId="14A61473">
                  <w:pPr>
                    <w:widowControl/>
                    <w:jc w:val="center"/>
                    <w:textAlignment w:val="center"/>
                    <w:rPr>
                      <w:color w:val="000000"/>
                      <w:kern w:val="0"/>
                      <w:szCs w:val="21"/>
                      <w:lang w:bidi="ar"/>
                    </w:rPr>
                  </w:pPr>
                  <w:r>
                    <w:rPr>
                      <w:color w:val="000000"/>
                      <w:kern w:val="0"/>
                      <w:szCs w:val="21"/>
                      <w:lang w:bidi="ar"/>
                    </w:rPr>
                    <w:t>0.35</w:t>
                  </w:r>
                </w:p>
              </w:tc>
            </w:tr>
            <w:tr w14:paraId="2901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24B70081">
                  <w:pPr>
                    <w:jc w:val="center"/>
                    <w:rPr>
                      <w:szCs w:val="21"/>
                    </w:rPr>
                  </w:pPr>
                  <w:r>
                    <w:rPr>
                      <w:rFonts w:hint="eastAsia"/>
                      <w:szCs w:val="21"/>
                    </w:rPr>
                    <w:t>车辆冲洗废水</w:t>
                  </w:r>
                </w:p>
              </w:tc>
              <w:tc>
                <w:tcPr>
                  <w:tcW w:w="718" w:type="pct"/>
                  <w:shd w:val="clear" w:color="auto" w:fill="auto"/>
                  <w:vAlign w:val="center"/>
                </w:tcPr>
                <w:p w14:paraId="1B9B1A8D">
                  <w:pPr>
                    <w:jc w:val="center"/>
                    <w:rPr>
                      <w:szCs w:val="21"/>
                    </w:rPr>
                  </w:pPr>
                  <w:r>
                    <w:rPr>
                      <w:szCs w:val="21"/>
                    </w:rPr>
                    <w:t>浓度（mg/L）</w:t>
                  </w:r>
                </w:p>
              </w:tc>
              <w:tc>
                <w:tcPr>
                  <w:tcW w:w="683" w:type="pct"/>
                  <w:vMerge w:val="restart"/>
                  <w:vAlign w:val="center"/>
                </w:tcPr>
                <w:p w14:paraId="285643DA">
                  <w:pPr>
                    <w:widowControl/>
                    <w:jc w:val="center"/>
                    <w:textAlignment w:val="center"/>
                    <w:rPr>
                      <w:szCs w:val="21"/>
                    </w:rPr>
                  </w:pPr>
                  <w:r>
                    <w:rPr>
                      <w:color w:val="000000"/>
                      <w:kern w:val="0"/>
                      <w:szCs w:val="21"/>
                      <w:lang w:bidi="ar"/>
                    </w:rPr>
                    <w:t xml:space="preserve">341.28 </w:t>
                  </w:r>
                </w:p>
              </w:tc>
              <w:tc>
                <w:tcPr>
                  <w:tcW w:w="588" w:type="pct"/>
                  <w:shd w:val="clear" w:color="auto" w:fill="auto"/>
                  <w:vAlign w:val="center"/>
                </w:tcPr>
                <w:p w14:paraId="1075D79E">
                  <w:pPr>
                    <w:widowControl/>
                    <w:jc w:val="center"/>
                    <w:textAlignment w:val="center"/>
                    <w:rPr>
                      <w:color w:val="000000"/>
                      <w:kern w:val="0"/>
                      <w:szCs w:val="21"/>
                      <w:lang w:bidi="ar"/>
                    </w:rPr>
                  </w:pPr>
                  <w:r>
                    <w:rPr>
                      <w:color w:val="000000"/>
                      <w:kern w:val="0"/>
                      <w:szCs w:val="21"/>
                      <w:lang w:bidi="ar"/>
                    </w:rPr>
                    <w:t>400</w:t>
                  </w:r>
                </w:p>
              </w:tc>
              <w:tc>
                <w:tcPr>
                  <w:tcW w:w="520" w:type="pct"/>
                  <w:shd w:val="clear" w:color="auto" w:fill="auto"/>
                  <w:vAlign w:val="center"/>
                </w:tcPr>
                <w:p w14:paraId="13DD7E93">
                  <w:pPr>
                    <w:widowControl/>
                    <w:jc w:val="center"/>
                    <w:textAlignment w:val="center"/>
                    <w:rPr>
                      <w:color w:val="000000"/>
                      <w:kern w:val="0"/>
                      <w:szCs w:val="21"/>
                      <w:lang w:bidi="ar"/>
                    </w:rPr>
                  </w:pPr>
                  <w:r>
                    <w:rPr>
                      <w:color w:val="000000"/>
                      <w:kern w:val="0"/>
                      <w:szCs w:val="21"/>
                      <w:lang w:bidi="ar"/>
                    </w:rPr>
                    <w:t>250</w:t>
                  </w:r>
                </w:p>
              </w:tc>
              <w:tc>
                <w:tcPr>
                  <w:tcW w:w="520" w:type="pct"/>
                  <w:shd w:val="clear" w:color="auto" w:fill="auto"/>
                  <w:vAlign w:val="center"/>
                </w:tcPr>
                <w:p w14:paraId="334D8D64">
                  <w:pPr>
                    <w:widowControl/>
                    <w:jc w:val="center"/>
                    <w:textAlignment w:val="center"/>
                    <w:rPr>
                      <w:color w:val="000000"/>
                      <w:kern w:val="0"/>
                      <w:szCs w:val="21"/>
                      <w:lang w:bidi="ar"/>
                    </w:rPr>
                  </w:pPr>
                  <w:r>
                    <w:rPr>
                      <w:color w:val="000000"/>
                      <w:kern w:val="0"/>
                      <w:szCs w:val="21"/>
                      <w:lang w:bidi="ar"/>
                    </w:rPr>
                    <w:t>250</w:t>
                  </w:r>
                </w:p>
              </w:tc>
              <w:tc>
                <w:tcPr>
                  <w:tcW w:w="537" w:type="pct"/>
                  <w:vAlign w:val="center"/>
                </w:tcPr>
                <w:p w14:paraId="413613D0">
                  <w:pPr>
                    <w:widowControl/>
                    <w:jc w:val="center"/>
                    <w:textAlignment w:val="center"/>
                    <w:rPr>
                      <w:color w:val="000000"/>
                      <w:kern w:val="0"/>
                      <w:szCs w:val="21"/>
                      <w:lang w:bidi="ar"/>
                    </w:rPr>
                  </w:pPr>
                  <w:r>
                    <w:rPr>
                      <w:color w:val="000000"/>
                      <w:kern w:val="0"/>
                      <w:szCs w:val="21"/>
                      <w:lang w:bidi="ar"/>
                    </w:rPr>
                    <w:t>40</w:t>
                  </w:r>
                </w:p>
              </w:tc>
              <w:tc>
                <w:tcPr>
                  <w:tcW w:w="525" w:type="pct"/>
                  <w:vAlign w:val="center"/>
                </w:tcPr>
                <w:p w14:paraId="52A2EE46">
                  <w:pPr>
                    <w:widowControl/>
                    <w:jc w:val="center"/>
                    <w:textAlignment w:val="center"/>
                    <w:rPr>
                      <w:color w:val="000000"/>
                      <w:kern w:val="0"/>
                      <w:szCs w:val="21"/>
                      <w:lang w:bidi="ar"/>
                    </w:rPr>
                  </w:pPr>
                  <w:r>
                    <w:rPr>
                      <w:color w:val="000000"/>
                      <w:kern w:val="0"/>
                      <w:szCs w:val="21"/>
                      <w:lang w:bidi="ar"/>
                    </w:rPr>
                    <w:t>80</w:t>
                  </w:r>
                </w:p>
              </w:tc>
              <w:tc>
                <w:tcPr>
                  <w:tcW w:w="624" w:type="pct"/>
                  <w:vAlign w:val="center"/>
                </w:tcPr>
                <w:p w14:paraId="4F9BD9DB">
                  <w:pPr>
                    <w:widowControl/>
                    <w:jc w:val="center"/>
                    <w:textAlignment w:val="center"/>
                    <w:rPr>
                      <w:color w:val="000000"/>
                      <w:kern w:val="0"/>
                      <w:szCs w:val="21"/>
                      <w:lang w:bidi="ar"/>
                    </w:rPr>
                  </w:pPr>
                  <w:r>
                    <w:rPr>
                      <w:color w:val="000000"/>
                      <w:kern w:val="0"/>
                      <w:szCs w:val="21"/>
                      <w:lang w:bidi="ar"/>
                    </w:rPr>
                    <w:t>15</w:t>
                  </w:r>
                </w:p>
              </w:tc>
            </w:tr>
            <w:tr w14:paraId="152D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3B6526AE">
                  <w:pPr>
                    <w:jc w:val="center"/>
                    <w:rPr>
                      <w:szCs w:val="21"/>
                    </w:rPr>
                  </w:pPr>
                </w:p>
              </w:tc>
              <w:tc>
                <w:tcPr>
                  <w:tcW w:w="718" w:type="pct"/>
                  <w:shd w:val="clear" w:color="auto" w:fill="auto"/>
                  <w:vAlign w:val="center"/>
                </w:tcPr>
                <w:p w14:paraId="3289C804">
                  <w:pPr>
                    <w:jc w:val="center"/>
                    <w:rPr>
                      <w:szCs w:val="21"/>
                    </w:rPr>
                  </w:pPr>
                  <w:r>
                    <w:rPr>
                      <w:szCs w:val="21"/>
                    </w:rPr>
                    <w:t>产生量（t/a）</w:t>
                  </w:r>
                </w:p>
              </w:tc>
              <w:tc>
                <w:tcPr>
                  <w:tcW w:w="683" w:type="pct"/>
                  <w:vMerge w:val="continue"/>
                  <w:vAlign w:val="center"/>
                </w:tcPr>
                <w:p w14:paraId="6ACAFD05">
                  <w:pPr>
                    <w:jc w:val="center"/>
                    <w:rPr>
                      <w:szCs w:val="21"/>
                    </w:rPr>
                  </w:pPr>
                </w:p>
              </w:tc>
              <w:tc>
                <w:tcPr>
                  <w:tcW w:w="588" w:type="pct"/>
                  <w:shd w:val="clear" w:color="auto" w:fill="auto"/>
                  <w:vAlign w:val="center"/>
                </w:tcPr>
                <w:p w14:paraId="0859922B">
                  <w:pPr>
                    <w:widowControl/>
                    <w:jc w:val="center"/>
                    <w:textAlignment w:val="center"/>
                    <w:rPr>
                      <w:color w:val="000000"/>
                      <w:kern w:val="0"/>
                      <w:szCs w:val="21"/>
                      <w:lang w:bidi="ar"/>
                    </w:rPr>
                  </w:pPr>
                  <w:r>
                    <w:rPr>
                      <w:color w:val="000000"/>
                      <w:kern w:val="0"/>
                      <w:szCs w:val="21"/>
                      <w:lang w:bidi="ar"/>
                    </w:rPr>
                    <w:t xml:space="preserve">0.137 </w:t>
                  </w:r>
                </w:p>
              </w:tc>
              <w:tc>
                <w:tcPr>
                  <w:tcW w:w="520" w:type="pct"/>
                  <w:shd w:val="clear" w:color="auto" w:fill="auto"/>
                  <w:vAlign w:val="center"/>
                </w:tcPr>
                <w:p w14:paraId="6F493E14">
                  <w:pPr>
                    <w:widowControl/>
                    <w:jc w:val="center"/>
                    <w:textAlignment w:val="center"/>
                    <w:rPr>
                      <w:color w:val="000000"/>
                      <w:kern w:val="0"/>
                      <w:szCs w:val="21"/>
                      <w:lang w:bidi="ar"/>
                    </w:rPr>
                  </w:pPr>
                  <w:r>
                    <w:rPr>
                      <w:color w:val="000000"/>
                      <w:kern w:val="0"/>
                      <w:szCs w:val="21"/>
                      <w:lang w:bidi="ar"/>
                    </w:rPr>
                    <w:t xml:space="preserve">0.085 </w:t>
                  </w:r>
                </w:p>
              </w:tc>
              <w:tc>
                <w:tcPr>
                  <w:tcW w:w="520" w:type="pct"/>
                  <w:shd w:val="clear" w:color="auto" w:fill="auto"/>
                  <w:vAlign w:val="center"/>
                </w:tcPr>
                <w:p w14:paraId="67DF89E3">
                  <w:pPr>
                    <w:widowControl/>
                    <w:jc w:val="center"/>
                    <w:textAlignment w:val="center"/>
                    <w:rPr>
                      <w:color w:val="000000"/>
                      <w:kern w:val="0"/>
                      <w:szCs w:val="21"/>
                      <w:lang w:bidi="ar"/>
                    </w:rPr>
                  </w:pPr>
                  <w:r>
                    <w:rPr>
                      <w:color w:val="000000"/>
                      <w:kern w:val="0"/>
                      <w:szCs w:val="21"/>
                      <w:lang w:bidi="ar"/>
                    </w:rPr>
                    <w:t xml:space="preserve">0.085 </w:t>
                  </w:r>
                </w:p>
              </w:tc>
              <w:tc>
                <w:tcPr>
                  <w:tcW w:w="537" w:type="pct"/>
                  <w:vAlign w:val="center"/>
                </w:tcPr>
                <w:p w14:paraId="05B9B6CA">
                  <w:pPr>
                    <w:widowControl/>
                    <w:jc w:val="center"/>
                    <w:textAlignment w:val="center"/>
                    <w:rPr>
                      <w:color w:val="000000"/>
                      <w:kern w:val="0"/>
                      <w:szCs w:val="21"/>
                      <w:lang w:bidi="ar"/>
                    </w:rPr>
                  </w:pPr>
                  <w:r>
                    <w:rPr>
                      <w:color w:val="000000"/>
                      <w:kern w:val="0"/>
                      <w:szCs w:val="21"/>
                      <w:lang w:bidi="ar"/>
                    </w:rPr>
                    <w:t xml:space="preserve">0.014 </w:t>
                  </w:r>
                </w:p>
              </w:tc>
              <w:tc>
                <w:tcPr>
                  <w:tcW w:w="525" w:type="pct"/>
                  <w:vAlign w:val="center"/>
                </w:tcPr>
                <w:p w14:paraId="40A61762">
                  <w:pPr>
                    <w:widowControl/>
                    <w:jc w:val="center"/>
                    <w:textAlignment w:val="center"/>
                    <w:rPr>
                      <w:color w:val="000000"/>
                      <w:kern w:val="0"/>
                      <w:szCs w:val="21"/>
                      <w:lang w:bidi="ar"/>
                    </w:rPr>
                  </w:pPr>
                  <w:r>
                    <w:rPr>
                      <w:color w:val="000000"/>
                      <w:kern w:val="0"/>
                      <w:szCs w:val="21"/>
                      <w:lang w:bidi="ar"/>
                    </w:rPr>
                    <w:t xml:space="preserve">0.027 </w:t>
                  </w:r>
                </w:p>
              </w:tc>
              <w:tc>
                <w:tcPr>
                  <w:tcW w:w="624" w:type="pct"/>
                  <w:vAlign w:val="center"/>
                </w:tcPr>
                <w:p w14:paraId="3EDBE6B0">
                  <w:pPr>
                    <w:widowControl/>
                    <w:jc w:val="center"/>
                    <w:textAlignment w:val="center"/>
                    <w:rPr>
                      <w:color w:val="000000"/>
                      <w:kern w:val="0"/>
                      <w:szCs w:val="21"/>
                      <w:lang w:bidi="ar"/>
                    </w:rPr>
                  </w:pPr>
                  <w:r>
                    <w:rPr>
                      <w:color w:val="000000"/>
                      <w:kern w:val="0"/>
                      <w:szCs w:val="21"/>
                      <w:lang w:bidi="ar"/>
                    </w:rPr>
                    <w:t xml:space="preserve">0.005 </w:t>
                  </w:r>
                </w:p>
              </w:tc>
            </w:tr>
            <w:tr w14:paraId="4AA9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19B1BF52">
                  <w:pPr>
                    <w:jc w:val="center"/>
                    <w:rPr>
                      <w:szCs w:val="21"/>
                    </w:rPr>
                  </w:pPr>
                  <w:r>
                    <w:rPr>
                      <w:rFonts w:hint="eastAsia"/>
                      <w:szCs w:val="21"/>
                    </w:rPr>
                    <w:t>设备清洁废水</w:t>
                  </w:r>
                </w:p>
              </w:tc>
              <w:tc>
                <w:tcPr>
                  <w:tcW w:w="718" w:type="pct"/>
                  <w:shd w:val="clear" w:color="auto" w:fill="auto"/>
                  <w:vAlign w:val="center"/>
                </w:tcPr>
                <w:p w14:paraId="53055FE4">
                  <w:pPr>
                    <w:jc w:val="center"/>
                    <w:rPr>
                      <w:szCs w:val="21"/>
                    </w:rPr>
                  </w:pPr>
                  <w:r>
                    <w:rPr>
                      <w:szCs w:val="21"/>
                    </w:rPr>
                    <w:t>浓度（mg/L）</w:t>
                  </w:r>
                </w:p>
              </w:tc>
              <w:tc>
                <w:tcPr>
                  <w:tcW w:w="683" w:type="pct"/>
                  <w:vMerge w:val="restart"/>
                  <w:vAlign w:val="center"/>
                </w:tcPr>
                <w:p w14:paraId="103C8306">
                  <w:pPr>
                    <w:widowControl/>
                    <w:jc w:val="center"/>
                    <w:textAlignment w:val="center"/>
                    <w:rPr>
                      <w:szCs w:val="21"/>
                    </w:rPr>
                  </w:pPr>
                  <w:r>
                    <w:rPr>
                      <w:color w:val="000000"/>
                      <w:kern w:val="0"/>
                      <w:szCs w:val="21"/>
                      <w:lang w:bidi="ar"/>
                    </w:rPr>
                    <w:t>93.075</w:t>
                  </w:r>
                </w:p>
              </w:tc>
              <w:tc>
                <w:tcPr>
                  <w:tcW w:w="588" w:type="pct"/>
                  <w:shd w:val="clear" w:color="auto" w:fill="auto"/>
                  <w:vAlign w:val="center"/>
                </w:tcPr>
                <w:p w14:paraId="7C7B44CF">
                  <w:pPr>
                    <w:widowControl/>
                    <w:jc w:val="center"/>
                    <w:textAlignment w:val="center"/>
                    <w:rPr>
                      <w:color w:val="000000"/>
                      <w:kern w:val="0"/>
                      <w:szCs w:val="21"/>
                      <w:lang w:bidi="ar"/>
                    </w:rPr>
                  </w:pPr>
                  <w:r>
                    <w:rPr>
                      <w:color w:val="000000"/>
                      <w:kern w:val="0"/>
                      <w:szCs w:val="21"/>
                      <w:lang w:bidi="ar"/>
                    </w:rPr>
                    <w:t>2500</w:t>
                  </w:r>
                </w:p>
              </w:tc>
              <w:tc>
                <w:tcPr>
                  <w:tcW w:w="520" w:type="pct"/>
                  <w:shd w:val="clear" w:color="auto" w:fill="auto"/>
                  <w:vAlign w:val="center"/>
                </w:tcPr>
                <w:p w14:paraId="200BABEB">
                  <w:pPr>
                    <w:widowControl/>
                    <w:jc w:val="center"/>
                    <w:textAlignment w:val="center"/>
                    <w:rPr>
                      <w:color w:val="000000"/>
                      <w:kern w:val="0"/>
                      <w:szCs w:val="21"/>
                      <w:lang w:bidi="ar"/>
                    </w:rPr>
                  </w:pPr>
                  <w:r>
                    <w:rPr>
                      <w:color w:val="000000"/>
                      <w:kern w:val="0"/>
                      <w:szCs w:val="21"/>
                      <w:lang w:bidi="ar"/>
                    </w:rPr>
                    <w:t>1000</w:t>
                  </w:r>
                </w:p>
              </w:tc>
              <w:tc>
                <w:tcPr>
                  <w:tcW w:w="520" w:type="pct"/>
                  <w:shd w:val="clear" w:color="auto" w:fill="auto"/>
                  <w:vAlign w:val="center"/>
                </w:tcPr>
                <w:p w14:paraId="7ACF0D71">
                  <w:pPr>
                    <w:widowControl/>
                    <w:jc w:val="center"/>
                    <w:textAlignment w:val="center"/>
                    <w:rPr>
                      <w:color w:val="000000"/>
                      <w:kern w:val="0"/>
                      <w:szCs w:val="21"/>
                      <w:lang w:bidi="ar"/>
                    </w:rPr>
                  </w:pPr>
                  <w:r>
                    <w:rPr>
                      <w:color w:val="000000"/>
                      <w:kern w:val="0"/>
                      <w:szCs w:val="21"/>
                      <w:lang w:bidi="ar"/>
                    </w:rPr>
                    <w:t>400</w:t>
                  </w:r>
                </w:p>
              </w:tc>
              <w:tc>
                <w:tcPr>
                  <w:tcW w:w="537" w:type="pct"/>
                  <w:vAlign w:val="center"/>
                </w:tcPr>
                <w:p w14:paraId="7443954B">
                  <w:pPr>
                    <w:widowControl/>
                    <w:jc w:val="center"/>
                    <w:textAlignment w:val="center"/>
                    <w:rPr>
                      <w:color w:val="000000"/>
                      <w:kern w:val="0"/>
                      <w:szCs w:val="21"/>
                      <w:lang w:bidi="ar"/>
                    </w:rPr>
                  </w:pPr>
                  <w:r>
                    <w:rPr>
                      <w:color w:val="000000"/>
                      <w:kern w:val="0"/>
                      <w:szCs w:val="21"/>
                      <w:lang w:bidi="ar"/>
                    </w:rPr>
                    <w:t>40</w:t>
                  </w:r>
                </w:p>
              </w:tc>
              <w:tc>
                <w:tcPr>
                  <w:tcW w:w="525" w:type="pct"/>
                  <w:vAlign w:val="center"/>
                </w:tcPr>
                <w:p w14:paraId="5FC35827">
                  <w:pPr>
                    <w:widowControl/>
                    <w:jc w:val="center"/>
                    <w:textAlignment w:val="center"/>
                    <w:rPr>
                      <w:color w:val="000000"/>
                      <w:kern w:val="0"/>
                      <w:szCs w:val="21"/>
                      <w:lang w:bidi="ar"/>
                    </w:rPr>
                  </w:pPr>
                  <w:r>
                    <w:rPr>
                      <w:color w:val="000000"/>
                      <w:kern w:val="0"/>
                      <w:szCs w:val="21"/>
                      <w:lang w:bidi="ar"/>
                    </w:rPr>
                    <w:t>80</w:t>
                  </w:r>
                </w:p>
              </w:tc>
              <w:tc>
                <w:tcPr>
                  <w:tcW w:w="624" w:type="pct"/>
                  <w:vAlign w:val="center"/>
                </w:tcPr>
                <w:p w14:paraId="6419BE63">
                  <w:pPr>
                    <w:widowControl/>
                    <w:jc w:val="center"/>
                    <w:textAlignment w:val="center"/>
                    <w:rPr>
                      <w:color w:val="000000"/>
                      <w:kern w:val="0"/>
                      <w:szCs w:val="21"/>
                      <w:lang w:bidi="ar"/>
                    </w:rPr>
                  </w:pPr>
                  <w:r>
                    <w:rPr>
                      <w:color w:val="000000"/>
                      <w:kern w:val="0"/>
                      <w:szCs w:val="21"/>
                      <w:lang w:bidi="ar"/>
                    </w:rPr>
                    <w:t>15</w:t>
                  </w:r>
                </w:p>
              </w:tc>
            </w:tr>
            <w:tr w14:paraId="70FC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6CCD04B4">
                  <w:pPr>
                    <w:jc w:val="center"/>
                    <w:rPr>
                      <w:szCs w:val="21"/>
                    </w:rPr>
                  </w:pPr>
                </w:p>
              </w:tc>
              <w:tc>
                <w:tcPr>
                  <w:tcW w:w="718" w:type="pct"/>
                  <w:shd w:val="clear" w:color="auto" w:fill="auto"/>
                  <w:vAlign w:val="center"/>
                </w:tcPr>
                <w:p w14:paraId="103A54CB">
                  <w:pPr>
                    <w:jc w:val="center"/>
                    <w:rPr>
                      <w:szCs w:val="21"/>
                    </w:rPr>
                  </w:pPr>
                  <w:r>
                    <w:rPr>
                      <w:szCs w:val="21"/>
                    </w:rPr>
                    <w:t>产生量（t/a）</w:t>
                  </w:r>
                </w:p>
              </w:tc>
              <w:tc>
                <w:tcPr>
                  <w:tcW w:w="683" w:type="pct"/>
                  <w:vMerge w:val="continue"/>
                  <w:vAlign w:val="center"/>
                </w:tcPr>
                <w:p w14:paraId="28D3BCB3">
                  <w:pPr>
                    <w:jc w:val="center"/>
                    <w:rPr>
                      <w:szCs w:val="21"/>
                    </w:rPr>
                  </w:pPr>
                </w:p>
              </w:tc>
              <w:tc>
                <w:tcPr>
                  <w:tcW w:w="588" w:type="pct"/>
                  <w:shd w:val="clear" w:color="auto" w:fill="auto"/>
                  <w:vAlign w:val="center"/>
                </w:tcPr>
                <w:p w14:paraId="5DFAE768">
                  <w:pPr>
                    <w:widowControl/>
                    <w:jc w:val="center"/>
                    <w:textAlignment w:val="center"/>
                    <w:rPr>
                      <w:color w:val="000000"/>
                      <w:kern w:val="0"/>
                      <w:szCs w:val="21"/>
                      <w:lang w:bidi="ar"/>
                    </w:rPr>
                  </w:pPr>
                  <w:r>
                    <w:rPr>
                      <w:color w:val="000000"/>
                      <w:kern w:val="0"/>
                      <w:szCs w:val="21"/>
                      <w:lang w:bidi="ar"/>
                    </w:rPr>
                    <w:t xml:space="preserve">0.233 </w:t>
                  </w:r>
                </w:p>
              </w:tc>
              <w:tc>
                <w:tcPr>
                  <w:tcW w:w="520" w:type="pct"/>
                  <w:shd w:val="clear" w:color="auto" w:fill="auto"/>
                  <w:vAlign w:val="center"/>
                </w:tcPr>
                <w:p w14:paraId="7D8C6C73">
                  <w:pPr>
                    <w:widowControl/>
                    <w:jc w:val="center"/>
                    <w:textAlignment w:val="center"/>
                    <w:rPr>
                      <w:color w:val="000000"/>
                      <w:kern w:val="0"/>
                      <w:szCs w:val="21"/>
                      <w:lang w:bidi="ar"/>
                    </w:rPr>
                  </w:pPr>
                  <w:r>
                    <w:rPr>
                      <w:color w:val="000000"/>
                      <w:kern w:val="0"/>
                      <w:szCs w:val="21"/>
                      <w:lang w:bidi="ar"/>
                    </w:rPr>
                    <w:t xml:space="preserve">0.093 </w:t>
                  </w:r>
                </w:p>
              </w:tc>
              <w:tc>
                <w:tcPr>
                  <w:tcW w:w="520" w:type="pct"/>
                  <w:shd w:val="clear" w:color="auto" w:fill="auto"/>
                  <w:vAlign w:val="center"/>
                </w:tcPr>
                <w:p w14:paraId="0F2978A8">
                  <w:pPr>
                    <w:widowControl/>
                    <w:jc w:val="center"/>
                    <w:textAlignment w:val="center"/>
                    <w:rPr>
                      <w:color w:val="000000"/>
                      <w:kern w:val="0"/>
                      <w:szCs w:val="21"/>
                      <w:lang w:bidi="ar"/>
                    </w:rPr>
                  </w:pPr>
                  <w:r>
                    <w:rPr>
                      <w:color w:val="000000"/>
                      <w:kern w:val="0"/>
                      <w:szCs w:val="21"/>
                      <w:lang w:bidi="ar"/>
                    </w:rPr>
                    <w:t xml:space="preserve">0.037 </w:t>
                  </w:r>
                </w:p>
              </w:tc>
              <w:tc>
                <w:tcPr>
                  <w:tcW w:w="537" w:type="pct"/>
                  <w:vAlign w:val="center"/>
                </w:tcPr>
                <w:p w14:paraId="450688B1">
                  <w:pPr>
                    <w:widowControl/>
                    <w:jc w:val="center"/>
                    <w:textAlignment w:val="center"/>
                    <w:rPr>
                      <w:color w:val="000000"/>
                      <w:kern w:val="0"/>
                      <w:szCs w:val="21"/>
                      <w:lang w:bidi="ar"/>
                    </w:rPr>
                  </w:pPr>
                  <w:r>
                    <w:rPr>
                      <w:color w:val="000000"/>
                      <w:kern w:val="0"/>
                      <w:szCs w:val="21"/>
                      <w:lang w:bidi="ar"/>
                    </w:rPr>
                    <w:t xml:space="preserve">0.004 </w:t>
                  </w:r>
                </w:p>
              </w:tc>
              <w:tc>
                <w:tcPr>
                  <w:tcW w:w="525" w:type="pct"/>
                  <w:vAlign w:val="center"/>
                </w:tcPr>
                <w:p w14:paraId="26B6C8F7">
                  <w:pPr>
                    <w:widowControl/>
                    <w:jc w:val="center"/>
                    <w:textAlignment w:val="center"/>
                    <w:rPr>
                      <w:color w:val="000000"/>
                      <w:kern w:val="0"/>
                      <w:szCs w:val="21"/>
                      <w:lang w:bidi="ar"/>
                    </w:rPr>
                  </w:pPr>
                  <w:r>
                    <w:rPr>
                      <w:color w:val="000000"/>
                      <w:kern w:val="0"/>
                      <w:szCs w:val="21"/>
                      <w:lang w:bidi="ar"/>
                    </w:rPr>
                    <w:t xml:space="preserve">0.007 </w:t>
                  </w:r>
                </w:p>
              </w:tc>
              <w:tc>
                <w:tcPr>
                  <w:tcW w:w="624" w:type="pct"/>
                  <w:vAlign w:val="center"/>
                </w:tcPr>
                <w:p w14:paraId="4D487D54">
                  <w:pPr>
                    <w:widowControl/>
                    <w:jc w:val="center"/>
                    <w:textAlignment w:val="center"/>
                    <w:rPr>
                      <w:color w:val="000000"/>
                      <w:kern w:val="0"/>
                      <w:szCs w:val="21"/>
                      <w:lang w:bidi="ar"/>
                    </w:rPr>
                  </w:pPr>
                  <w:r>
                    <w:rPr>
                      <w:color w:val="000000"/>
                      <w:kern w:val="0"/>
                      <w:szCs w:val="21"/>
                      <w:lang w:bidi="ar"/>
                    </w:rPr>
                    <w:t xml:space="preserve">0.001 </w:t>
                  </w:r>
                </w:p>
              </w:tc>
            </w:tr>
            <w:tr w14:paraId="78BF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2E0EB689">
                  <w:pPr>
                    <w:jc w:val="center"/>
                    <w:rPr>
                      <w:szCs w:val="21"/>
                    </w:rPr>
                  </w:pPr>
                  <w:r>
                    <w:rPr>
                      <w:rFonts w:hint="eastAsia"/>
                      <w:szCs w:val="21"/>
                    </w:rPr>
                    <w:t>地面清洁废水</w:t>
                  </w:r>
                </w:p>
              </w:tc>
              <w:tc>
                <w:tcPr>
                  <w:tcW w:w="718" w:type="pct"/>
                  <w:shd w:val="clear" w:color="auto" w:fill="auto"/>
                  <w:vAlign w:val="center"/>
                </w:tcPr>
                <w:p w14:paraId="057D713A">
                  <w:pPr>
                    <w:jc w:val="center"/>
                    <w:rPr>
                      <w:szCs w:val="21"/>
                    </w:rPr>
                  </w:pPr>
                  <w:r>
                    <w:rPr>
                      <w:szCs w:val="21"/>
                    </w:rPr>
                    <w:t>浓度（mg/L）</w:t>
                  </w:r>
                </w:p>
              </w:tc>
              <w:tc>
                <w:tcPr>
                  <w:tcW w:w="683" w:type="pct"/>
                  <w:vMerge w:val="restart"/>
                  <w:vAlign w:val="center"/>
                </w:tcPr>
                <w:p w14:paraId="386D6E2D">
                  <w:pPr>
                    <w:widowControl/>
                    <w:jc w:val="center"/>
                    <w:textAlignment w:val="center"/>
                    <w:rPr>
                      <w:szCs w:val="21"/>
                    </w:rPr>
                  </w:pPr>
                  <w:r>
                    <w:rPr>
                      <w:color w:val="000000"/>
                      <w:kern w:val="0"/>
                      <w:szCs w:val="21"/>
                      <w:lang w:bidi="ar"/>
                    </w:rPr>
                    <w:t>362.99</w:t>
                  </w:r>
                </w:p>
              </w:tc>
              <w:tc>
                <w:tcPr>
                  <w:tcW w:w="588" w:type="pct"/>
                  <w:shd w:val="clear" w:color="auto" w:fill="auto"/>
                  <w:vAlign w:val="center"/>
                </w:tcPr>
                <w:p w14:paraId="59287F5A">
                  <w:pPr>
                    <w:widowControl/>
                    <w:jc w:val="center"/>
                    <w:textAlignment w:val="center"/>
                    <w:rPr>
                      <w:color w:val="000000"/>
                      <w:kern w:val="0"/>
                      <w:szCs w:val="21"/>
                      <w:lang w:bidi="ar"/>
                    </w:rPr>
                  </w:pPr>
                  <w:r>
                    <w:rPr>
                      <w:color w:val="000000"/>
                      <w:kern w:val="0"/>
                      <w:szCs w:val="21"/>
                      <w:lang w:bidi="ar"/>
                    </w:rPr>
                    <w:t>2500</w:t>
                  </w:r>
                </w:p>
              </w:tc>
              <w:tc>
                <w:tcPr>
                  <w:tcW w:w="520" w:type="pct"/>
                  <w:shd w:val="clear" w:color="auto" w:fill="auto"/>
                  <w:vAlign w:val="center"/>
                </w:tcPr>
                <w:p w14:paraId="01AA72B8">
                  <w:pPr>
                    <w:widowControl/>
                    <w:jc w:val="center"/>
                    <w:textAlignment w:val="center"/>
                    <w:rPr>
                      <w:color w:val="000000"/>
                      <w:kern w:val="0"/>
                      <w:szCs w:val="21"/>
                      <w:lang w:bidi="ar"/>
                    </w:rPr>
                  </w:pPr>
                  <w:r>
                    <w:rPr>
                      <w:color w:val="000000"/>
                      <w:kern w:val="0"/>
                      <w:szCs w:val="21"/>
                      <w:lang w:bidi="ar"/>
                    </w:rPr>
                    <w:t>1000</w:t>
                  </w:r>
                </w:p>
              </w:tc>
              <w:tc>
                <w:tcPr>
                  <w:tcW w:w="520" w:type="pct"/>
                  <w:shd w:val="clear" w:color="auto" w:fill="auto"/>
                  <w:vAlign w:val="center"/>
                </w:tcPr>
                <w:p w14:paraId="02FFBA37">
                  <w:pPr>
                    <w:widowControl/>
                    <w:jc w:val="center"/>
                    <w:textAlignment w:val="center"/>
                    <w:rPr>
                      <w:color w:val="000000"/>
                      <w:kern w:val="0"/>
                      <w:szCs w:val="21"/>
                      <w:lang w:bidi="ar"/>
                    </w:rPr>
                  </w:pPr>
                  <w:r>
                    <w:rPr>
                      <w:color w:val="000000"/>
                      <w:kern w:val="0"/>
                      <w:szCs w:val="21"/>
                      <w:lang w:bidi="ar"/>
                    </w:rPr>
                    <w:t>400</w:t>
                  </w:r>
                </w:p>
              </w:tc>
              <w:tc>
                <w:tcPr>
                  <w:tcW w:w="537" w:type="pct"/>
                  <w:shd w:val="clear" w:color="auto" w:fill="auto"/>
                  <w:vAlign w:val="center"/>
                </w:tcPr>
                <w:p w14:paraId="27977A65">
                  <w:pPr>
                    <w:widowControl/>
                    <w:jc w:val="center"/>
                    <w:textAlignment w:val="center"/>
                    <w:rPr>
                      <w:color w:val="000000"/>
                      <w:kern w:val="0"/>
                      <w:szCs w:val="21"/>
                      <w:lang w:bidi="ar"/>
                    </w:rPr>
                  </w:pPr>
                  <w:r>
                    <w:rPr>
                      <w:color w:val="000000"/>
                      <w:kern w:val="0"/>
                      <w:szCs w:val="21"/>
                      <w:lang w:bidi="ar"/>
                    </w:rPr>
                    <w:t>40</w:t>
                  </w:r>
                </w:p>
              </w:tc>
              <w:tc>
                <w:tcPr>
                  <w:tcW w:w="525" w:type="pct"/>
                  <w:shd w:val="clear" w:color="auto" w:fill="auto"/>
                  <w:vAlign w:val="center"/>
                </w:tcPr>
                <w:p w14:paraId="793F37D2">
                  <w:pPr>
                    <w:widowControl/>
                    <w:jc w:val="center"/>
                    <w:textAlignment w:val="center"/>
                    <w:rPr>
                      <w:color w:val="000000"/>
                      <w:kern w:val="0"/>
                      <w:szCs w:val="21"/>
                      <w:lang w:bidi="ar"/>
                    </w:rPr>
                  </w:pPr>
                  <w:r>
                    <w:rPr>
                      <w:color w:val="000000"/>
                      <w:kern w:val="0"/>
                      <w:szCs w:val="21"/>
                      <w:lang w:bidi="ar"/>
                    </w:rPr>
                    <w:t>80</w:t>
                  </w:r>
                </w:p>
              </w:tc>
              <w:tc>
                <w:tcPr>
                  <w:tcW w:w="624" w:type="pct"/>
                  <w:shd w:val="clear" w:color="auto" w:fill="auto"/>
                  <w:vAlign w:val="center"/>
                </w:tcPr>
                <w:p w14:paraId="094D6243">
                  <w:pPr>
                    <w:widowControl/>
                    <w:jc w:val="center"/>
                    <w:textAlignment w:val="center"/>
                    <w:rPr>
                      <w:color w:val="000000"/>
                      <w:kern w:val="0"/>
                      <w:szCs w:val="21"/>
                      <w:lang w:bidi="ar"/>
                    </w:rPr>
                  </w:pPr>
                  <w:r>
                    <w:rPr>
                      <w:color w:val="000000"/>
                      <w:kern w:val="0"/>
                      <w:szCs w:val="21"/>
                      <w:lang w:bidi="ar"/>
                    </w:rPr>
                    <w:t>15</w:t>
                  </w:r>
                </w:p>
              </w:tc>
            </w:tr>
            <w:tr w14:paraId="3072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5FA9FDD2">
                  <w:pPr>
                    <w:jc w:val="center"/>
                    <w:rPr>
                      <w:szCs w:val="21"/>
                    </w:rPr>
                  </w:pPr>
                </w:p>
              </w:tc>
              <w:tc>
                <w:tcPr>
                  <w:tcW w:w="718" w:type="pct"/>
                  <w:shd w:val="clear" w:color="auto" w:fill="auto"/>
                  <w:vAlign w:val="center"/>
                </w:tcPr>
                <w:p w14:paraId="177B4851">
                  <w:pPr>
                    <w:jc w:val="center"/>
                    <w:rPr>
                      <w:szCs w:val="21"/>
                    </w:rPr>
                  </w:pPr>
                  <w:r>
                    <w:rPr>
                      <w:szCs w:val="21"/>
                    </w:rPr>
                    <w:t>产生量（t/a）</w:t>
                  </w:r>
                </w:p>
              </w:tc>
              <w:tc>
                <w:tcPr>
                  <w:tcW w:w="683" w:type="pct"/>
                  <w:vMerge w:val="continue"/>
                  <w:vAlign w:val="center"/>
                </w:tcPr>
                <w:p w14:paraId="6F921BE5">
                  <w:pPr>
                    <w:jc w:val="center"/>
                    <w:rPr>
                      <w:szCs w:val="21"/>
                    </w:rPr>
                  </w:pPr>
                </w:p>
              </w:tc>
              <w:tc>
                <w:tcPr>
                  <w:tcW w:w="588" w:type="pct"/>
                  <w:shd w:val="clear" w:color="auto" w:fill="auto"/>
                  <w:vAlign w:val="center"/>
                </w:tcPr>
                <w:p w14:paraId="5345238A">
                  <w:pPr>
                    <w:widowControl/>
                    <w:jc w:val="center"/>
                    <w:textAlignment w:val="center"/>
                    <w:rPr>
                      <w:color w:val="000000"/>
                      <w:kern w:val="0"/>
                      <w:szCs w:val="21"/>
                      <w:lang w:bidi="ar"/>
                    </w:rPr>
                  </w:pPr>
                  <w:r>
                    <w:rPr>
                      <w:color w:val="000000"/>
                      <w:kern w:val="0"/>
                      <w:szCs w:val="21"/>
                      <w:lang w:bidi="ar"/>
                    </w:rPr>
                    <w:t xml:space="preserve">0.907 </w:t>
                  </w:r>
                </w:p>
              </w:tc>
              <w:tc>
                <w:tcPr>
                  <w:tcW w:w="520" w:type="pct"/>
                  <w:shd w:val="clear" w:color="auto" w:fill="auto"/>
                  <w:vAlign w:val="center"/>
                </w:tcPr>
                <w:p w14:paraId="1E714F02">
                  <w:pPr>
                    <w:widowControl/>
                    <w:jc w:val="center"/>
                    <w:textAlignment w:val="center"/>
                    <w:rPr>
                      <w:color w:val="000000"/>
                      <w:kern w:val="0"/>
                      <w:szCs w:val="21"/>
                      <w:lang w:bidi="ar"/>
                    </w:rPr>
                  </w:pPr>
                  <w:r>
                    <w:rPr>
                      <w:color w:val="000000"/>
                      <w:kern w:val="0"/>
                      <w:szCs w:val="21"/>
                      <w:lang w:bidi="ar"/>
                    </w:rPr>
                    <w:t xml:space="preserve">0.363 </w:t>
                  </w:r>
                </w:p>
              </w:tc>
              <w:tc>
                <w:tcPr>
                  <w:tcW w:w="520" w:type="pct"/>
                  <w:shd w:val="clear" w:color="auto" w:fill="auto"/>
                  <w:vAlign w:val="center"/>
                </w:tcPr>
                <w:p w14:paraId="7BF0CC73">
                  <w:pPr>
                    <w:widowControl/>
                    <w:jc w:val="center"/>
                    <w:textAlignment w:val="center"/>
                    <w:rPr>
                      <w:color w:val="000000"/>
                      <w:kern w:val="0"/>
                      <w:szCs w:val="21"/>
                      <w:lang w:bidi="ar"/>
                    </w:rPr>
                  </w:pPr>
                  <w:r>
                    <w:rPr>
                      <w:color w:val="000000"/>
                      <w:kern w:val="0"/>
                      <w:szCs w:val="21"/>
                      <w:lang w:bidi="ar"/>
                    </w:rPr>
                    <w:t xml:space="preserve">0.145 </w:t>
                  </w:r>
                </w:p>
              </w:tc>
              <w:tc>
                <w:tcPr>
                  <w:tcW w:w="537" w:type="pct"/>
                  <w:vAlign w:val="center"/>
                </w:tcPr>
                <w:p w14:paraId="5FE057FA">
                  <w:pPr>
                    <w:widowControl/>
                    <w:jc w:val="center"/>
                    <w:textAlignment w:val="center"/>
                    <w:rPr>
                      <w:color w:val="000000"/>
                      <w:kern w:val="0"/>
                      <w:szCs w:val="21"/>
                      <w:lang w:bidi="ar"/>
                    </w:rPr>
                  </w:pPr>
                  <w:r>
                    <w:rPr>
                      <w:color w:val="000000"/>
                      <w:kern w:val="0"/>
                      <w:szCs w:val="21"/>
                      <w:lang w:bidi="ar"/>
                    </w:rPr>
                    <w:t xml:space="preserve">0.015 </w:t>
                  </w:r>
                </w:p>
              </w:tc>
              <w:tc>
                <w:tcPr>
                  <w:tcW w:w="525" w:type="pct"/>
                  <w:vAlign w:val="center"/>
                </w:tcPr>
                <w:p w14:paraId="3C9C09EE">
                  <w:pPr>
                    <w:widowControl/>
                    <w:jc w:val="center"/>
                    <w:textAlignment w:val="center"/>
                    <w:rPr>
                      <w:color w:val="000000"/>
                      <w:kern w:val="0"/>
                      <w:szCs w:val="21"/>
                      <w:lang w:bidi="ar"/>
                    </w:rPr>
                  </w:pPr>
                  <w:r>
                    <w:rPr>
                      <w:color w:val="000000"/>
                      <w:kern w:val="0"/>
                      <w:szCs w:val="21"/>
                      <w:lang w:bidi="ar"/>
                    </w:rPr>
                    <w:t xml:space="preserve">0.029 </w:t>
                  </w:r>
                </w:p>
              </w:tc>
              <w:tc>
                <w:tcPr>
                  <w:tcW w:w="624" w:type="pct"/>
                  <w:vAlign w:val="center"/>
                </w:tcPr>
                <w:p w14:paraId="4935CFD2">
                  <w:pPr>
                    <w:widowControl/>
                    <w:jc w:val="center"/>
                    <w:textAlignment w:val="center"/>
                    <w:rPr>
                      <w:color w:val="000000"/>
                      <w:kern w:val="0"/>
                      <w:szCs w:val="21"/>
                      <w:lang w:bidi="ar"/>
                    </w:rPr>
                  </w:pPr>
                  <w:r>
                    <w:rPr>
                      <w:color w:val="000000"/>
                      <w:kern w:val="0"/>
                      <w:szCs w:val="21"/>
                      <w:lang w:bidi="ar"/>
                    </w:rPr>
                    <w:t xml:space="preserve">0.005 </w:t>
                  </w:r>
                </w:p>
              </w:tc>
            </w:tr>
            <w:tr w14:paraId="609F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320E6FD2">
                  <w:pPr>
                    <w:jc w:val="center"/>
                    <w:rPr>
                      <w:szCs w:val="21"/>
                    </w:rPr>
                  </w:pPr>
                  <w:r>
                    <w:rPr>
                      <w:rFonts w:hint="eastAsia"/>
                      <w:szCs w:val="21"/>
                    </w:rPr>
                    <w:t>喷淋除臭系统废水</w:t>
                  </w:r>
                </w:p>
              </w:tc>
              <w:tc>
                <w:tcPr>
                  <w:tcW w:w="718" w:type="pct"/>
                  <w:shd w:val="clear" w:color="auto" w:fill="auto"/>
                  <w:vAlign w:val="center"/>
                </w:tcPr>
                <w:p w14:paraId="6EE493BE">
                  <w:pPr>
                    <w:jc w:val="center"/>
                    <w:rPr>
                      <w:szCs w:val="21"/>
                    </w:rPr>
                  </w:pPr>
                  <w:r>
                    <w:rPr>
                      <w:szCs w:val="21"/>
                    </w:rPr>
                    <w:t>浓度（mg/L）</w:t>
                  </w:r>
                </w:p>
              </w:tc>
              <w:tc>
                <w:tcPr>
                  <w:tcW w:w="683" w:type="pct"/>
                  <w:vMerge w:val="restart"/>
                  <w:vAlign w:val="center"/>
                </w:tcPr>
                <w:p w14:paraId="5204D2AA">
                  <w:pPr>
                    <w:widowControl/>
                    <w:jc w:val="center"/>
                    <w:textAlignment w:val="center"/>
                    <w:rPr>
                      <w:szCs w:val="21"/>
                    </w:rPr>
                  </w:pPr>
                  <w:r>
                    <w:rPr>
                      <w:color w:val="000000"/>
                      <w:kern w:val="0"/>
                      <w:szCs w:val="21"/>
                      <w:lang w:bidi="ar"/>
                    </w:rPr>
                    <w:t>28.91</w:t>
                  </w:r>
                </w:p>
              </w:tc>
              <w:tc>
                <w:tcPr>
                  <w:tcW w:w="588" w:type="pct"/>
                  <w:shd w:val="clear" w:color="auto" w:fill="auto"/>
                  <w:vAlign w:val="center"/>
                </w:tcPr>
                <w:p w14:paraId="1E129A4D">
                  <w:pPr>
                    <w:widowControl/>
                    <w:jc w:val="center"/>
                    <w:textAlignment w:val="center"/>
                    <w:rPr>
                      <w:color w:val="000000"/>
                      <w:kern w:val="0"/>
                      <w:szCs w:val="21"/>
                      <w:lang w:bidi="ar"/>
                    </w:rPr>
                  </w:pPr>
                  <w:r>
                    <w:rPr>
                      <w:color w:val="000000"/>
                      <w:kern w:val="0"/>
                      <w:szCs w:val="21"/>
                      <w:lang w:bidi="ar"/>
                    </w:rPr>
                    <w:t>1000</w:t>
                  </w:r>
                </w:p>
              </w:tc>
              <w:tc>
                <w:tcPr>
                  <w:tcW w:w="520" w:type="pct"/>
                  <w:shd w:val="clear" w:color="auto" w:fill="auto"/>
                  <w:vAlign w:val="center"/>
                </w:tcPr>
                <w:p w14:paraId="4AB64DF2">
                  <w:pPr>
                    <w:widowControl/>
                    <w:jc w:val="center"/>
                    <w:textAlignment w:val="center"/>
                    <w:rPr>
                      <w:color w:val="000000"/>
                      <w:kern w:val="0"/>
                      <w:szCs w:val="21"/>
                      <w:lang w:bidi="ar"/>
                    </w:rPr>
                  </w:pPr>
                  <w:r>
                    <w:rPr>
                      <w:color w:val="000000"/>
                      <w:kern w:val="0"/>
                      <w:szCs w:val="21"/>
                      <w:lang w:bidi="ar"/>
                    </w:rPr>
                    <w:t>500</w:t>
                  </w:r>
                </w:p>
              </w:tc>
              <w:tc>
                <w:tcPr>
                  <w:tcW w:w="520" w:type="pct"/>
                  <w:shd w:val="clear" w:color="auto" w:fill="auto"/>
                  <w:vAlign w:val="center"/>
                </w:tcPr>
                <w:p w14:paraId="4ED90BD0">
                  <w:pPr>
                    <w:widowControl/>
                    <w:jc w:val="center"/>
                    <w:textAlignment w:val="center"/>
                    <w:rPr>
                      <w:color w:val="000000"/>
                      <w:kern w:val="0"/>
                      <w:szCs w:val="21"/>
                      <w:lang w:bidi="ar"/>
                    </w:rPr>
                  </w:pPr>
                  <w:r>
                    <w:rPr>
                      <w:color w:val="000000"/>
                      <w:kern w:val="0"/>
                      <w:szCs w:val="21"/>
                      <w:lang w:bidi="ar"/>
                    </w:rPr>
                    <w:t>300</w:t>
                  </w:r>
                </w:p>
              </w:tc>
              <w:tc>
                <w:tcPr>
                  <w:tcW w:w="537" w:type="pct"/>
                  <w:vAlign w:val="center"/>
                </w:tcPr>
                <w:p w14:paraId="77A70EAA">
                  <w:pPr>
                    <w:widowControl/>
                    <w:jc w:val="center"/>
                    <w:textAlignment w:val="center"/>
                    <w:rPr>
                      <w:color w:val="000000"/>
                      <w:kern w:val="0"/>
                      <w:szCs w:val="21"/>
                      <w:lang w:bidi="ar"/>
                    </w:rPr>
                  </w:pPr>
                  <w:r>
                    <w:rPr>
                      <w:color w:val="000000"/>
                      <w:kern w:val="0"/>
                      <w:szCs w:val="21"/>
                      <w:lang w:bidi="ar"/>
                    </w:rPr>
                    <w:t>40</w:t>
                  </w:r>
                </w:p>
              </w:tc>
              <w:tc>
                <w:tcPr>
                  <w:tcW w:w="525" w:type="pct"/>
                  <w:vAlign w:val="center"/>
                </w:tcPr>
                <w:p w14:paraId="5EEA835F">
                  <w:pPr>
                    <w:widowControl/>
                    <w:jc w:val="center"/>
                    <w:textAlignment w:val="center"/>
                    <w:rPr>
                      <w:color w:val="000000"/>
                      <w:kern w:val="0"/>
                      <w:szCs w:val="21"/>
                      <w:lang w:bidi="ar"/>
                    </w:rPr>
                  </w:pPr>
                  <w:r>
                    <w:rPr>
                      <w:color w:val="000000"/>
                      <w:kern w:val="0"/>
                      <w:szCs w:val="21"/>
                      <w:lang w:bidi="ar"/>
                    </w:rPr>
                    <w:t>100</w:t>
                  </w:r>
                </w:p>
              </w:tc>
              <w:tc>
                <w:tcPr>
                  <w:tcW w:w="624" w:type="pct"/>
                  <w:vAlign w:val="center"/>
                </w:tcPr>
                <w:p w14:paraId="65BEB7D7">
                  <w:pPr>
                    <w:widowControl/>
                    <w:jc w:val="center"/>
                    <w:textAlignment w:val="center"/>
                    <w:rPr>
                      <w:color w:val="000000"/>
                      <w:kern w:val="0"/>
                      <w:szCs w:val="21"/>
                      <w:lang w:bidi="ar"/>
                    </w:rPr>
                  </w:pPr>
                  <w:r>
                    <w:rPr>
                      <w:color w:val="000000"/>
                      <w:kern w:val="0"/>
                      <w:szCs w:val="21"/>
                      <w:lang w:bidi="ar"/>
                    </w:rPr>
                    <w:t>40</w:t>
                  </w:r>
                </w:p>
              </w:tc>
            </w:tr>
            <w:tr w14:paraId="1DD1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652E033B">
                  <w:pPr>
                    <w:jc w:val="center"/>
                    <w:rPr>
                      <w:szCs w:val="21"/>
                    </w:rPr>
                  </w:pPr>
                </w:p>
              </w:tc>
              <w:tc>
                <w:tcPr>
                  <w:tcW w:w="718" w:type="pct"/>
                  <w:shd w:val="clear" w:color="auto" w:fill="auto"/>
                  <w:vAlign w:val="center"/>
                </w:tcPr>
                <w:p w14:paraId="313ECABF">
                  <w:pPr>
                    <w:jc w:val="center"/>
                    <w:rPr>
                      <w:szCs w:val="21"/>
                    </w:rPr>
                  </w:pPr>
                  <w:r>
                    <w:rPr>
                      <w:szCs w:val="21"/>
                    </w:rPr>
                    <w:t>排放量（t/a）</w:t>
                  </w:r>
                </w:p>
              </w:tc>
              <w:tc>
                <w:tcPr>
                  <w:tcW w:w="683" w:type="pct"/>
                  <w:vMerge w:val="continue"/>
                  <w:vAlign w:val="center"/>
                </w:tcPr>
                <w:p w14:paraId="50F4D2D5">
                  <w:pPr>
                    <w:jc w:val="center"/>
                    <w:rPr>
                      <w:szCs w:val="21"/>
                    </w:rPr>
                  </w:pPr>
                </w:p>
              </w:tc>
              <w:tc>
                <w:tcPr>
                  <w:tcW w:w="588" w:type="pct"/>
                  <w:shd w:val="clear" w:color="auto" w:fill="auto"/>
                  <w:vAlign w:val="center"/>
                </w:tcPr>
                <w:p w14:paraId="5B49203A">
                  <w:pPr>
                    <w:widowControl/>
                    <w:jc w:val="center"/>
                    <w:textAlignment w:val="center"/>
                    <w:rPr>
                      <w:color w:val="000000"/>
                      <w:kern w:val="0"/>
                      <w:szCs w:val="21"/>
                      <w:lang w:bidi="ar"/>
                    </w:rPr>
                  </w:pPr>
                  <w:r>
                    <w:rPr>
                      <w:color w:val="000000"/>
                      <w:kern w:val="0"/>
                      <w:szCs w:val="21"/>
                      <w:lang w:bidi="ar"/>
                    </w:rPr>
                    <w:t xml:space="preserve">0.029 </w:t>
                  </w:r>
                </w:p>
              </w:tc>
              <w:tc>
                <w:tcPr>
                  <w:tcW w:w="520" w:type="pct"/>
                  <w:shd w:val="clear" w:color="auto" w:fill="auto"/>
                  <w:vAlign w:val="center"/>
                </w:tcPr>
                <w:p w14:paraId="1F662BA9">
                  <w:pPr>
                    <w:widowControl/>
                    <w:jc w:val="center"/>
                    <w:textAlignment w:val="center"/>
                    <w:rPr>
                      <w:color w:val="000000"/>
                      <w:kern w:val="0"/>
                      <w:szCs w:val="21"/>
                      <w:lang w:bidi="ar"/>
                    </w:rPr>
                  </w:pPr>
                  <w:r>
                    <w:rPr>
                      <w:color w:val="000000"/>
                      <w:kern w:val="0"/>
                      <w:szCs w:val="21"/>
                      <w:lang w:bidi="ar"/>
                    </w:rPr>
                    <w:t xml:space="preserve">0.014 </w:t>
                  </w:r>
                </w:p>
              </w:tc>
              <w:tc>
                <w:tcPr>
                  <w:tcW w:w="520" w:type="pct"/>
                  <w:shd w:val="clear" w:color="auto" w:fill="auto"/>
                  <w:vAlign w:val="center"/>
                </w:tcPr>
                <w:p w14:paraId="2DA5BD06">
                  <w:pPr>
                    <w:widowControl/>
                    <w:jc w:val="center"/>
                    <w:textAlignment w:val="center"/>
                    <w:rPr>
                      <w:color w:val="000000"/>
                      <w:kern w:val="0"/>
                      <w:szCs w:val="21"/>
                      <w:lang w:bidi="ar"/>
                    </w:rPr>
                  </w:pPr>
                  <w:r>
                    <w:rPr>
                      <w:color w:val="000000"/>
                      <w:kern w:val="0"/>
                      <w:szCs w:val="21"/>
                      <w:lang w:bidi="ar"/>
                    </w:rPr>
                    <w:t xml:space="preserve">0.009 </w:t>
                  </w:r>
                </w:p>
              </w:tc>
              <w:tc>
                <w:tcPr>
                  <w:tcW w:w="537" w:type="pct"/>
                  <w:vAlign w:val="center"/>
                </w:tcPr>
                <w:p w14:paraId="4A5165B9">
                  <w:pPr>
                    <w:widowControl/>
                    <w:jc w:val="center"/>
                    <w:textAlignment w:val="center"/>
                    <w:rPr>
                      <w:color w:val="000000"/>
                      <w:kern w:val="0"/>
                      <w:szCs w:val="21"/>
                      <w:lang w:bidi="ar"/>
                    </w:rPr>
                  </w:pPr>
                  <w:r>
                    <w:rPr>
                      <w:color w:val="000000"/>
                      <w:kern w:val="0"/>
                      <w:szCs w:val="21"/>
                      <w:lang w:bidi="ar"/>
                    </w:rPr>
                    <w:t xml:space="preserve">0.001 </w:t>
                  </w:r>
                </w:p>
              </w:tc>
              <w:tc>
                <w:tcPr>
                  <w:tcW w:w="525" w:type="pct"/>
                  <w:vAlign w:val="center"/>
                </w:tcPr>
                <w:p w14:paraId="2FB83C2E">
                  <w:pPr>
                    <w:widowControl/>
                    <w:jc w:val="center"/>
                    <w:textAlignment w:val="center"/>
                    <w:rPr>
                      <w:color w:val="000000"/>
                      <w:kern w:val="0"/>
                      <w:szCs w:val="21"/>
                      <w:lang w:bidi="ar"/>
                    </w:rPr>
                  </w:pPr>
                  <w:r>
                    <w:rPr>
                      <w:color w:val="000000"/>
                      <w:kern w:val="0"/>
                      <w:szCs w:val="21"/>
                      <w:lang w:bidi="ar"/>
                    </w:rPr>
                    <w:t xml:space="preserve">0.003 </w:t>
                  </w:r>
                </w:p>
              </w:tc>
              <w:tc>
                <w:tcPr>
                  <w:tcW w:w="624" w:type="pct"/>
                  <w:vAlign w:val="center"/>
                </w:tcPr>
                <w:p w14:paraId="49E97F9C">
                  <w:pPr>
                    <w:widowControl/>
                    <w:jc w:val="center"/>
                    <w:textAlignment w:val="center"/>
                    <w:rPr>
                      <w:color w:val="000000"/>
                      <w:kern w:val="0"/>
                      <w:szCs w:val="21"/>
                      <w:lang w:bidi="ar"/>
                    </w:rPr>
                  </w:pPr>
                  <w:r>
                    <w:rPr>
                      <w:color w:val="000000"/>
                      <w:kern w:val="0"/>
                      <w:szCs w:val="21"/>
                      <w:lang w:bidi="ar"/>
                    </w:rPr>
                    <w:t xml:space="preserve">0.001 </w:t>
                  </w:r>
                </w:p>
              </w:tc>
            </w:tr>
            <w:tr w14:paraId="7F29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05870A8C">
                  <w:pPr>
                    <w:jc w:val="center"/>
                    <w:rPr>
                      <w:szCs w:val="21"/>
                    </w:rPr>
                  </w:pPr>
                  <w:r>
                    <w:rPr>
                      <w:rFonts w:hint="eastAsia"/>
                      <w:szCs w:val="21"/>
                    </w:rPr>
                    <w:t>混合后</w:t>
                  </w:r>
                </w:p>
              </w:tc>
              <w:tc>
                <w:tcPr>
                  <w:tcW w:w="718" w:type="pct"/>
                  <w:shd w:val="clear" w:color="auto" w:fill="auto"/>
                  <w:vAlign w:val="center"/>
                </w:tcPr>
                <w:p w14:paraId="28AC5AC0">
                  <w:pPr>
                    <w:jc w:val="center"/>
                    <w:rPr>
                      <w:szCs w:val="21"/>
                    </w:rPr>
                  </w:pPr>
                  <w:r>
                    <w:rPr>
                      <w:szCs w:val="21"/>
                    </w:rPr>
                    <w:t>浓度（mg/L）</w:t>
                  </w:r>
                </w:p>
              </w:tc>
              <w:tc>
                <w:tcPr>
                  <w:tcW w:w="683" w:type="pct"/>
                  <w:vMerge w:val="restart"/>
                  <w:vAlign w:val="center"/>
                </w:tcPr>
                <w:p w14:paraId="772252EF">
                  <w:pPr>
                    <w:widowControl/>
                    <w:jc w:val="center"/>
                    <w:textAlignment w:val="center"/>
                    <w:rPr>
                      <w:szCs w:val="21"/>
                    </w:rPr>
                  </w:pPr>
                  <w:r>
                    <w:rPr>
                      <w:color w:val="000000"/>
                      <w:kern w:val="0"/>
                      <w:szCs w:val="21"/>
                      <w:lang w:bidi="ar"/>
                    </w:rPr>
                    <w:t>7834.25</w:t>
                  </w:r>
                </w:p>
              </w:tc>
              <w:tc>
                <w:tcPr>
                  <w:tcW w:w="588" w:type="pct"/>
                  <w:shd w:val="clear" w:color="auto" w:fill="auto"/>
                  <w:vAlign w:val="center"/>
                </w:tcPr>
                <w:p w14:paraId="7AD49D32">
                  <w:pPr>
                    <w:widowControl/>
                    <w:jc w:val="center"/>
                    <w:textAlignment w:val="center"/>
                    <w:rPr>
                      <w:color w:val="000000"/>
                      <w:kern w:val="0"/>
                      <w:szCs w:val="21"/>
                      <w:lang w:bidi="ar"/>
                    </w:rPr>
                  </w:pPr>
                  <w:r>
                    <w:rPr>
                      <w:color w:val="000000"/>
                      <w:kern w:val="0"/>
                      <w:szCs w:val="21"/>
                      <w:lang w:bidi="ar"/>
                    </w:rPr>
                    <w:t xml:space="preserve">18057 </w:t>
                  </w:r>
                </w:p>
              </w:tc>
              <w:tc>
                <w:tcPr>
                  <w:tcW w:w="520" w:type="pct"/>
                  <w:shd w:val="clear" w:color="auto" w:fill="auto"/>
                  <w:vAlign w:val="center"/>
                </w:tcPr>
                <w:p w14:paraId="499F8977">
                  <w:pPr>
                    <w:widowControl/>
                    <w:jc w:val="center"/>
                    <w:textAlignment w:val="center"/>
                    <w:rPr>
                      <w:color w:val="000000"/>
                      <w:kern w:val="0"/>
                      <w:szCs w:val="21"/>
                      <w:lang w:bidi="ar"/>
                    </w:rPr>
                  </w:pPr>
                  <w:r>
                    <w:rPr>
                      <w:color w:val="000000"/>
                      <w:kern w:val="0"/>
                      <w:szCs w:val="21"/>
                      <w:lang w:bidi="ar"/>
                    </w:rPr>
                    <w:t xml:space="preserve">9016 </w:t>
                  </w:r>
                </w:p>
              </w:tc>
              <w:tc>
                <w:tcPr>
                  <w:tcW w:w="520" w:type="pct"/>
                  <w:shd w:val="clear" w:color="auto" w:fill="auto"/>
                  <w:vAlign w:val="center"/>
                </w:tcPr>
                <w:p w14:paraId="08696F47">
                  <w:pPr>
                    <w:widowControl/>
                    <w:jc w:val="center"/>
                    <w:textAlignment w:val="center"/>
                    <w:rPr>
                      <w:color w:val="000000"/>
                      <w:kern w:val="0"/>
                      <w:szCs w:val="21"/>
                      <w:lang w:bidi="ar"/>
                    </w:rPr>
                  </w:pPr>
                  <w:r>
                    <w:rPr>
                      <w:color w:val="000000"/>
                      <w:kern w:val="0"/>
                      <w:szCs w:val="21"/>
                      <w:lang w:bidi="ar"/>
                    </w:rPr>
                    <w:t xml:space="preserve">8981 </w:t>
                  </w:r>
                </w:p>
              </w:tc>
              <w:tc>
                <w:tcPr>
                  <w:tcW w:w="537" w:type="pct"/>
                  <w:vAlign w:val="center"/>
                </w:tcPr>
                <w:p w14:paraId="4FDEB07D">
                  <w:pPr>
                    <w:widowControl/>
                    <w:jc w:val="center"/>
                    <w:textAlignment w:val="center"/>
                    <w:rPr>
                      <w:color w:val="000000"/>
                      <w:kern w:val="0"/>
                      <w:szCs w:val="21"/>
                      <w:lang w:bidi="ar"/>
                    </w:rPr>
                  </w:pPr>
                  <w:r>
                    <w:rPr>
                      <w:color w:val="000000"/>
                      <w:kern w:val="0"/>
                      <w:szCs w:val="21"/>
                      <w:lang w:bidi="ar"/>
                    </w:rPr>
                    <w:t xml:space="preserve">451 </w:t>
                  </w:r>
                </w:p>
              </w:tc>
              <w:tc>
                <w:tcPr>
                  <w:tcW w:w="525" w:type="pct"/>
                  <w:vAlign w:val="center"/>
                </w:tcPr>
                <w:p w14:paraId="2D258001">
                  <w:pPr>
                    <w:widowControl/>
                    <w:jc w:val="center"/>
                    <w:textAlignment w:val="center"/>
                    <w:rPr>
                      <w:color w:val="000000"/>
                      <w:kern w:val="0"/>
                      <w:szCs w:val="21"/>
                      <w:lang w:bidi="ar"/>
                    </w:rPr>
                  </w:pPr>
                  <w:r>
                    <w:rPr>
                      <w:color w:val="000000"/>
                      <w:kern w:val="0"/>
                      <w:szCs w:val="21"/>
                      <w:lang w:bidi="ar"/>
                    </w:rPr>
                    <w:t xml:space="preserve">1082 </w:t>
                  </w:r>
                </w:p>
              </w:tc>
              <w:tc>
                <w:tcPr>
                  <w:tcW w:w="624" w:type="pct"/>
                  <w:vAlign w:val="center"/>
                </w:tcPr>
                <w:p w14:paraId="12AC82FA">
                  <w:pPr>
                    <w:widowControl/>
                    <w:jc w:val="center"/>
                    <w:textAlignment w:val="center"/>
                    <w:rPr>
                      <w:color w:val="000000"/>
                      <w:kern w:val="0"/>
                      <w:szCs w:val="21"/>
                      <w:lang w:bidi="ar"/>
                    </w:rPr>
                  </w:pPr>
                  <w:r>
                    <w:rPr>
                      <w:color w:val="000000"/>
                      <w:kern w:val="0"/>
                      <w:szCs w:val="21"/>
                      <w:lang w:bidi="ar"/>
                    </w:rPr>
                    <w:t xml:space="preserve">46 </w:t>
                  </w:r>
                </w:p>
              </w:tc>
            </w:tr>
            <w:tr w14:paraId="7415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74E4E7A7">
                  <w:pPr>
                    <w:jc w:val="center"/>
                    <w:rPr>
                      <w:szCs w:val="21"/>
                    </w:rPr>
                  </w:pPr>
                </w:p>
              </w:tc>
              <w:tc>
                <w:tcPr>
                  <w:tcW w:w="718" w:type="pct"/>
                  <w:shd w:val="clear" w:color="auto" w:fill="auto"/>
                  <w:vAlign w:val="center"/>
                </w:tcPr>
                <w:p w14:paraId="0C97F445">
                  <w:pPr>
                    <w:jc w:val="center"/>
                    <w:rPr>
                      <w:szCs w:val="21"/>
                    </w:rPr>
                  </w:pPr>
                  <w:r>
                    <w:rPr>
                      <w:szCs w:val="21"/>
                    </w:rPr>
                    <w:t>排放量（t/a）</w:t>
                  </w:r>
                </w:p>
              </w:tc>
              <w:tc>
                <w:tcPr>
                  <w:tcW w:w="683" w:type="pct"/>
                  <w:vMerge w:val="continue"/>
                  <w:vAlign w:val="center"/>
                </w:tcPr>
                <w:p w14:paraId="3C82C59F">
                  <w:pPr>
                    <w:jc w:val="center"/>
                    <w:rPr>
                      <w:szCs w:val="21"/>
                    </w:rPr>
                  </w:pPr>
                </w:p>
              </w:tc>
              <w:tc>
                <w:tcPr>
                  <w:tcW w:w="588" w:type="pct"/>
                  <w:shd w:val="clear" w:color="auto" w:fill="auto"/>
                  <w:vAlign w:val="center"/>
                </w:tcPr>
                <w:p w14:paraId="7FE43455">
                  <w:pPr>
                    <w:widowControl/>
                    <w:jc w:val="center"/>
                    <w:textAlignment w:val="center"/>
                    <w:rPr>
                      <w:color w:val="000000"/>
                      <w:kern w:val="0"/>
                      <w:szCs w:val="21"/>
                      <w:lang w:bidi="ar"/>
                    </w:rPr>
                  </w:pPr>
                  <w:r>
                    <w:rPr>
                      <w:color w:val="000000"/>
                      <w:kern w:val="0"/>
                      <w:szCs w:val="21"/>
                      <w:lang w:bidi="ar"/>
                    </w:rPr>
                    <w:t xml:space="preserve">141.466 </w:t>
                  </w:r>
                </w:p>
              </w:tc>
              <w:tc>
                <w:tcPr>
                  <w:tcW w:w="520" w:type="pct"/>
                  <w:shd w:val="clear" w:color="auto" w:fill="auto"/>
                  <w:vAlign w:val="center"/>
                </w:tcPr>
                <w:p w14:paraId="70B89D55">
                  <w:pPr>
                    <w:widowControl/>
                    <w:jc w:val="center"/>
                    <w:textAlignment w:val="center"/>
                    <w:rPr>
                      <w:color w:val="000000"/>
                      <w:kern w:val="0"/>
                      <w:szCs w:val="21"/>
                      <w:lang w:bidi="ar"/>
                    </w:rPr>
                  </w:pPr>
                  <w:r>
                    <w:rPr>
                      <w:color w:val="000000"/>
                      <w:kern w:val="0"/>
                      <w:szCs w:val="21"/>
                      <w:lang w:bidi="ar"/>
                    </w:rPr>
                    <w:t xml:space="preserve">70.636 </w:t>
                  </w:r>
                </w:p>
              </w:tc>
              <w:tc>
                <w:tcPr>
                  <w:tcW w:w="520" w:type="pct"/>
                  <w:shd w:val="clear" w:color="auto" w:fill="auto"/>
                  <w:vAlign w:val="center"/>
                </w:tcPr>
                <w:p w14:paraId="7578BAD7">
                  <w:pPr>
                    <w:widowControl/>
                    <w:jc w:val="center"/>
                    <w:textAlignment w:val="center"/>
                    <w:rPr>
                      <w:color w:val="000000"/>
                      <w:kern w:val="0"/>
                      <w:szCs w:val="21"/>
                      <w:lang w:bidi="ar"/>
                    </w:rPr>
                  </w:pPr>
                  <w:r>
                    <w:rPr>
                      <w:color w:val="000000"/>
                      <w:kern w:val="0"/>
                      <w:szCs w:val="21"/>
                      <w:lang w:bidi="ar"/>
                    </w:rPr>
                    <w:t xml:space="preserve">70.356 </w:t>
                  </w:r>
                </w:p>
              </w:tc>
              <w:tc>
                <w:tcPr>
                  <w:tcW w:w="537" w:type="pct"/>
                  <w:vAlign w:val="center"/>
                </w:tcPr>
                <w:p w14:paraId="33A4B8C7">
                  <w:pPr>
                    <w:widowControl/>
                    <w:jc w:val="center"/>
                    <w:textAlignment w:val="center"/>
                    <w:rPr>
                      <w:color w:val="000000"/>
                      <w:kern w:val="0"/>
                      <w:szCs w:val="21"/>
                      <w:lang w:bidi="ar"/>
                    </w:rPr>
                  </w:pPr>
                  <w:r>
                    <w:rPr>
                      <w:color w:val="000000"/>
                      <w:kern w:val="0"/>
                      <w:szCs w:val="21"/>
                      <w:lang w:bidi="ar"/>
                    </w:rPr>
                    <w:t xml:space="preserve">3.537 </w:t>
                  </w:r>
                </w:p>
              </w:tc>
              <w:tc>
                <w:tcPr>
                  <w:tcW w:w="525" w:type="pct"/>
                  <w:vAlign w:val="center"/>
                </w:tcPr>
                <w:p w14:paraId="515168B5">
                  <w:pPr>
                    <w:widowControl/>
                    <w:jc w:val="center"/>
                    <w:textAlignment w:val="center"/>
                    <w:rPr>
                      <w:color w:val="000000"/>
                      <w:kern w:val="0"/>
                      <w:szCs w:val="21"/>
                      <w:lang w:bidi="ar"/>
                    </w:rPr>
                  </w:pPr>
                  <w:r>
                    <w:rPr>
                      <w:color w:val="000000"/>
                      <w:kern w:val="0"/>
                      <w:szCs w:val="21"/>
                      <w:lang w:bidi="ar"/>
                    </w:rPr>
                    <w:t xml:space="preserve">8.476 </w:t>
                  </w:r>
                </w:p>
              </w:tc>
              <w:tc>
                <w:tcPr>
                  <w:tcW w:w="624" w:type="pct"/>
                  <w:vAlign w:val="center"/>
                </w:tcPr>
                <w:p w14:paraId="3B2ACD5B">
                  <w:pPr>
                    <w:widowControl/>
                    <w:jc w:val="center"/>
                    <w:textAlignment w:val="center"/>
                    <w:rPr>
                      <w:color w:val="000000"/>
                      <w:kern w:val="0"/>
                      <w:szCs w:val="21"/>
                      <w:lang w:bidi="ar"/>
                    </w:rPr>
                  </w:pPr>
                  <w:r>
                    <w:rPr>
                      <w:color w:val="000000"/>
                      <w:kern w:val="0"/>
                      <w:szCs w:val="21"/>
                      <w:lang w:bidi="ar"/>
                    </w:rPr>
                    <w:t xml:space="preserve">0.364 </w:t>
                  </w:r>
                </w:p>
              </w:tc>
            </w:tr>
            <w:tr w14:paraId="2C40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restart"/>
                  <w:vAlign w:val="center"/>
                </w:tcPr>
                <w:p w14:paraId="64EAB60D">
                  <w:pPr>
                    <w:jc w:val="center"/>
                    <w:rPr>
                      <w:szCs w:val="21"/>
                    </w:rPr>
                  </w:pPr>
                  <w:r>
                    <w:rPr>
                      <w:rFonts w:hint="eastAsia"/>
                      <w:szCs w:val="21"/>
                    </w:rPr>
                    <w:t>污水处理系统</w:t>
                  </w:r>
                </w:p>
              </w:tc>
              <w:tc>
                <w:tcPr>
                  <w:tcW w:w="718" w:type="pct"/>
                  <w:shd w:val="clear" w:color="auto" w:fill="auto"/>
                  <w:vAlign w:val="center"/>
                </w:tcPr>
                <w:p w14:paraId="1B56F38E">
                  <w:pPr>
                    <w:jc w:val="center"/>
                    <w:rPr>
                      <w:szCs w:val="21"/>
                    </w:rPr>
                  </w:pPr>
                  <w:r>
                    <w:rPr>
                      <w:szCs w:val="21"/>
                    </w:rPr>
                    <w:t>浓度（mg/L）</w:t>
                  </w:r>
                </w:p>
              </w:tc>
              <w:tc>
                <w:tcPr>
                  <w:tcW w:w="683" w:type="pct"/>
                  <w:vMerge w:val="restart"/>
                  <w:vAlign w:val="center"/>
                </w:tcPr>
                <w:p w14:paraId="71CA5876">
                  <w:pPr>
                    <w:widowControl/>
                    <w:jc w:val="center"/>
                    <w:textAlignment w:val="center"/>
                    <w:rPr>
                      <w:szCs w:val="21"/>
                    </w:rPr>
                  </w:pPr>
                  <w:r>
                    <w:rPr>
                      <w:color w:val="000000"/>
                      <w:kern w:val="0"/>
                      <w:szCs w:val="21"/>
                      <w:lang w:bidi="ar"/>
                    </w:rPr>
                    <w:t>7834.25</w:t>
                  </w:r>
                </w:p>
              </w:tc>
              <w:tc>
                <w:tcPr>
                  <w:tcW w:w="588" w:type="pct"/>
                  <w:shd w:val="clear" w:color="auto" w:fill="auto"/>
                  <w:vAlign w:val="center"/>
                </w:tcPr>
                <w:p w14:paraId="7AB0AAD0">
                  <w:pPr>
                    <w:widowControl/>
                    <w:jc w:val="center"/>
                    <w:textAlignment w:val="center"/>
                    <w:rPr>
                      <w:color w:val="000000"/>
                      <w:kern w:val="0"/>
                      <w:szCs w:val="21"/>
                      <w:lang w:bidi="ar"/>
                    </w:rPr>
                  </w:pPr>
                  <w:r>
                    <w:rPr>
                      <w:color w:val="000000"/>
                      <w:kern w:val="0"/>
                      <w:szCs w:val="21"/>
                      <w:lang w:bidi="ar"/>
                    </w:rPr>
                    <w:t xml:space="preserve">379 </w:t>
                  </w:r>
                </w:p>
              </w:tc>
              <w:tc>
                <w:tcPr>
                  <w:tcW w:w="520" w:type="pct"/>
                  <w:shd w:val="clear" w:color="auto" w:fill="auto"/>
                  <w:vAlign w:val="center"/>
                </w:tcPr>
                <w:p w14:paraId="6695E8D1">
                  <w:pPr>
                    <w:widowControl/>
                    <w:jc w:val="center"/>
                    <w:textAlignment w:val="center"/>
                    <w:rPr>
                      <w:color w:val="000000"/>
                      <w:kern w:val="0"/>
                      <w:szCs w:val="21"/>
                      <w:lang w:bidi="ar"/>
                    </w:rPr>
                  </w:pPr>
                  <w:r>
                    <w:rPr>
                      <w:color w:val="000000"/>
                      <w:kern w:val="0"/>
                      <w:szCs w:val="21"/>
                      <w:lang w:bidi="ar"/>
                    </w:rPr>
                    <w:t xml:space="preserve">153 </w:t>
                  </w:r>
                </w:p>
              </w:tc>
              <w:tc>
                <w:tcPr>
                  <w:tcW w:w="520" w:type="pct"/>
                  <w:shd w:val="clear" w:color="auto" w:fill="auto"/>
                  <w:vAlign w:val="center"/>
                </w:tcPr>
                <w:p w14:paraId="2011927D">
                  <w:pPr>
                    <w:widowControl/>
                    <w:jc w:val="center"/>
                    <w:textAlignment w:val="center"/>
                    <w:rPr>
                      <w:color w:val="000000"/>
                      <w:kern w:val="0"/>
                      <w:szCs w:val="21"/>
                      <w:lang w:bidi="ar"/>
                    </w:rPr>
                  </w:pPr>
                  <w:r>
                    <w:rPr>
                      <w:color w:val="000000"/>
                      <w:kern w:val="0"/>
                      <w:szCs w:val="21"/>
                      <w:lang w:bidi="ar"/>
                    </w:rPr>
                    <w:t xml:space="preserve">269 </w:t>
                  </w:r>
                </w:p>
              </w:tc>
              <w:tc>
                <w:tcPr>
                  <w:tcW w:w="537" w:type="pct"/>
                  <w:vAlign w:val="center"/>
                </w:tcPr>
                <w:p w14:paraId="5D2D82DA">
                  <w:pPr>
                    <w:widowControl/>
                    <w:jc w:val="center"/>
                    <w:textAlignment w:val="center"/>
                    <w:rPr>
                      <w:color w:val="000000"/>
                      <w:kern w:val="0"/>
                      <w:szCs w:val="21"/>
                      <w:lang w:bidi="ar"/>
                    </w:rPr>
                  </w:pPr>
                  <w:r>
                    <w:rPr>
                      <w:color w:val="000000"/>
                      <w:kern w:val="0"/>
                      <w:szCs w:val="21"/>
                      <w:lang w:bidi="ar"/>
                    </w:rPr>
                    <w:t xml:space="preserve">32 </w:t>
                  </w:r>
                </w:p>
              </w:tc>
              <w:tc>
                <w:tcPr>
                  <w:tcW w:w="525" w:type="pct"/>
                  <w:vAlign w:val="center"/>
                </w:tcPr>
                <w:p w14:paraId="3601BCF0">
                  <w:pPr>
                    <w:widowControl/>
                    <w:jc w:val="center"/>
                    <w:textAlignment w:val="center"/>
                    <w:rPr>
                      <w:color w:val="000000"/>
                      <w:kern w:val="0"/>
                      <w:szCs w:val="21"/>
                      <w:lang w:bidi="ar"/>
                    </w:rPr>
                  </w:pPr>
                  <w:r>
                    <w:rPr>
                      <w:color w:val="000000"/>
                      <w:kern w:val="0"/>
                      <w:szCs w:val="21"/>
                      <w:lang w:bidi="ar"/>
                    </w:rPr>
                    <w:t xml:space="preserve">1082 </w:t>
                  </w:r>
                </w:p>
              </w:tc>
              <w:tc>
                <w:tcPr>
                  <w:tcW w:w="624" w:type="pct"/>
                  <w:vAlign w:val="center"/>
                </w:tcPr>
                <w:p w14:paraId="7BBA118F">
                  <w:pPr>
                    <w:widowControl/>
                    <w:jc w:val="center"/>
                    <w:textAlignment w:val="center"/>
                    <w:rPr>
                      <w:color w:val="000000"/>
                      <w:kern w:val="0"/>
                      <w:szCs w:val="21"/>
                      <w:lang w:bidi="ar"/>
                    </w:rPr>
                  </w:pPr>
                  <w:r>
                    <w:rPr>
                      <w:color w:val="000000"/>
                      <w:kern w:val="0"/>
                      <w:szCs w:val="21"/>
                      <w:lang w:bidi="ar"/>
                    </w:rPr>
                    <w:t xml:space="preserve">46 </w:t>
                  </w:r>
                </w:p>
              </w:tc>
            </w:tr>
            <w:tr w14:paraId="271A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4587392C">
                  <w:pPr>
                    <w:jc w:val="center"/>
                    <w:rPr>
                      <w:szCs w:val="21"/>
                    </w:rPr>
                  </w:pPr>
                </w:p>
              </w:tc>
              <w:tc>
                <w:tcPr>
                  <w:tcW w:w="718" w:type="pct"/>
                  <w:shd w:val="clear" w:color="auto" w:fill="auto"/>
                  <w:vAlign w:val="center"/>
                </w:tcPr>
                <w:p w14:paraId="6FA93595">
                  <w:pPr>
                    <w:jc w:val="center"/>
                    <w:rPr>
                      <w:szCs w:val="21"/>
                    </w:rPr>
                  </w:pPr>
                  <w:r>
                    <w:rPr>
                      <w:szCs w:val="21"/>
                    </w:rPr>
                    <w:t>排放量（t/a）</w:t>
                  </w:r>
                </w:p>
              </w:tc>
              <w:tc>
                <w:tcPr>
                  <w:tcW w:w="683" w:type="pct"/>
                  <w:vMerge w:val="continue"/>
                  <w:vAlign w:val="center"/>
                </w:tcPr>
                <w:p w14:paraId="497984D9">
                  <w:pPr>
                    <w:jc w:val="center"/>
                    <w:rPr>
                      <w:szCs w:val="21"/>
                    </w:rPr>
                  </w:pPr>
                </w:p>
              </w:tc>
              <w:tc>
                <w:tcPr>
                  <w:tcW w:w="588" w:type="pct"/>
                  <w:shd w:val="clear" w:color="auto" w:fill="auto"/>
                  <w:vAlign w:val="center"/>
                </w:tcPr>
                <w:p w14:paraId="55EA4C14">
                  <w:pPr>
                    <w:widowControl/>
                    <w:jc w:val="center"/>
                    <w:textAlignment w:val="center"/>
                    <w:rPr>
                      <w:color w:val="000000"/>
                      <w:kern w:val="0"/>
                      <w:szCs w:val="21"/>
                      <w:lang w:bidi="ar"/>
                    </w:rPr>
                  </w:pPr>
                  <w:r>
                    <w:rPr>
                      <w:color w:val="000000"/>
                      <w:kern w:val="0"/>
                      <w:szCs w:val="21"/>
                      <w:lang w:bidi="ar"/>
                    </w:rPr>
                    <w:t xml:space="preserve">2.971 </w:t>
                  </w:r>
                </w:p>
              </w:tc>
              <w:tc>
                <w:tcPr>
                  <w:tcW w:w="520" w:type="pct"/>
                  <w:shd w:val="clear" w:color="auto" w:fill="auto"/>
                  <w:vAlign w:val="center"/>
                </w:tcPr>
                <w:p w14:paraId="18756D8A">
                  <w:pPr>
                    <w:widowControl/>
                    <w:jc w:val="center"/>
                    <w:textAlignment w:val="center"/>
                    <w:rPr>
                      <w:color w:val="000000"/>
                      <w:kern w:val="0"/>
                      <w:szCs w:val="21"/>
                      <w:lang w:bidi="ar"/>
                    </w:rPr>
                  </w:pPr>
                  <w:r>
                    <w:rPr>
                      <w:color w:val="000000"/>
                      <w:kern w:val="0"/>
                      <w:szCs w:val="21"/>
                      <w:lang w:bidi="ar"/>
                    </w:rPr>
                    <w:t xml:space="preserve">1.201 </w:t>
                  </w:r>
                </w:p>
              </w:tc>
              <w:tc>
                <w:tcPr>
                  <w:tcW w:w="520" w:type="pct"/>
                  <w:shd w:val="clear" w:color="auto" w:fill="auto"/>
                  <w:vAlign w:val="center"/>
                </w:tcPr>
                <w:p w14:paraId="6BF80B8A">
                  <w:pPr>
                    <w:widowControl/>
                    <w:jc w:val="center"/>
                    <w:textAlignment w:val="center"/>
                    <w:rPr>
                      <w:color w:val="000000"/>
                      <w:kern w:val="0"/>
                      <w:szCs w:val="21"/>
                      <w:lang w:bidi="ar"/>
                    </w:rPr>
                  </w:pPr>
                  <w:r>
                    <w:rPr>
                      <w:color w:val="000000"/>
                      <w:kern w:val="0"/>
                      <w:szCs w:val="21"/>
                      <w:lang w:bidi="ar"/>
                    </w:rPr>
                    <w:t xml:space="preserve">2.111 </w:t>
                  </w:r>
                </w:p>
              </w:tc>
              <w:tc>
                <w:tcPr>
                  <w:tcW w:w="537" w:type="pct"/>
                  <w:vAlign w:val="center"/>
                </w:tcPr>
                <w:p w14:paraId="25DFA71E">
                  <w:pPr>
                    <w:widowControl/>
                    <w:jc w:val="center"/>
                    <w:textAlignment w:val="center"/>
                    <w:rPr>
                      <w:color w:val="000000"/>
                      <w:kern w:val="0"/>
                      <w:szCs w:val="21"/>
                      <w:lang w:bidi="ar"/>
                    </w:rPr>
                  </w:pPr>
                  <w:r>
                    <w:rPr>
                      <w:color w:val="000000"/>
                      <w:kern w:val="0"/>
                      <w:szCs w:val="21"/>
                      <w:lang w:bidi="ar"/>
                    </w:rPr>
                    <w:t xml:space="preserve">0.248 </w:t>
                  </w:r>
                </w:p>
              </w:tc>
              <w:tc>
                <w:tcPr>
                  <w:tcW w:w="525" w:type="pct"/>
                  <w:vAlign w:val="center"/>
                </w:tcPr>
                <w:p w14:paraId="101AF8A7">
                  <w:pPr>
                    <w:widowControl/>
                    <w:jc w:val="center"/>
                    <w:textAlignment w:val="center"/>
                    <w:rPr>
                      <w:color w:val="000000"/>
                      <w:kern w:val="0"/>
                      <w:szCs w:val="21"/>
                      <w:lang w:bidi="ar"/>
                    </w:rPr>
                  </w:pPr>
                  <w:r>
                    <w:rPr>
                      <w:color w:val="000000"/>
                      <w:kern w:val="0"/>
                      <w:szCs w:val="21"/>
                      <w:lang w:bidi="ar"/>
                    </w:rPr>
                    <w:t xml:space="preserve">8.476 </w:t>
                  </w:r>
                </w:p>
              </w:tc>
              <w:tc>
                <w:tcPr>
                  <w:tcW w:w="624" w:type="pct"/>
                  <w:vAlign w:val="center"/>
                </w:tcPr>
                <w:p w14:paraId="75C1CE78">
                  <w:pPr>
                    <w:widowControl/>
                    <w:jc w:val="center"/>
                    <w:textAlignment w:val="center"/>
                    <w:rPr>
                      <w:color w:val="000000"/>
                      <w:kern w:val="0"/>
                      <w:szCs w:val="21"/>
                      <w:lang w:bidi="ar"/>
                    </w:rPr>
                  </w:pPr>
                  <w:r>
                    <w:rPr>
                      <w:color w:val="000000"/>
                      <w:kern w:val="0"/>
                      <w:szCs w:val="21"/>
                      <w:lang w:bidi="ar"/>
                    </w:rPr>
                    <w:t xml:space="preserve">0.364 </w:t>
                  </w:r>
                </w:p>
              </w:tc>
            </w:tr>
            <w:tr w14:paraId="0321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81" w:type="pct"/>
                  <w:vMerge w:val="continue"/>
                  <w:vAlign w:val="center"/>
                </w:tcPr>
                <w:p w14:paraId="4A48985B">
                  <w:pPr>
                    <w:jc w:val="center"/>
                    <w:rPr>
                      <w:szCs w:val="21"/>
                    </w:rPr>
                  </w:pPr>
                </w:p>
              </w:tc>
              <w:tc>
                <w:tcPr>
                  <w:tcW w:w="718" w:type="pct"/>
                  <w:shd w:val="clear" w:color="auto" w:fill="auto"/>
                  <w:vAlign w:val="center"/>
                </w:tcPr>
                <w:p w14:paraId="5E09C442">
                  <w:pPr>
                    <w:jc w:val="center"/>
                    <w:rPr>
                      <w:szCs w:val="21"/>
                    </w:rPr>
                  </w:pPr>
                  <w:r>
                    <w:rPr>
                      <w:rFonts w:hint="eastAsia"/>
                      <w:szCs w:val="21"/>
                    </w:rPr>
                    <w:t>排放限值</w:t>
                  </w:r>
                  <w:r>
                    <w:rPr>
                      <w:szCs w:val="21"/>
                    </w:rPr>
                    <w:t>（mg/L）</w:t>
                  </w:r>
                </w:p>
              </w:tc>
              <w:tc>
                <w:tcPr>
                  <w:tcW w:w="683" w:type="pct"/>
                  <w:vMerge w:val="continue"/>
                  <w:vAlign w:val="center"/>
                </w:tcPr>
                <w:p w14:paraId="37BAF2B7">
                  <w:pPr>
                    <w:jc w:val="center"/>
                    <w:rPr>
                      <w:szCs w:val="21"/>
                    </w:rPr>
                  </w:pPr>
                </w:p>
              </w:tc>
              <w:tc>
                <w:tcPr>
                  <w:tcW w:w="588" w:type="pct"/>
                  <w:shd w:val="clear" w:color="auto" w:fill="auto"/>
                  <w:vAlign w:val="center"/>
                </w:tcPr>
                <w:p w14:paraId="19FE2F0C">
                  <w:pPr>
                    <w:widowControl/>
                    <w:jc w:val="center"/>
                    <w:textAlignment w:val="center"/>
                    <w:rPr>
                      <w:color w:val="000000"/>
                      <w:kern w:val="0"/>
                      <w:szCs w:val="21"/>
                      <w:lang w:bidi="ar"/>
                    </w:rPr>
                  </w:pPr>
                  <w:r>
                    <w:rPr>
                      <w:color w:val="000000"/>
                      <w:kern w:val="0"/>
                      <w:szCs w:val="21"/>
                      <w:lang w:bidi="ar"/>
                    </w:rPr>
                    <w:t>500</w:t>
                  </w:r>
                </w:p>
              </w:tc>
              <w:tc>
                <w:tcPr>
                  <w:tcW w:w="520" w:type="pct"/>
                  <w:shd w:val="clear" w:color="auto" w:fill="auto"/>
                  <w:vAlign w:val="center"/>
                </w:tcPr>
                <w:p w14:paraId="475FADA9">
                  <w:pPr>
                    <w:widowControl/>
                    <w:jc w:val="center"/>
                    <w:textAlignment w:val="center"/>
                    <w:rPr>
                      <w:color w:val="000000"/>
                      <w:kern w:val="0"/>
                      <w:szCs w:val="21"/>
                      <w:lang w:bidi="ar"/>
                    </w:rPr>
                  </w:pPr>
                  <w:r>
                    <w:rPr>
                      <w:color w:val="000000"/>
                      <w:kern w:val="0"/>
                      <w:szCs w:val="21"/>
                      <w:lang w:bidi="ar"/>
                    </w:rPr>
                    <w:t>300</w:t>
                  </w:r>
                </w:p>
              </w:tc>
              <w:tc>
                <w:tcPr>
                  <w:tcW w:w="520" w:type="pct"/>
                  <w:shd w:val="clear" w:color="auto" w:fill="auto"/>
                  <w:vAlign w:val="center"/>
                </w:tcPr>
                <w:p w14:paraId="3C95FF1E">
                  <w:pPr>
                    <w:widowControl/>
                    <w:jc w:val="center"/>
                    <w:textAlignment w:val="center"/>
                    <w:rPr>
                      <w:color w:val="000000"/>
                      <w:kern w:val="0"/>
                      <w:szCs w:val="21"/>
                      <w:lang w:bidi="ar"/>
                    </w:rPr>
                  </w:pPr>
                  <w:r>
                    <w:rPr>
                      <w:color w:val="000000"/>
                      <w:kern w:val="0"/>
                      <w:szCs w:val="21"/>
                      <w:lang w:bidi="ar"/>
                    </w:rPr>
                    <w:t>400</w:t>
                  </w:r>
                </w:p>
              </w:tc>
              <w:tc>
                <w:tcPr>
                  <w:tcW w:w="537" w:type="pct"/>
                  <w:vAlign w:val="center"/>
                </w:tcPr>
                <w:p w14:paraId="6168E9C1">
                  <w:pPr>
                    <w:widowControl/>
                    <w:jc w:val="center"/>
                    <w:textAlignment w:val="center"/>
                    <w:rPr>
                      <w:color w:val="000000"/>
                      <w:kern w:val="0"/>
                      <w:szCs w:val="21"/>
                      <w:lang w:bidi="ar"/>
                    </w:rPr>
                  </w:pPr>
                  <w:r>
                    <w:rPr>
                      <w:color w:val="000000"/>
                      <w:kern w:val="0"/>
                      <w:szCs w:val="21"/>
                      <w:lang w:bidi="ar"/>
                    </w:rPr>
                    <w:t>45</w:t>
                  </w:r>
                </w:p>
              </w:tc>
              <w:tc>
                <w:tcPr>
                  <w:tcW w:w="525" w:type="pct"/>
                  <w:vAlign w:val="center"/>
                </w:tcPr>
                <w:p w14:paraId="10DC7260">
                  <w:pPr>
                    <w:widowControl/>
                    <w:jc w:val="center"/>
                    <w:textAlignment w:val="center"/>
                    <w:rPr>
                      <w:color w:val="000000"/>
                      <w:kern w:val="0"/>
                      <w:szCs w:val="21"/>
                      <w:lang w:bidi="ar"/>
                    </w:rPr>
                  </w:pPr>
                  <w:r>
                    <w:rPr>
                      <w:color w:val="000000"/>
                      <w:kern w:val="0"/>
                      <w:szCs w:val="21"/>
                      <w:lang w:bidi="ar"/>
                    </w:rPr>
                    <w:t>70</w:t>
                  </w:r>
                </w:p>
              </w:tc>
              <w:tc>
                <w:tcPr>
                  <w:tcW w:w="624" w:type="pct"/>
                  <w:vAlign w:val="center"/>
                </w:tcPr>
                <w:p w14:paraId="741C7782">
                  <w:pPr>
                    <w:widowControl/>
                    <w:jc w:val="center"/>
                    <w:textAlignment w:val="center"/>
                    <w:rPr>
                      <w:color w:val="000000"/>
                      <w:kern w:val="0"/>
                      <w:szCs w:val="21"/>
                      <w:lang w:bidi="ar"/>
                    </w:rPr>
                  </w:pPr>
                  <w:r>
                    <w:rPr>
                      <w:color w:val="000000"/>
                      <w:kern w:val="0"/>
                      <w:szCs w:val="21"/>
                      <w:lang w:bidi="ar"/>
                    </w:rPr>
                    <w:t>8</w:t>
                  </w:r>
                </w:p>
              </w:tc>
            </w:tr>
            <w:tr w14:paraId="35C0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81" w:type="pct"/>
                  <w:vMerge w:val="restart"/>
                  <w:vAlign w:val="center"/>
                </w:tcPr>
                <w:p w14:paraId="3BA8F671">
                  <w:pPr>
                    <w:jc w:val="center"/>
                    <w:rPr>
                      <w:szCs w:val="21"/>
                    </w:rPr>
                  </w:pPr>
                  <w:r>
                    <w:rPr>
                      <w:bCs/>
                      <w:szCs w:val="21"/>
                    </w:rPr>
                    <w:t>污水处理厂</w:t>
                  </w:r>
                  <w:r>
                    <w:rPr>
                      <w:rFonts w:hint="eastAsia"/>
                      <w:bCs/>
                      <w:szCs w:val="21"/>
                    </w:rPr>
                    <w:t>排口</w:t>
                  </w:r>
                </w:p>
              </w:tc>
              <w:tc>
                <w:tcPr>
                  <w:tcW w:w="718" w:type="pct"/>
                  <w:vAlign w:val="center"/>
                </w:tcPr>
                <w:p w14:paraId="5C03156F">
                  <w:pPr>
                    <w:jc w:val="center"/>
                    <w:rPr>
                      <w:szCs w:val="21"/>
                    </w:rPr>
                  </w:pPr>
                  <w:r>
                    <w:rPr>
                      <w:rFonts w:hint="eastAsia"/>
                      <w:szCs w:val="21"/>
                    </w:rPr>
                    <w:t>排放限值</w:t>
                  </w:r>
                  <w:r>
                    <w:rPr>
                      <w:szCs w:val="21"/>
                    </w:rPr>
                    <w:t>浓度（mg/L）</w:t>
                  </w:r>
                </w:p>
              </w:tc>
              <w:tc>
                <w:tcPr>
                  <w:tcW w:w="683" w:type="pct"/>
                  <w:vMerge w:val="restart"/>
                  <w:vAlign w:val="center"/>
                </w:tcPr>
                <w:p w14:paraId="7D5A1FA2">
                  <w:pPr>
                    <w:widowControl/>
                    <w:jc w:val="center"/>
                    <w:textAlignment w:val="center"/>
                    <w:rPr>
                      <w:kern w:val="0"/>
                      <w:szCs w:val="21"/>
                      <w:lang w:bidi="ar"/>
                    </w:rPr>
                  </w:pPr>
                  <w:r>
                    <w:rPr>
                      <w:color w:val="000000"/>
                      <w:kern w:val="0"/>
                      <w:szCs w:val="21"/>
                      <w:lang w:bidi="ar"/>
                    </w:rPr>
                    <w:t>7834.25</w:t>
                  </w:r>
                </w:p>
              </w:tc>
              <w:tc>
                <w:tcPr>
                  <w:tcW w:w="588" w:type="pct"/>
                  <w:vAlign w:val="center"/>
                </w:tcPr>
                <w:p w14:paraId="057C81AA">
                  <w:pPr>
                    <w:widowControl/>
                    <w:jc w:val="center"/>
                    <w:textAlignment w:val="center"/>
                    <w:rPr>
                      <w:color w:val="000000"/>
                      <w:kern w:val="0"/>
                      <w:szCs w:val="21"/>
                      <w:lang w:bidi="ar"/>
                    </w:rPr>
                  </w:pPr>
                  <w:r>
                    <w:rPr>
                      <w:color w:val="000000"/>
                      <w:kern w:val="0"/>
                      <w:szCs w:val="21"/>
                      <w:lang w:bidi="ar"/>
                    </w:rPr>
                    <w:t>50</w:t>
                  </w:r>
                </w:p>
              </w:tc>
              <w:tc>
                <w:tcPr>
                  <w:tcW w:w="520" w:type="pct"/>
                  <w:vAlign w:val="center"/>
                </w:tcPr>
                <w:p w14:paraId="14871B52">
                  <w:pPr>
                    <w:widowControl/>
                    <w:jc w:val="center"/>
                    <w:textAlignment w:val="center"/>
                    <w:rPr>
                      <w:color w:val="000000"/>
                      <w:kern w:val="0"/>
                      <w:szCs w:val="21"/>
                      <w:lang w:bidi="ar"/>
                    </w:rPr>
                  </w:pPr>
                  <w:r>
                    <w:rPr>
                      <w:color w:val="000000"/>
                      <w:kern w:val="0"/>
                      <w:szCs w:val="21"/>
                      <w:lang w:bidi="ar"/>
                    </w:rPr>
                    <w:t>10</w:t>
                  </w:r>
                </w:p>
              </w:tc>
              <w:tc>
                <w:tcPr>
                  <w:tcW w:w="520" w:type="pct"/>
                  <w:vAlign w:val="center"/>
                </w:tcPr>
                <w:p w14:paraId="1E2FD3FC">
                  <w:pPr>
                    <w:widowControl/>
                    <w:jc w:val="center"/>
                    <w:textAlignment w:val="center"/>
                    <w:rPr>
                      <w:color w:val="000000"/>
                      <w:kern w:val="0"/>
                      <w:szCs w:val="21"/>
                      <w:lang w:bidi="ar"/>
                    </w:rPr>
                  </w:pPr>
                  <w:r>
                    <w:rPr>
                      <w:color w:val="000000"/>
                      <w:kern w:val="0"/>
                      <w:szCs w:val="21"/>
                      <w:lang w:bidi="ar"/>
                    </w:rPr>
                    <w:t>10</w:t>
                  </w:r>
                </w:p>
              </w:tc>
              <w:tc>
                <w:tcPr>
                  <w:tcW w:w="537" w:type="pct"/>
                  <w:vAlign w:val="center"/>
                </w:tcPr>
                <w:p w14:paraId="2BE4310E">
                  <w:pPr>
                    <w:widowControl/>
                    <w:jc w:val="center"/>
                    <w:textAlignment w:val="center"/>
                    <w:rPr>
                      <w:color w:val="000000"/>
                      <w:kern w:val="0"/>
                      <w:szCs w:val="21"/>
                      <w:lang w:bidi="ar"/>
                    </w:rPr>
                  </w:pPr>
                  <w:r>
                    <w:rPr>
                      <w:color w:val="000000"/>
                      <w:kern w:val="0"/>
                      <w:szCs w:val="21"/>
                      <w:lang w:bidi="ar"/>
                    </w:rPr>
                    <w:t>8</w:t>
                  </w:r>
                </w:p>
              </w:tc>
              <w:tc>
                <w:tcPr>
                  <w:tcW w:w="525" w:type="pct"/>
                  <w:vAlign w:val="center"/>
                </w:tcPr>
                <w:p w14:paraId="6C3ABD00">
                  <w:pPr>
                    <w:widowControl/>
                    <w:jc w:val="center"/>
                    <w:textAlignment w:val="center"/>
                    <w:rPr>
                      <w:color w:val="000000"/>
                      <w:kern w:val="0"/>
                      <w:szCs w:val="21"/>
                      <w:lang w:bidi="ar"/>
                    </w:rPr>
                  </w:pPr>
                  <w:r>
                    <w:rPr>
                      <w:color w:val="000000"/>
                      <w:kern w:val="0"/>
                      <w:szCs w:val="21"/>
                      <w:lang w:bidi="ar"/>
                    </w:rPr>
                    <w:t>15</w:t>
                  </w:r>
                </w:p>
              </w:tc>
              <w:tc>
                <w:tcPr>
                  <w:tcW w:w="624" w:type="pct"/>
                  <w:vAlign w:val="center"/>
                </w:tcPr>
                <w:p w14:paraId="24719DD1">
                  <w:pPr>
                    <w:widowControl/>
                    <w:jc w:val="center"/>
                    <w:textAlignment w:val="center"/>
                    <w:rPr>
                      <w:color w:val="000000"/>
                      <w:kern w:val="0"/>
                      <w:szCs w:val="21"/>
                      <w:lang w:bidi="ar"/>
                    </w:rPr>
                  </w:pPr>
                  <w:r>
                    <w:rPr>
                      <w:color w:val="000000"/>
                      <w:kern w:val="0"/>
                      <w:szCs w:val="21"/>
                      <w:lang w:bidi="ar"/>
                    </w:rPr>
                    <w:t>0.5</w:t>
                  </w:r>
                </w:p>
              </w:tc>
            </w:tr>
            <w:tr w14:paraId="7AB0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 w:type="pct"/>
                  <w:vMerge w:val="continue"/>
                  <w:vAlign w:val="center"/>
                </w:tcPr>
                <w:p w14:paraId="24FDCB32">
                  <w:pPr>
                    <w:jc w:val="center"/>
                    <w:rPr>
                      <w:szCs w:val="21"/>
                    </w:rPr>
                  </w:pPr>
                </w:p>
              </w:tc>
              <w:tc>
                <w:tcPr>
                  <w:tcW w:w="718" w:type="pct"/>
                  <w:vAlign w:val="center"/>
                </w:tcPr>
                <w:p w14:paraId="3768F4B0">
                  <w:pPr>
                    <w:jc w:val="center"/>
                    <w:rPr>
                      <w:szCs w:val="21"/>
                    </w:rPr>
                  </w:pPr>
                  <w:r>
                    <w:rPr>
                      <w:szCs w:val="21"/>
                    </w:rPr>
                    <w:t>排放量（t/a）</w:t>
                  </w:r>
                </w:p>
              </w:tc>
              <w:tc>
                <w:tcPr>
                  <w:tcW w:w="683" w:type="pct"/>
                  <w:vMerge w:val="continue"/>
                  <w:vAlign w:val="center"/>
                </w:tcPr>
                <w:p w14:paraId="507FCE44">
                  <w:pPr>
                    <w:widowControl/>
                    <w:jc w:val="center"/>
                    <w:textAlignment w:val="center"/>
                    <w:rPr>
                      <w:kern w:val="0"/>
                      <w:szCs w:val="21"/>
                      <w:lang w:bidi="ar"/>
                    </w:rPr>
                  </w:pPr>
                </w:p>
              </w:tc>
              <w:tc>
                <w:tcPr>
                  <w:tcW w:w="588" w:type="pct"/>
                  <w:vAlign w:val="center"/>
                </w:tcPr>
                <w:p w14:paraId="5218E7BC">
                  <w:pPr>
                    <w:widowControl/>
                    <w:jc w:val="center"/>
                    <w:textAlignment w:val="center"/>
                    <w:rPr>
                      <w:color w:val="000000"/>
                      <w:kern w:val="0"/>
                      <w:szCs w:val="21"/>
                      <w:lang w:bidi="ar"/>
                    </w:rPr>
                  </w:pPr>
                  <w:r>
                    <w:rPr>
                      <w:color w:val="000000"/>
                      <w:kern w:val="0"/>
                      <w:szCs w:val="21"/>
                      <w:lang w:bidi="ar"/>
                    </w:rPr>
                    <w:t xml:space="preserve">0.392 </w:t>
                  </w:r>
                </w:p>
              </w:tc>
              <w:tc>
                <w:tcPr>
                  <w:tcW w:w="520" w:type="pct"/>
                  <w:vAlign w:val="center"/>
                </w:tcPr>
                <w:p w14:paraId="207EF9C1">
                  <w:pPr>
                    <w:widowControl/>
                    <w:jc w:val="center"/>
                    <w:textAlignment w:val="center"/>
                    <w:rPr>
                      <w:color w:val="000000"/>
                      <w:kern w:val="0"/>
                      <w:szCs w:val="21"/>
                      <w:lang w:bidi="ar"/>
                    </w:rPr>
                  </w:pPr>
                  <w:r>
                    <w:rPr>
                      <w:color w:val="000000"/>
                      <w:kern w:val="0"/>
                      <w:szCs w:val="21"/>
                      <w:lang w:bidi="ar"/>
                    </w:rPr>
                    <w:t xml:space="preserve">0.078 </w:t>
                  </w:r>
                </w:p>
              </w:tc>
              <w:tc>
                <w:tcPr>
                  <w:tcW w:w="520" w:type="pct"/>
                  <w:vAlign w:val="center"/>
                </w:tcPr>
                <w:p w14:paraId="42402E84">
                  <w:pPr>
                    <w:widowControl/>
                    <w:jc w:val="center"/>
                    <w:textAlignment w:val="center"/>
                    <w:rPr>
                      <w:color w:val="000000"/>
                      <w:kern w:val="0"/>
                      <w:szCs w:val="21"/>
                      <w:lang w:bidi="ar"/>
                    </w:rPr>
                  </w:pPr>
                  <w:r>
                    <w:rPr>
                      <w:color w:val="000000"/>
                      <w:kern w:val="0"/>
                      <w:szCs w:val="21"/>
                      <w:lang w:bidi="ar"/>
                    </w:rPr>
                    <w:t xml:space="preserve">0.078 </w:t>
                  </w:r>
                </w:p>
              </w:tc>
              <w:tc>
                <w:tcPr>
                  <w:tcW w:w="537" w:type="pct"/>
                  <w:vAlign w:val="center"/>
                </w:tcPr>
                <w:p w14:paraId="334549C8">
                  <w:pPr>
                    <w:widowControl/>
                    <w:jc w:val="center"/>
                    <w:textAlignment w:val="center"/>
                    <w:rPr>
                      <w:color w:val="000000"/>
                      <w:kern w:val="0"/>
                      <w:szCs w:val="21"/>
                      <w:lang w:bidi="ar"/>
                    </w:rPr>
                  </w:pPr>
                  <w:r>
                    <w:rPr>
                      <w:color w:val="000000"/>
                      <w:kern w:val="0"/>
                      <w:szCs w:val="21"/>
                      <w:lang w:bidi="ar"/>
                    </w:rPr>
                    <w:t xml:space="preserve">0.063 </w:t>
                  </w:r>
                </w:p>
              </w:tc>
              <w:tc>
                <w:tcPr>
                  <w:tcW w:w="525" w:type="pct"/>
                  <w:shd w:val="clear" w:color="auto" w:fill="auto"/>
                  <w:vAlign w:val="center"/>
                </w:tcPr>
                <w:p w14:paraId="042C509B">
                  <w:pPr>
                    <w:widowControl/>
                    <w:jc w:val="center"/>
                    <w:textAlignment w:val="center"/>
                    <w:rPr>
                      <w:color w:val="000000"/>
                      <w:kern w:val="0"/>
                      <w:szCs w:val="21"/>
                      <w:lang w:bidi="ar"/>
                    </w:rPr>
                  </w:pPr>
                  <w:r>
                    <w:rPr>
                      <w:color w:val="000000"/>
                      <w:kern w:val="0"/>
                      <w:szCs w:val="21"/>
                      <w:lang w:bidi="ar"/>
                    </w:rPr>
                    <w:t xml:space="preserve">0.118 </w:t>
                  </w:r>
                </w:p>
              </w:tc>
              <w:tc>
                <w:tcPr>
                  <w:tcW w:w="624" w:type="pct"/>
                  <w:vAlign w:val="center"/>
                </w:tcPr>
                <w:p w14:paraId="331D00B5">
                  <w:pPr>
                    <w:widowControl/>
                    <w:jc w:val="center"/>
                    <w:textAlignment w:val="center"/>
                    <w:rPr>
                      <w:color w:val="000000"/>
                      <w:kern w:val="0"/>
                      <w:szCs w:val="21"/>
                      <w:lang w:bidi="ar"/>
                    </w:rPr>
                  </w:pPr>
                  <w:r>
                    <w:rPr>
                      <w:color w:val="000000"/>
                      <w:kern w:val="0"/>
                      <w:szCs w:val="21"/>
                      <w:lang w:bidi="ar"/>
                    </w:rPr>
                    <w:t xml:space="preserve">0.004 </w:t>
                  </w:r>
                </w:p>
              </w:tc>
            </w:tr>
          </w:tbl>
          <w:p w14:paraId="71A6566C">
            <w:pPr>
              <w:widowControl/>
              <w:spacing w:before="120" w:beforeLines="50" w:line="360" w:lineRule="auto"/>
              <w:ind w:firstLine="482" w:firstLineChars="200"/>
              <w:jc w:val="left"/>
              <w:rPr>
                <w:b/>
                <w:bCs/>
                <w:color w:val="000000"/>
                <w:kern w:val="0"/>
                <w:sz w:val="24"/>
                <w:lang w:bidi="ar"/>
              </w:rPr>
            </w:pPr>
            <w:r>
              <w:rPr>
                <w:rFonts w:hint="eastAsia"/>
                <w:b/>
                <w:bCs/>
                <w:color w:val="000000"/>
                <w:kern w:val="0"/>
                <w:sz w:val="24"/>
                <w:lang w:bidi="ar"/>
              </w:rPr>
              <w:t>3、废水排放基本信息</w:t>
            </w:r>
          </w:p>
          <w:p w14:paraId="154E7070">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①</w:t>
            </w:r>
            <w:r>
              <w:rPr>
                <w:b/>
                <w:bCs/>
                <w:sz w:val="24"/>
              </w:rPr>
              <w:t>废水类别、污染物及治理设施信息</w:t>
            </w:r>
          </w:p>
          <w:p w14:paraId="7D3C2E42">
            <w:pPr>
              <w:jc w:val="center"/>
              <w:rPr>
                <w:b/>
                <w:bCs/>
                <w:szCs w:val="21"/>
              </w:rPr>
            </w:pPr>
            <w:r>
              <w:rPr>
                <w:b/>
                <w:bCs/>
                <w:szCs w:val="21"/>
              </w:rPr>
              <w:t>表</w:t>
            </w:r>
            <w:r>
              <w:rPr>
                <w:rFonts w:hint="eastAsia"/>
                <w:b/>
                <w:bCs/>
                <w:szCs w:val="21"/>
              </w:rPr>
              <w:t xml:space="preserve">4-14  </w:t>
            </w:r>
            <w:r>
              <w:rPr>
                <w:b/>
                <w:bCs/>
                <w:szCs w:val="21"/>
              </w:rPr>
              <w:t>废水类别、污染物及治理设施信息表</w:t>
            </w:r>
          </w:p>
          <w:tbl>
            <w:tblPr>
              <w:tblStyle w:val="28"/>
              <w:tblW w:w="828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64"/>
              <w:gridCol w:w="664"/>
              <w:gridCol w:w="1518"/>
              <w:gridCol w:w="919"/>
              <w:gridCol w:w="628"/>
              <w:gridCol w:w="1569"/>
              <w:gridCol w:w="964"/>
              <w:gridCol w:w="761"/>
              <w:gridCol w:w="801"/>
            </w:tblGrid>
            <w:tr w14:paraId="14544C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64" w:type="dxa"/>
                  <w:vMerge w:val="restart"/>
                  <w:tcBorders>
                    <w:tl2br w:val="nil"/>
                    <w:tr2bl w:val="nil"/>
                  </w:tcBorders>
                  <w:vAlign w:val="center"/>
                </w:tcPr>
                <w:p w14:paraId="08C79550">
                  <w:pPr>
                    <w:pStyle w:val="26"/>
                    <w:ind w:left="0" w:leftChars="0" w:firstLine="0"/>
                    <w:jc w:val="center"/>
                    <w:rPr>
                      <w:b/>
                      <w:bCs/>
                      <w:szCs w:val="21"/>
                    </w:rPr>
                  </w:pPr>
                  <w:r>
                    <w:rPr>
                      <w:b/>
                      <w:bCs/>
                      <w:szCs w:val="21"/>
                    </w:rPr>
                    <w:t>序号</w:t>
                  </w:r>
                </w:p>
              </w:tc>
              <w:tc>
                <w:tcPr>
                  <w:tcW w:w="664" w:type="dxa"/>
                  <w:vMerge w:val="restart"/>
                  <w:tcBorders>
                    <w:tl2br w:val="nil"/>
                    <w:tr2bl w:val="nil"/>
                  </w:tcBorders>
                  <w:vAlign w:val="center"/>
                </w:tcPr>
                <w:p w14:paraId="6BB7D0F0">
                  <w:pPr>
                    <w:pStyle w:val="26"/>
                    <w:ind w:left="0" w:leftChars="0" w:firstLine="0"/>
                    <w:jc w:val="center"/>
                    <w:rPr>
                      <w:b/>
                      <w:bCs/>
                      <w:szCs w:val="21"/>
                    </w:rPr>
                  </w:pPr>
                  <w:r>
                    <w:rPr>
                      <w:b/>
                      <w:bCs/>
                      <w:szCs w:val="21"/>
                    </w:rPr>
                    <w:t>废水类别</w:t>
                  </w:r>
                </w:p>
              </w:tc>
              <w:tc>
                <w:tcPr>
                  <w:tcW w:w="1518" w:type="dxa"/>
                  <w:vMerge w:val="restart"/>
                  <w:tcBorders>
                    <w:tl2br w:val="nil"/>
                    <w:tr2bl w:val="nil"/>
                  </w:tcBorders>
                  <w:vAlign w:val="center"/>
                </w:tcPr>
                <w:p w14:paraId="05D76DD8">
                  <w:pPr>
                    <w:pStyle w:val="26"/>
                    <w:ind w:left="0" w:leftChars="0" w:firstLine="0"/>
                    <w:jc w:val="center"/>
                    <w:rPr>
                      <w:b/>
                      <w:bCs/>
                      <w:szCs w:val="21"/>
                    </w:rPr>
                  </w:pPr>
                  <w:r>
                    <w:rPr>
                      <w:b/>
                      <w:bCs/>
                      <w:szCs w:val="21"/>
                    </w:rPr>
                    <w:t>污染物种类</w:t>
                  </w:r>
                </w:p>
              </w:tc>
              <w:tc>
                <w:tcPr>
                  <w:tcW w:w="919" w:type="dxa"/>
                  <w:vMerge w:val="restart"/>
                  <w:tcBorders>
                    <w:tl2br w:val="nil"/>
                    <w:tr2bl w:val="nil"/>
                  </w:tcBorders>
                  <w:vAlign w:val="center"/>
                </w:tcPr>
                <w:p w14:paraId="349DA540">
                  <w:pPr>
                    <w:pStyle w:val="26"/>
                    <w:ind w:left="0" w:leftChars="0" w:firstLine="0"/>
                    <w:jc w:val="center"/>
                    <w:rPr>
                      <w:b/>
                      <w:bCs/>
                      <w:szCs w:val="21"/>
                    </w:rPr>
                  </w:pPr>
                  <w:r>
                    <w:rPr>
                      <w:b/>
                      <w:bCs/>
                      <w:szCs w:val="21"/>
                    </w:rPr>
                    <w:t>排放去向</w:t>
                  </w:r>
                </w:p>
              </w:tc>
              <w:tc>
                <w:tcPr>
                  <w:tcW w:w="628" w:type="dxa"/>
                  <w:vMerge w:val="restart"/>
                  <w:tcBorders>
                    <w:tl2br w:val="nil"/>
                    <w:tr2bl w:val="nil"/>
                  </w:tcBorders>
                  <w:vAlign w:val="center"/>
                </w:tcPr>
                <w:p w14:paraId="1ED9616B">
                  <w:pPr>
                    <w:pStyle w:val="26"/>
                    <w:ind w:left="0" w:leftChars="0" w:firstLine="0"/>
                    <w:jc w:val="center"/>
                    <w:rPr>
                      <w:b/>
                      <w:bCs/>
                      <w:szCs w:val="21"/>
                    </w:rPr>
                  </w:pPr>
                  <w:r>
                    <w:rPr>
                      <w:b/>
                      <w:bCs/>
                      <w:szCs w:val="21"/>
                    </w:rPr>
                    <w:t>排放规律</w:t>
                  </w:r>
                </w:p>
              </w:tc>
              <w:tc>
                <w:tcPr>
                  <w:tcW w:w="3294" w:type="dxa"/>
                  <w:gridSpan w:val="3"/>
                  <w:tcBorders>
                    <w:tl2br w:val="nil"/>
                    <w:tr2bl w:val="nil"/>
                  </w:tcBorders>
                  <w:vAlign w:val="center"/>
                </w:tcPr>
                <w:p w14:paraId="147AFF32">
                  <w:pPr>
                    <w:pStyle w:val="26"/>
                    <w:ind w:left="0" w:leftChars="0" w:firstLine="0"/>
                    <w:jc w:val="center"/>
                    <w:rPr>
                      <w:b/>
                      <w:bCs/>
                      <w:szCs w:val="21"/>
                    </w:rPr>
                  </w:pPr>
                  <w:r>
                    <w:rPr>
                      <w:b/>
                      <w:bCs/>
                      <w:szCs w:val="21"/>
                    </w:rPr>
                    <w:t>污染治理设施</w:t>
                  </w:r>
                </w:p>
              </w:tc>
              <w:tc>
                <w:tcPr>
                  <w:tcW w:w="801" w:type="dxa"/>
                  <w:vMerge w:val="restart"/>
                  <w:tcBorders>
                    <w:tl2br w:val="nil"/>
                    <w:tr2bl w:val="nil"/>
                  </w:tcBorders>
                  <w:vAlign w:val="center"/>
                </w:tcPr>
                <w:p w14:paraId="4D9CD2EA">
                  <w:pPr>
                    <w:pStyle w:val="26"/>
                    <w:ind w:left="0" w:leftChars="0" w:firstLine="0"/>
                    <w:jc w:val="center"/>
                    <w:rPr>
                      <w:b/>
                      <w:bCs/>
                      <w:szCs w:val="21"/>
                    </w:rPr>
                  </w:pPr>
                  <w:r>
                    <w:rPr>
                      <w:rFonts w:hint="eastAsia"/>
                      <w:b/>
                      <w:bCs/>
                      <w:szCs w:val="21"/>
                    </w:rPr>
                    <w:t>是否为可行技术</w:t>
                  </w:r>
                </w:p>
              </w:tc>
            </w:tr>
            <w:tr w14:paraId="58E7C5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64" w:type="dxa"/>
                  <w:vMerge w:val="continue"/>
                  <w:tcBorders>
                    <w:tl2br w:val="nil"/>
                    <w:tr2bl w:val="nil"/>
                  </w:tcBorders>
                  <w:vAlign w:val="center"/>
                </w:tcPr>
                <w:p w14:paraId="00FD1229">
                  <w:pPr>
                    <w:pStyle w:val="26"/>
                    <w:ind w:left="0" w:leftChars="0" w:firstLine="0"/>
                    <w:jc w:val="center"/>
                    <w:rPr>
                      <w:szCs w:val="21"/>
                    </w:rPr>
                  </w:pPr>
                </w:p>
              </w:tc>
              <w:tc>
                <w:tcPr>
                  <w:tcW w:w="664" w:type="dxa"/>
                  <w:vMerge w:val="continue"/>
                  <w:tcBorders>
                    <w:tl2br w:val="nil"/>
                    <w:tr2bl w:val="nil"/>
                  </w:tcBorders>
                  <w:vAlign w:val="center"/>
                </w:tcPr>
                <w:p w14:paraId="07AE4E25">
                  <w:pPr>
                    <w:pStyle w:val="26"/>
                    <w:ind w:left="0" w:leftChars="0" w:firstLine="0"/>
                    <w:jc w:val="center"/>
                    <w:rPr>
                      <w:szCs w:val="21"/>
                    </w:rPr>
                  </w:pPr>
                </w:p>
              </w:tc>
              <w:tc>
                <w:tcPr>
                  <w:tcW w:w="1518" w:type="dxa"/>
                  <w:vMerge w:val="continue"/>
                  <w:tcBorders>
                    <w:tl2br w:val="nil"/>
                    <w:tr2bl w:val="nil"/>
                  </w:tcBorders>
                  <w:vAlign w:val="center"/>
                </w:tcPr>
                <w:p w14:paraId="44F88B1A">
                  <w:pPr>
                    <w:pStyle w:val="26"/>
                    <w:ind w:left="0" w:leftChars="0" w:firstLine="0"/>
                    <w:jc w:val="center"/>
                    <w:rPr>
                      <w:szCs w:val="21"/>
                    </w:rPr>
                  </w:pPr>
                </w:p>
              </w:tc>
              <w:tc>
                <w:tcPr>
                  <w:tcW w:w="919" w:type="dxa"/>
                  <w:vMerge w:val="continue"/>
                  <w:tcBorders>
                    <w:tl2br w:val="nil"/>
                    <w:tr2bl w:val="nil"/>
                  </w:tcBorders>
                  <w:vAlign w:val="center"/>
                </w:tcPr>
                <w:p w14:paraId="0DFD497D">
                  <w:pPr>
                    <w:pStyle w:val="26"/>
                    <w:ind w:left="0" w:leftChars="0" w:firstLine="0"/>
                    <w:jc w:val="center"/>
                    <w:rPr>
                      <w:szCs w:val="21"/>
                    </w:rPr>
                  </w:pPr>
                </w:p>
              </w:tc>
              <w:tc>
                <w:tcPr>
                  <w:tcW w:w="628" w:type="dxa"/>
                  <w:vMerge w:val="continue"/>
                  <w:tcBorders>
                    <w:tl2br w:val="nil"/>
                    <w:tr2bl w:val="nil"/>
                  </w:tcBorders>
                  <w:vAlign w:val="center"/>
                </w:tcPr>
                <w:p w14:paraId="48F904E5">
                  <w:pPr>
                    <w:pStyle w:val="26"/>
                    <w:ind w:left="0" w:leftChars="0" w:firstLine="0"/>
                    <w:jc w:val="center"/>
                    <w:rPr>
                      <w:szCs w:val="21"/>
                    </w:rPr>
                  </w:pPr>
                </w:p>
              </w:tc>
              <w:tc>
                <w:tcPr>
                  <w:tcW w:w="1569" w:type="dxa"/>
                  <w:tcBorders>
                    <w:tl2br w:val="nil"/>
                    <w:tr2bl w:val="nil"/>
                  </w:tcBorders>
                  <w:vAlign w:val="center"/>
                </w:tcPr>
                <w:p w14:paraId="143D9FC8">
                  <w:pPr>
                    <w:pStyle w:val="26"/>
                    <w:ind w:left="0" w:leftChars="0" w:firstLine="0"/>
                    <w:jc w:val="center"/>
                    <w:rPr>
                      <w:b/>
                      <w:bCs/>
                      <w:szCs w:val="21"/>
                    </w:rPr>
                  </w:pPr>
                  <w:r>
                    <w:rPr>
                      <w:b/>
                      <w:bCs/>
                      <w:szCs w:val="21"/>
                    </w:rPr>
                    <w:t>编号</w:t>
                  </w:r>
                </w:p>
              </w:tc>
              <w:tc>
                <w:tcPr>
                  <w:tcW w:w="964" w:type="dxa"/>
                  <w:tcBorders>
                    <w:tl2br w:val="nil"/>
                    <w:tr2bl w:val="nil"/>
                  </w:tcBorders>
                  <w:vAlign w:val="center"/>
                </w:tcPr>
                <w:p w14:paraId="1B27864A">
                  <w:pPr>
                    <w:pStyle w:val="26"/>
                    <w:ind w:left="0" w:leftChars="0" w:firstLine="0"/>
                    <w:jc w:val="center"/>
                    <w:rPr>
                      <w:b/>
                      <w:bCs/>
                      <w:szCs w:val="21"/>
                    </w:rPr>
                  </w:pPr>
                  <w:r>
                    <w:rPr>
                      <w:b/>
                      <w:bCs/>
                      <w:szCs w:val="21"/>
                    </w:rPr>
                    <w:t>名称</w:t>
                  </w:r>
                </w:p>
              </w:tc>
              <w:tc>
                <w:tcPr>
                  <w:tcW w:w="761" w:type="dxa"/>
                  <w:tcBorders>
                    <w:tl2br w:val="nil"/>
                    <w:tr2bl w:val="nil"/>
                  </w:tcBorders>
                  <w:vAlign w:val="center"/>
                </w:tcPr>
                <w:p w14:paraId="56577510">
                  <w:pPr>
                    <w:pStyle w:val="26"/>
                    <w:ind w:left="0" w:leftChars="0" w:firstLine="0"/>
                    <w:jc w:val="center"/>
                    <w:rPr>
                      <w:b/>
                      <w:bCs/>
                      <w:szCs w:val="21"/>
                    </w:rPr>
                  </w:pPr>
                  <w:r>
                    <w:rPr>
                      <w:b/>
                      <w:bCs/>
                      <w:szCs w:val="21"/>
                    </w:rPr>
                    <w:t>工艺</w:t>
                  </w:r>
                </w:p>
              </w:tc>
              <w:tc>
                <w:tcPr>
                  <w:tcW w:w="801" w:type="dxa"/>
                  <w:vMerge w:val="continue"/>
                  <w:tcBorders>
                    <w:tl2br w:val="nil"/>
                    <w:tr2bl w:val="nil"/>
                  </w:tcBorders>
                  <w:vAlign w:val="center"/>
                </w:tcPr>
                <w:p w14:paraId="7432B8C8">
                  <w:pPr>
                    <w:pStyle w:val="26"/>
                    <w:ind w:left="0" w:leftChars="0" w:firstLine="0"/>
                    <w:jc w:val="center"/>
                    <w:rPr>
                      <w:szCs w:val="21"/>
                    </w:rPr>
                  </w:pPr>
                </w:p>
              </w:tc>
            </w:tr>
            <w:tr w14:paraId="6E2BD2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64" w:type="dxa"/>
                  <w:tcBorders>
                    <w:tl2br w:val="nil"/>
                    <w:tr2bl w:val="nil"/>
                  </w:tcBorders>
                  <w:vAlign w:val="center"/>
                </w:tcPr>
                <w:p w14:paraId="4EA0AC8D">
                  <w:pPr>
                    <w:pStyle w:val="26"/>
                    <w:ind w:left="0" w:leftChars="0" w:firstLine="0"/>
                    <w:jc w:val="center"/>
                    <w:rPr>
                      <w:szCs w:val="21"/>
                    </w:rPr>
                  </w:pPr>
                  <w:r>
                    <w:rPr>
                      <w:szCs w:val="21"/>
                    </w:rPr>
                    <w:t>1</w:t>
                  </w:r>
                </w:p>
              </w:tc>
              <w:tc>
                <w:tcPr>
                  <w:tcW w:w="664" w:type="dxa"/>
                  <w:tcBorders>
                    <w:tl2br w:val="nil"/>
                    <w:tr2bl w:val="nil"/>
                  </w:tcBorders>
                  <w:vAlign w:val="center"/>
                </w:tcPr>
                <w:p w14:paraId="05087172">
                  <w:pPr>
                    <w:pStyle w:val="26"/>
                    <w:ind w:left="0" w:leftChars="0" w:firstLine="0"/>
                    <w:jc w:val="center"/>
                    <w:rPr>
                      <w:szCs w:val="21"/>
                    </w:rPr>
                  </w:pPr>
                  <w:r>
                    <w:rPr>
                      <w:rFonts w:hint="eastAsia"/>
                      <w:szCs w:val="21"/>
                    </w:rPr>
                    <w:t>生活污水</w:t>
                  </w:r>
                </w:p>
              </w:tc>
              <w:tc>
                <w:tcPr>
                  <w:tcW w:w="1518" w:type="dxa"/>
                  <w:tcBorders>
                    <w:tl2br w:val="nil"/>
                    <w:tr2bl w:val="nil"/>
                  </w:tcBorders>
                  <w:vAlign w:val="center"/>
                </w:tcPr>
                <w:p w14:paraId="2FF4DC2F">
                  <w:pPr>
                    <w:pStyle w:val="26"/>
                    <w:ind w:left="0" w:leftChars="0" w:firstLine="0"/>
                    <w:jc w:val="center"/>
                    <w:rPr>
                      <w:szCs w:val="21"/>
                    </w:rPr>
                  </w:pPr>
                  <w:r>
                    <w:rPr>
                      <w:szCs w:val="21"/>
                    </w:rPr>
                    <w:t>COD</w:t>
                  </w:r>
                  <w:r>
                    <w:rPr>
                      <w:szCs w:val="21"/>
                      <w:vertAlign w:val="subscript"/>
                    </w:rPr>
                    <w:t>Cr</w:t>
                  </w:r>
                  <w:r>
                    <w:rPr>
                      <w:szCs w:val="21"/>
                    </w:rPr>
                    <w:t>、BOD</w:t>
                  </w:r>
                  <w:r>
                    <w:rPr>
                      <w:szCs w:val="21"/>
                      <w:vertAlign w:val="subscript"/>
                    </w:rPr>
                    <w:t>5</w:t>
                  </w:r>
                  <w:r>
                    <w:rPr>
                      <w:szCs w:val="21"/>
                    </w:rPr>
                    <w:t>、SS、</w:t>
                  </w:r>
                  <w:r>
                    <w:rPr>
                      <w:rFonts w:hint="eastAsia"/>
                      <w:kern w:val="0"/>
                      <w:szCs w:val="21"/>
                    </w:rPr>
                    <w:t>NH</w:t>
                  </w:r>
                  <w:r>
                    <w:rPr>
                      <w:rFonts w:hint="eastAsia"/>
                      <w:kern w:val="0"/>
                      <w:szCs w:val="21"/>
                      <w:vertAlign w:val="subscript"/>
                    </w:rPr>
                    <w:t>3</w:t>
                  </w:r>
                  <w:r>
                    <w:rPr>
                      <w:rFonts w:hint="eastAsia"/>
                      <w:kern w:val="0"/>
                      <w:szCs w:val="21"/>
                    </w:rPr>
                    <w:t>-N、TP、TN</w:t>
                  </w:r>
                </w:p>
              </w:tc>
              <w:tc>
                <w:tcPr>
                  <w:tcW w:w="919" w:type="dxa"/>
                  <w:vMerge w:val="restart"/>
                  <w:tcBorders>
                    <w:tl2br w:val="nil"/>
                    <w:tr2bl w:val="nil"/>
                  </w:tcBorders>
                  <w:vAlign w:val="center"/>
                </w:tcPr>
                <w:p w14:paraId="5FAFD2A3">
                  <w:pPr>
                    <w:pStyle w:val="26"/>
                    <w:ind w:left="0" w:leftChars="0" w:firstLine="0"/>
                    <w:jc w:val="center"/>
                    <w:rPr>
                      <w:szCs w:val="21"/>
                    </w:rPr>
                  </w:pPr>
                  <w:r>
                    <w:rPr>
                      <w:color w:val="000000"/>
                      <w:kern w:val="0"/>
                      <w:szCs w:val="21"/>
                      <w:lang w:bidi="ar"/>
                    </w:rPr>
                    <w:t>达州市第二</w:t>
                  </w:r>
                  <w:r>
                    <w:rPr>
                      <w:rFonts w:hint="eastAsia"/>
                      <w:color w:val="000000"/>
                      <w:kern w:val="0"/>
                      <w:szCs w:val="21"/>
                      <w:lang w:bidi="ar"/>
                    </w:rPr>
                    <w:t>城市生活</w:t>
                  </w:r>
                  <w:r>
                    <w:rPr>
                      <w:color w:val="000000"/>
                      <w:kern w:val="0"/>
                      <w:szCs w:val="21"/>
                      <w:lang w:bidi="ar"/>
                    </w:rPr>
                    <w:t>污水处理厂</w:t>
                  </w:r>
                </w:p>
              </w:tc>
              <w:tc>
                <w:tcPr>
                  <w:tcW w:w="628" w:type="dxa"/>
                  <w:vMerge w:val="restart"/>
                  <w:tcBorders>
                    <w:tl2br w:val="nil"/>
                    <w:tr2bl w:val="nil"/>
                  </w:tcBorders>
                  <w:vAlign w:val="center"/>
                </w:tcPr>
                <w:p w14:paraId="77308FB4">
                  <w:pPr>
                    <w:pStyle w:val="26"/>
                    <w:ind w:left="0" w:leftChars="0" w:firstLine="0"/>
                    <w:jc w:val="center"/>
                    <w:rPr>
                      <w:szCs w:val="21"/>
                    </w:rPr>
                  </w:pPr>
                  <w:r>
                    <w:rPr>
                      <w:szCs w:val="21"/>
                    </w:rPr>
                    <w:t>间歇排放</w:t>
                  </w:r>
                </w:p>
              </w:tc>
              <w:tc>
                <w:tcPr>
                  <w:tcW w:w="1569" w:type="dxa"/>
                  <w:tcBorders>
                    <w:tl2br w:val="nil"/>
                    <w:tr2bl w:val="nil"/>
                  </w:tcBorders>
                  <w:vAlign w:val="center"/>
                </w:tcPr>
                <w:p w14:paraId="1D05DA17">
                  <w:pPr>
                    <w:pStyle w:val="26"/>
                    <w:ind w:left="0" w:leftChars="0" w:firstLine="0"/>
                    <w:jc w:val="center"/>
                    <w:rPr>
                      <w:szCs w:val="21"/>
                    </w:rPr>
                  </w:pPr>
                  <w:r>
                    <w:rPr>
                      <w:rFonts w:hint="eastAsia"/>
                      <w:szCs w:val="21"/>
                    </w:rPr>
                    <w:t>TW001</w:t>
                  </w:r>
                </w:p>
              </w:tc>
              <w:tc>
                <w:tcPr>
                  <w:tcW w:w="964" w:type="dxa"/>
                  <w:tcBorders>
                    <w:tl2br w:val="nil"/>
                    <w:tr2bl w:val="nil"/>
                  </w:tcBorders>
                  <w:vAlign w:val="center"/>
                </w:tcPr>
                <w:p w14:paraId="048C54D7">
                  <w:pPr>
                    <w:pStyle w:val="26"/>
                    <w:ind w:left="0" w:leftChars="0" w:firstLine="0"/>
                    <w:jc w:val="center"/>
                    <w:rPr>
                      <w:szCs w:val="21"/>
                    </w:rPr>
                  </w:pPr>
                  <w:r>
                    <w:rPr>
                      <w:rFonts w:hint="eastAsia"/>
                      <w:szCs w:val="21"/>
                    </w:rPr>
                    <w:t>化粪池</w:t>
                  </w:r>
                </w:p>
              </w:tc>
              <w:tc>
                <w:tcPr>
                  <w:tcW w:w="761" w:type="dxa"/>
                  <w:tcBorders>
                    <w:tl2br w:val="nil"/>
                    <w:tr2bl w:val="nil"/>
                  </w:tcBorders>
                  <w:vAlign w:val="center"/>
                </w:tcPr>
                <w:p w14:paraId="169F5D3A">
                  <w:pPr>
                    <w:pStyle w:val="26"/>
                    <w:ind w:left="0" w:leftChars="0" w:firstLine="0"/>
                    <w:jc w:val="center"/>
                    <w:rPr>
                      <w:szCs w:val="21"/>
                    </w:rPr>
                  </w:pPr>
                  <w:r>
                    <w:rPr>
                      <w:rFonts w:hint="eastAsia"/>
                      <w:szCs w:val="21"/>
                    </w:rPr>
                    <w:t>厌氧、沉淀</w:t>
                  </w:r>
                </w:p>
              </w:tc>
              <w:tc>
                <w:tcPr>
                  <w:tcW w:w="801" w:type="dxa"/>
                  <w:tcBorders>
                    <w:tl2br w:val="nil"/>
                    <w:tr2bl w:val="nil"/>
                  </w:tcBorders>
                  <w:vAlign w:val="center"/>
                </w:tcPr>
                <w:p w14:paraId="7AC8387B">
                  <w:pPr>
                    <w:pStyle w:val="26"/>
                    <w:ind w:left="0" w:leftChars="0" w:firstLine="0"/>
                    <w:jc w:val="center"/>
                    <w:rPr>
                      <w:szCs w:val="21"/>
                    </w:rPr>
                  </w:pPr>
                  <w:r>
                    <w:rPr>
                      <w:rFonts w:hint="eastAsia"/>
                      <w:szCs w:val="21"/>
                    </w:rPr>
                    <w:t>是</w:t>
                  </w:r>
                </w:p>
              </w:tc>
            </w:tr>
            <w:tr w14:paraId="1903D2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64" w:type="dxa"/>
                  <w:tcBorders>
                    <w:tl2br w:val="nil"/>
                    <w:tr2bl w:val="nil"/>
                  </w:tcBorders>
                  <w:vAlign w:val="center"/>
                </w:tcPr>
                <w:p w14:paraId="223D0FD6">
                  <w:pPr>
                    <w:pStyle w:val="26"/>
                    <w:ind w:left="0" w:leftChars="0" w:firstLine="0"/>
                    <w:jc w:val="center"/>
                    <w:rPr>
                      <w:szCs w:val="21"/>
                    </w:rPr>
                  </w:pPr>
                  <w:r>
                    <w:rPr>
                      <w:rFonts w:hint="eastAsia"/>
                      <w:szCs w:val="21"/>
                    </w:rPr>
                    <w:t>2</w:t>
                  </w:r>
                </w:p>
              </w:tc>
              <w:tc>
                <w:tcPr>
                  <w:tcW w:w="664" w:type="dxa"/>
                  <w:tcBorders>
                    <w:tl2br w:val="nil"/>
                    <w:tr2bl w:val="nil"/>
                  </w:tcBorders>
                  <w:vAlign w:val="center"/>
                </w:tcPr>
                <w:p w14:paraId="1B953D04">
                  <w:pPr>
                    <w:pStyle w:val="26"/>
                    <w:ind w:left="0" w:leftChars="0" w:firstLine="0"/>
                    <w:jc w:val="center"/>
                    <w:rPr>
                      <w:szCs w:val="21"/>
                    </w:rPr>
                  </w:pPr>
                  <w:r>
                    <w:rPr>
                      <w:rFonts w:hint="eastAsia"/>
                      <w:kern w:val="0"/>
                      <w:szCs w:val="21"/>
                    </w:rPr>
                    <w:t>生产废水</w:t>
                  </w:r>
                </w:p>
              </w:tc>
              <w:tc>
                <w:tcPr>
                  <w:tcW w:w="1518" w:type="dxa"/>
                  <w:tcBorders>
                    <w:tl2br w:val="nil"/>
                    <w:tr2bl w:val="nil"/>
                  </w:tcBorders>
                  <w:vAlign w:val="center"/>
                </w:tcPr>
                <w:p w14:paraId="475285BD">
                  <w:pPr>
                    <w:pStyle w:val="26"/>
                    <w:ind w:left="0" w:leftChars="0" w:firstLine="0"/>
                    <w:jc w:val="center"/>
                    <w:rPr>
                      <w:szCs w:val="21"/>
                    </w:rPr>
                  </w:pPr>
                  <w:r>
                    <w:rPr>
                      <w:szCs w:val="21"/>
                    </w:rPr>
                    <w:t>COD</w:t>
                  </w:r>
                  <w:r>
                    <w:rPr>
                      <w:szCs w:val="21"/>
                      <w:vertAlign w:val="subscript"/>
                    </w:rPr>
                    <w:t>Cr</w:t>
                  </w:r>
                  <w:r>
                    <w:rPr>
                      <w:szCs w:val="21"/>
                    </w:rPr>
                    <w:t>、BOD</w:t>
                  </w:r>
                  <w:r>
                    <w:rPr>
                      <w:szCs w:val="21"/>
                      <w:vertAlign w:val="subscript"/>
                    </w:rPr>
                    <w:t>5</w:t>
                  </w:r>
                  <w:r>
                    <w:rPr>
                      <w:szCs w:val="21"/>
                    </w:rPr>
                    <w:t>、SS、</w:t>
                  </w:r>
                  <w:r>
                    <w:rPr>
                      <w:rFonts w:hint="eastAsia"/>
                      <w:kern w:val="0"/>
                      <w:szCs w:val="21"/>
                    </w:rPr>
                    <w:t>NH</w:t>
                  </w:r>
                  <w:r>
                    <w:rPr>
                      <w:rFonts w:hint="eastAsia"/>
                      <w:kern w:val="0"/>
                      <w:szCs w:val="21"/>
                      <w:vertAlign w:val="subscript"/>
                    </w:rPr>
                    <w:t>3</w:t>
                  </w:r>
                  <w:r>
                    <w:rPr>
                      <w:rFonts w:hint="eastAsia"/>
                      <w:kern w:val="0"/>
                      <w:szCs w:val="21"/>
                    </w:rPr>
                    <w:t>-N、TP、TN、动植物油</w:t>
                  </w:r>
                </w:p>
              </w:tc>
              <w:tc>
                <w:tcPr>
                  <w:tcW w:w="919" w:type="dxa"/>
                  <w:vMerge w:val="continue"/>
                  <w:tcBorders>
                    <w:tl2br w:val="nil"/>
                    <w:tr2bl w:val="nil"/>
                  </w:tcBorders>
                  <w:vAlign w:val="center"/>
                </w:tcPr>
                <w:p w14:paraId="43E181D8">
                  <w:pPr>
                    <w:pStyle w:val="26"/>
                    <w:ind w:left="0" w:leftChars="0" w:firstLine="0"/>
                    <w:jc w:val="center"/>
                    <w:rPr>
                      <w:szCs w:val="21"/>
                    </w:rPr>
                  </w:pPr>
                </w:p>
              </w:tc>
              <w:tc>
                <w:tcPr>
                  <w:tcW w:w="628" w:type="dxa"/>
                  <w:vMerge w:val="continue"/>
                  <w:tcBorders>
                    <w:tl2br w:val="nil"/>
                    <w:tr2bl w:val="nil"/>
                  </w:tcBorders>
                  <w:vAlign w:val="center"/>
                </w:tcPr>
                <w:p w14:paraId="3D3F21AC">
                  <w:pPr>
                    <w:pStyle w:val="26"/>
                    <w:ind w:left="0" w:leftChars="0" w:firstLine="0"/>
                    <w:jc w:val="center"/>
                    <w:rPr>
                      <w:szCs w:val="21"/>
                    </w:rPr>
                  </w:pPr>
                </w:p>
              </w:tc>
              <w:tc>
                <w:tcPr>
                  <w:tcW w:w="1569" w:type="dxa"/>
                  <w:tcBorders>
                    <w:tl2br w:val="nil"/>
                    <w:tr2bl w:val="nil"/>
                  </w:tcBorders>
                  <w:vAlign w:val="center"/>
                </w:tcPr>
                <w:p w14:paraId="39FB9408">
                  <w:pPr>
                    <w:pStyle w:val="26"/>
                    <w:ind w:left="0" w:leftChars="0" w:firstLine="0"/>
                    <w:jc w:val="center"/>
                    <w:rPr>
                      <w:szCs w:val="21"/>
                    </w:rPr>
                  </w:pPr>
                  <w:r>
                    <w:rPr>
                      <w:rFonts w:hint="eastAsia"/>
                      <w:szCs w:val="21"/>
                    </w:rPr>
                    <w:t>TW002</w:t>
                  </w:r>
                </w:p>
              </w:tc>
              <w:tc>
                <w:tcPr>
                  <w:tcW w:w="964" w:type="dxa"/>
                  <w:tcBorders>
                    <w:tl2br w:val="nil"/>
                    <w:tr2bl w:val="nil"/>
                  </w:tcBorders>
                  <w:vAlign w:val="center"/>
                </w:tcPr>
                <w:p w14:paraId="036ADADD">
                  <w:pPr>
                    <w:pStyle w:val="26"/>
                    <w:ind w:left="0" w:leftChars="0" w:firstLine="0"/>
                    <w:jc w:val="center"/>
                    <w:rPr>
                      <w:szCs w:val="21"/>
                    </w:rPr>
                  </w:pPr>
                  <w:r>
                    <w:rPr>
                      <w:rFonts w:hint="eastAsia"/>
                      <w:szCs w:val="21"/>
                    </w:rPr>
                    <w:t>一体化污水处理设备</w:t>
                  </w:r>
                </w:p>
              </w:tc>
              <w:tc>
                <w:tcPr>
                  <w:tcW w:w="761" w:type="dxa"/>
                  <w:tcBorders>
                    <w:tl2br w:val="nil"/>
                    <w:tr2bl w:val="nil"/>
                  </w:tcBorders>
                  <w:vAlign w:val="center"/>
                </w:tcPr>
                <w:p w14:paraId="355B0F9A">
                  <w:pPr>
                    <w:pStyle w:val="26"/>
                    <w:ind w:left="0" w:leftChars="0" w:firstLine="0"/>
                    <w:jc w:val="center"/>
                    <w:rPr>
                      <w:szCs w:val="21"/>
                    </w:rPr>
                  </w:pPr>
                  <w:r>
                    <w:rPr>
                      <w:rFonts w:hint="eastAsia"/>
                      <w:szCs w:val="21"/>
                    </w:rPr>
                    <w:t>预处理+</w:t>
                  </w:r>
                  <w:r>
                    <w:rPr>
                      <w:rFonts w:hint="eastAsia"/>
                      <w:szCs w:val="21"/>
                      <w:lang w:val="zh-CN"/>
                    </w:rPr>
                    <w:t>二级</w:t>
                  </w:r>
                  <w:r>
                    <w:rPr>
                      <w:rFonts w:hint="eastAsia"/>
                      <w:szCs w:val="21"/>
                    </w:rPr>
                    <w:t>AO</w:t>
                  </w:r>
                  <w:r>
                    <w:rPr>
                      <w:rFonts w:hint="eastAsia"/>
                      <w:szCs w:val="21"/>
                      <w:lang w:val="zh-CN"/>
                    </w:rPr>
                    <w:t xml:space="preserve"> +UF超滤</w:t>
                  </w:r>
                </w:p>
              </w:tc>
              <w:tc>
                <w:tcPr>
                  <w:tcW w:w="801" w:type="dxa"/>
                  <w:tcBorders>
                    <w:tl2br w:val="nil"/>
                    <w:tr2bl w:val="nil"/>
                  </w:tcBorders>
                  <w:vAlign w:val="center"/>
                </w:tcPr>
                <w:p w14:paraId="01724D15">
                  <w:pPr>
                    <w:pStyle w:val="26"/>
                    <w:ind w:left="0" w:leftChars="0" w:firstLine="0"/>
                    <w:jc w:val="center"/>
                    <w:rPr>
                      <w:szCs w:val="21"/>
                    </w:rPr>
                  </w:pPr>
                  <w:r>
                    <w:rPr>
                      <w:rFonts w:hint="eastAsia"/>
                      <w:szCs w:val="21"/>
                    </w:rPr>
                    <w:t>是</w:t>
                  </w:r>
                </w:p>
              </w:tc>
            </w:tr>
          </w:tbl>
          <w:p w14:paraId="42B72672">
            <w:pPr>
              <w:widowControl/>
              <w:spacing w:before="120" w:beforeLines="50" w:line="360" w:lineRule="auto"/>
              <w:ind w:firstLine="482" w:firstLineChars="200"/>
              <w:jc w:val="left"/>
              <w:rPr>
                <w:b/>
                <w:bCs/>
                <w:color w:val="000000"/>
                <w:kern w:val="0"/>
                <w:sz w:val="24"/>
                <w:lang w:bidi="ar"/>
              </w:rPr>
            </w:pPr>
            <w:r>
              <w:rPr>
                <w:rFonts w:hint="eastAsia"/>
                <w:b/>
                <w:bCs/>
                <w:color w:val="000000"/>
                <w:kern w:val="0"/>
                <w:sz w:val="24"/>
                <w:lang w:bidi="ar"/>
              </w:rPr>
              <w:t>②排放口基本信息</w:t>
            </w:r>
          </w:p>
          <w:p w14:paraId="074ACDB4">
            <w:pPr>
              <w:jc w:val="center"/>
              <w:rPr>
                <w:b/>
                <w:bCs/>
                <w:szCs w:val="21"/>
              </w:rPr>
            </w:pPr>
            <w:r>
              <w:rPr>
                <w:b/>
                <w:bCs/>
                <w:szCs w:val="21"/>
              </w:rPr>
              <w:t>表</w:t>
            </w:r>
            <w:r>
              <w:rPr>
                <w:rFonts w:hint="eastAsia"/>
                <w:b/>
                <w:bCs/>
                <w:szCs w:val="21"/>
              </w:rPr>
              <w:t>4</w:t>
            </w:r>
            <w:r>
              <w:rPr>
                <w:b/>
                <w:bCs/>
                <w:szCs w:val="21"/>
              </w:rPr>
              <w:t>-</w:t>
            </w:r>
            <w:r>
              <w:rPr>
                <w:rFonts w:hint="eastAsia"/>
                <w:b/>
                <w:bCs/>
                <w:szCs w:val="21"/>
              </w:rPr>
              <w:t>15   排放口基本情况表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070"/>
              <w:gridCol w:w="567"/>
              <w:gridCol w:w="1029"/>
              <w:gridCol w:w="567"/>
              <w:gridCol w:w="881"/>
              <w:gridCol w:w="612"/>
              <w:gridCol w:w="612"/>
              <w:gridCol w:w="474"/>
            </w:tblGrid>
            <w:tr w14:paraId="6673E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57" w:type="dxa"/>
                  <w:vMerge w:val="restart"/>
                  <w:tcBorders>
                    <w:tl2br w:val="nil"/>
                    <w:tr2bl w:val="nil"/>
                  </w:tcBorders>
                  <w:vAlign w:val="center"/>
                </w:tcPr>
                <w:p w14:paraId="5BC22BEF">
                  <w:pPr>
                    <w:adjustRightInd w:val="0"/>
                    <w:snapToGrid w:val="0"/>
                    <w:spacing w:line="25" w:lineRule="atLeast"/>
                    <w:jc w:val="center"/>
                    <w:rPr>
                      <w:b/>
                      <w:bCs/>
                      <w:kern w:val="0"/>
                      <w:szCs w:val="21"/>
                    </w:rPr>
                  </w:pPr>
                  <w:r>
                    <w:rPr>
                      <w:rFonts w:hint="eastAsia"/>
                      <w:b/>
                      <w:bCs/>
                      <w:kern w:val="0"/>
                      <w:szCs w:val="21"/>
                    </w:rPr>
                    <w:t>产污环节</w:t>
                  </w:r>
                </w:p>
              </w:tc>
              <w:tc>
                <w:tcPr>
                  <w:tcW w:w="2075" w:type="dxa"/>
                  <w:vMerge w:val="restart"/>
                  <w:tcBorders>
                    <w:tl2br w:val="nil"/>
                    <w:tr2bl w:val="nil"/>
                  </w:tcBorders>
                  <w:vAlign w:val="center"/>
                </w:tcPr>
                <w:p w14:paraId="431C5CD8">
                  <w:pPr>
                    <w:adjustRightInd w:val="0"/>
                    <w:snapToGrid w:val="0"/>
                    <w:spacing w:line="25" w:lineRule="atLeast"/>
                    <w:jc w:val="center"/>
                    <w:rPr>
                      <w:b/>
                      <w:bCs/>
                      <w:kern w:val="0"/>
                      <w:szCs w:val="21"/>
                    </w:rPr>
                  </w:pPr>
                  <w:r>
                    <w:rPr>
                      <w:rFonts w:hint="eastAsia"/>
                      <w:b/>
                      <w:bCs/>
                      <w:kern w:val="0"/>
                      <w:szCs w:val="21"/>
                    </w:rPr>
                    <w:t>类别</w:t>
                  </w:r>
                </w:p>
              </w:tc>
              <w:tc>
                <w:tcPr>
                  <w:tcW w:w="567" w:type="dxa"/>
                  <w:vMerge w:val="restart"/>
                  <w:tcBorders>
                    <w:tl2br w:val="nil"/>
                    <w:tr2bl w:val="nil"/>
                  </w:tcBorders>
                  <w:vAlign w:val="center"/>
                </w:tcPr>
                <w:p w14:paraId="3222AF53">
                  <w:pPr>
                    <w:adjustRightInd w:val="0"/>
                    <w:snapToGrid w:val="0"/>
                    <w:spacing w:line="25" w:lineRule="atLeast"/>
                    <w:jc w:val="center"/>
                    <w:rPr>
                      <w:b/>
                      <w:bCs/>
                      <w:kern w:val="0"/>
                      <w:szCs w:val="21"/>
                    </w:rPr>
                  </w:pPr>
                  <w:r>
                    <w:rPr>
                      <w:rFonts w:hint="eastAsia"/>
                      <w:b/>
                      <w:bCs/>
                      <w:kern w:val="0"/>
                      <w:szCs w:val="21"/>
                    </w:rPr>
                    <w:t>排放方式</w:t>
                  </w:r>
                </w:p>
              </w:tc>
              <w:tc>
                <w:tcPr>
                  <w:tcW w:w="1031" w:type="dxa"/>
                  <w:vMerge w:val="restart"/>
                  <w:tcBorders>
                    <w:tl2br w:val="nil"/>
                    <w:tr2bl w:val="nil"/>
                  </w:tcBorders>
                  <w:vAlign w:val="center"/>
                </w:tcPr>
                <w:p w14:paraId="77ACC95B">
                  <w:pPr>
                    <w:adjustRightInd w:val="0"/>
                    <w:snapToGrid w:val="0"/>
                    <w:spacing w:line="25" w:lineRule="atLeast"/>
                    <w:jc w:val="center"/>
                    <w:rPr>
                      <w:b/>
                      <w:bCs/>
                      <w:kern w:val="0"/>
                      <w:szCs w:val="21"/>
                      <w:vertAlign w:val="superscript"/>
                    </w:rPr>
                  </w:pPr>
                  <w:r>
                    <w:rPr>
                      <w:rFonts w:hint="eastAsia"/>
                      <w:b/>
                      <w:bCs/>
                      <w:kern w:val="0"/>
                      <w:szCs w:val="21"/>
                    </w:rPr>
                    <w:t>排放去向</w:t>
                  </w:r>
                </w:p>
              </w:tc>
              <w:tc>
                <w:tcPr>
                  <w:tcW w:w="567" w:type="dxa"/>
                  <w:vMerge w:val="restart"/>
                  <w:tcBorders>
                    <w:tl2br w:val="nil"/>
                    <w:tr2bl w:val="nil"/>
                  </w:tcBorders>
                  <w:vAlign w:val="center"/>
                </w:tcPr>
                <w:p w14:paraId="3AB5AFD4">
                  <w:pPr>
                    <w:adjustRightInd w:val="0"/>
                    <w:snapToGrid w:val="0"/>
                    <w:spacing w:line="25" w:lineRule="atLeast"/>
                    <w:jc w:val="center"/>
                    <w:rPr>
                      <w:b/>
                      <w:bCs/>
                      <w:kern w:val="0"/>
                      <w:szCs w:val="21"/>
                    </w:rPr>
                  </w:pPr>
                  <w:r>
                    <w:rPr>
                      <w:rFonts w:hint="eastAsia"/>
                      <w:b/>
                      <w:bCs/>
                      <w:kern w:val="0"/>
                      <w:szCs w:val="21"/>
                    </w:rPr>
                    <w:t>排放规律</w:t>
                  </w:r>
                </w:p>
              </w:tc>
              <w:tc>
                <w:tcPr>
                  <w:tcW w:w="2581" w:type="dxa"/>
                  <w:gridSpan w:val="4"/>
                  <w:tcBorders>
                    <w:tl2br w:val="nil"/>
                    <w:tr2bl w:val="nil"/>
                  </w:tcBorders>
                  <w:vAlign w:val="center"/>
                </w:tcPr>
                <w:p w14:paraId="672736F3">
                  <w:pPr>
                    <w:adjustRightInd w:val="0"/>
                    <w:snapToGrid w:val="0"/>
                    <w:spacing w:line="25" w:lineRule="atLeast"/>
                    <w:jc w:val="center"/>
                    <w:rPr>
                      <w:b/>
                      <w:bCs/>
                      <w:kern w:val="0"/>
                      <w:szCs w:val="21"/>
                    </w:rPr>
                  </w:pPr>
                  <w:r>
                    <w:rPr>
                      <w:rFonts w:hint="eastAsia"/>
                      <w:b/>
                      <w:bCs/>
                      <w:kern w:val="0"/>
                      <w:szCs w:val="21"/>
                    </w:rPr>
                    <w:t>排放口情况</w:t>
                  </w:r>
                </w:p>
              </w:tc>
            </w:tr>
            <w:tr w14:paraId="74DB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57" w:type="dxa"/>
                  <w:vMerge w:val="continue"/>
                  <w:tcBorders>
                    <w:tl2br w:val="nil"/>
                    <w:tr2bl w:val="nil"/>
                  </w:tcBorders>
                  <w:vAlign w:val="center"/>
                </w:tcPr>
                <w:p w14:paraId="07828164">
                  <w:pPr>
                    <w:adjustRightInd w:val="0"/>
                    <w:snapToGrid w:val="0"/>
                    <w:spacing w:line="25" w:lineRule="atLeast"/>
                    <w:jc w:val="center"/>
                    <w:rPr>
                      <w:kern w:val="0"/>
                      <w:szCs w:val="21"/>
                    </w:rPr>
                  </w:pPr>
                </w:p>
              </w:tc>
              <w:tc>
                <w:tcPr>
                  <w:tcW w:w="2075" w:type="dxa"/>
                  <w:vMerge w:val="continue"/>
                  <w:tcBorders>
                    <w:tl2br w:val="nil"/>
                    <w:tr2bl w:val="nil"/>
                  </w:tcBorders>
                  <w:vAlign w:val="center"/>
                </w:tcPr>
                <w:p w14:paraId="34AA9AAB">
                  <w:pPr>
                    <w:adjustRightInd w:val="0"/>
                    <w:snapToGrid w:val="0"/>
                    <w:spacing w:line="25" w:lineRule="atLeast"/>
                    <w:jc w:val="center"/>
                    <w:rPr>
                      <w:kern w:val="0"/>
                      <w:szCs w:val="21"/>
                    </w:rPr>
                  </w:pPr>
                </w:p>
              </w:tc>
              <w:tc>
                <w:tcPr>
                  <w:tcW w:w="567" w:type="dxa"/>
                  <w:vMerge w:val="continue"/>
                  <w:tcBorders>
                    <w:tl2br w:val="nil"/>
                    <w:tr2bl w:val="nil"/>
                  </w:tcBorders>
                  <w:vAlign w:val="center"/>
                </w:tcPr>
                <w:p w14:paraId="0FFC5496">
                  <w:pPr>
                    <w:adjustRightInd w:val="0"/>
                    <w:snapToGrid w:val="0"/>
                    <w:spacing w:line="25" w:lineRule="atLeast"/>
                    <w:jc w:val="center"/>
                    <w:rPr>
                      <w:kern w:val="0"/>
                      <w:szCs w:val="21"/>
                    </w:rPr>
                  </w:pPr>
                </w:p>
              </w:tc>
              <w:tc>
                <w:tcPr>
                  <w:tcW w:w="1031" w:type="dxa"/>
                  <w:vMerge w:val="continue"/>
                  <w:tcBorders>
                    <w:tl2br w:val="nil"/>
                    <w:tr2bl w:val="nil"/>
                  </w:tcBorders>
                  <w:vAlign w:val="center"/>
                </w:tcPr>
                <w:p w14:paraId="5E45B663">
                  <w:pPr>
                    <w:widowControl/>
                    <w:jc w:val="center"/>
                    <w:rPr>
                      <w:kern w:val="0"/>
                      <w:szCs w:val="21"/>
                    </w:rPr>
                  </w:pPr>
                </w:p>
              </w:tc>
              <w:tc>
                <w:tcPr>
                  <w:tcW w:w="567" w:type="dxa"/>
                  <w:vMerge w:val="continue"/>
                  <w:tcBorders>
                    <w:tl2br w:val="nil"/>
                    <w:tr2bl w:val="nil"/>
                  </w:tcBorders>
                  <w:vAlign w:val="center"/>
                </w:tcPr>
                <w:p w14:paraId="3372E123">
                  <w:pPr>
                    <w:widowControl/>
                    <w:jc w:val="center"/>
                    <w:rPr>
                      <w:kern w:val="0"/>
                      <w:szCs w:val="21"/>
                    </w:rPr>
                  </w:pPr>
                </w:p>
              </w:tc>
              <w:tc>
                <w:tcPr>
                  <w:tcW w:w="881" w:type="dxa"/>
                  <w:tcBorders>
                    <w:tl2br w:val="nil"/>
                    <w:tr2bl w:val="nil"/>
                  </w:tcBorders>
                  <w:vAlign w:val="center"/>
                </w:tcPr>
                <w:p w14:paraId="5933C824">
                  <w:pPr>
                    <w:jc w:val="center"/>
                    <w:rPr>
                      <w:b/>
                      <w:bCs/>
                      <w:szCs w:val="21"/>
                    </w:rPr>
                  </w:pPr>
                  <w:r>
                    <w:rPr>
                      <w:rFonts w:hint="eastAsia"/>
                      <w:b/>
                      <w:bCs/>
                      <w:szCs w:val="21"/>
                    </w:rPr>
                    <w:t>编号</w:t>
                  </w:r>
                </w:p>
              </w:tc>
              <w:tc>
                <w:tcPr>
                  <w:tcW w:w="613" w:type="dxa"/>
                  <w:tcBorders>
                    <w:tl2br w:val="nil"/>
                    <w:tr2bl w:val="nil"/>
                  </w:tcBorders>
                  <w:vAlign w:val="center"/>
                </w:tcPr>
                <w:p w14:paraId="3291F169">
                  <w:pPr>
                    <w:widowControl/>
                    <w:jc w:val="center"/>
                    <w:rPr>
                      <w:b/>
                      <w:bCs/>
                      <w:kern w:val="0"/>
                      <w:szCs w:val="21"/>
                    </w:rPr>
                  </w:pPr>
                  <w:r>
                    <w:rPr>
                      <w:rFonts w:hint="eastAsia"/>
                      <w:b/>
                      <w:bCs/>
                      <w:kern w:val="0"/>
                      <w:szCs w:val="21"/>
                    </w:rPr>
                    <w:t>名称</w:t>
                  </w:r>
                </w:p>
              </w:tc>
              <w:tc>
                <w:tcPr>
                  <w:tcW w:w="613" w:type="dxa"/>
                  <w:tcBorders>
                    <w:tl2br w:val="nil"/>
                    <w:tr2bl w:val="nil"/>
                  </w:tcBorders>
                  <w:vAlign w:val="center"/>
                </w:tcPr>
                <w:p w14:paraId="23E704F0">
                  <w:pPr>
                    <w:widowControl/>
                    <w:jc w:val="center"/>
                    <w:rPr>
                      <w:b/>
                      <w:bCs/>
                      <w:kern w:val="0"/>
                      <w:szCs w:val="21"/>
                    </w:rPr>
                  </w:pPr>
                  <w:r>
                    <w:rPr>
                      <w:rFonts w:hint="eastAsia"/>
                      <w:b/>
                      <w:bCs/>
                      <w:kern w:val="0"/>
                      <w:szCs w:val="21"/>
                    </w:rPr>
                    <w:t>类型</w:t>
                  </w:r>
                </w:p>
              </w:tc>
              <w:tc>
                <w:tcPr>
                  <w:tcW w:w="474" w:type="dxa"/>
                  <w:tcBorders>
                    <w:tl2br w:val="nil"/>
                    <w:tr2bl w:val="nil"/>
                  </w:tcBorders>
                  <w:vAlign w:val="center"/>
                </w:tcPr>
                <w:p w14:paraId="70B54313">
                  <w:pPr>
                    <w:widowControl/>
                    <w:jc w:val="center"/>
                    <w:rPr>
                      <w:b/>
                      <w:bCs/>
                      <w:kern w:val="0"/>
                      <w:szCs w:val="21"/>
                    </w:rPr>
                  </w:pPr>
                  <w:r>
                    <w:rPr>
                      <w:rFonts w:hint="eastAsia"/>
                      <w:b/>
                      <w:bCs/>
                      <w:kern w:val="0"/>
                      <w:szCs w:val="21"/>
                    </w:rPr>
                    <w:t>坐标</w:t>
                  </w:r>
                </w:p>
              </w:tc>
            </w:tr>
            <w:tr w14:paraId="5C370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57" w:type="dxa"/>
                  <w:tcBorders>
                    <w:tl2br w:val="nil"/>
                    <w:tr2bl w:val="nil"/>
                  </w:tcBorders>
                  <w:vAlign w:val="center"/>
                </w:tcPr>
                <w:p w14:paraId="18302937">
                  <w:pPr>
                    <w:adjustRightInd w:val="0"/>
                    <w:snapToGrid w:val="0"/>
                    <w:spacing w:line="25" w:lineRule="atLeast"/>
                    <w:jc w:val="center"/>
                    <w:rPr>
                      <w:kern w:val="0"/>
                      <w:szCs w:val="21"/>
                    </w:rPr>
                  </w:pPr>
                  <w:r>
                    <w:rPr>
                      <w:rFonts w:hint="eastAsia"/>
                      <w:kern w:val="0"/>
                      <w:szCs w:val="21"/>
                    </w:rPr>
                    <w:t>办公生活</w:t>
                  </w:r>
                </w:p>
              </w:tc>
              <w:tc>
                <w:tcPr>
                  <w:tcW w:w="2075" w:type="dxa"/>
                  <w:tcBorders>
                    <w:tl2br w:val="nil"/>
                    <w:tr2bl w:val="nil"/>
                  </w:tcBorders>
                  <w:vAlign w:val="center"/>
                </w:tcPr>
                <w:p w14:paraId="0AA9E78B">
                  <w:pPr>
                    <w:adjustRightInd w:val="0"/>
                    <w:snapToGrid w:val="0"/>
                    <w:spacing w:line="25" w:lineRule="atLeast"/>
                    <w:jc w:val="center"/>
                    <w:rPr>
                      <w:kern w:val="0"/>
                      <w:szCs w:val="21"/>
                    </w:rPr>
                  </w:pPr>
                  <w:r>
                    <w:rPr>
                      <w:rFonts w:hint="eastAsia"/>
                      <w:kern w:val="0"/>
                      <w:szCs w:val="21"/>
                    </w:rPr>
                    <w:t>生活污水、生产管理用房地面清洁废水</w:t>
                  </w:r>
                </w:p>
              </w:tc>
              <w:tc>
                <w:tcPr>
                  <w:tcW w:w="567" w:type="dxa"/>
                  <w:vMerge w:val="restart"/>
                  <w:tcBorders>
                    <w:tl2br w:val="nil"/>
                    <w:tr2bl w:val="nil"/>
                  </w:tcBorders>
                  <w:vAlign w:val="center"/>
                </w:tcPr>
                <w:p w14:paraId="33247AB1">
                  <w:pPr>
                    <w:adjustRightInd w:val="0"/>
                    <w:snapToGrid w:val="0"/>
                    <w:spacing w:line="25" w:lineRule="atLeast"/>
                    <w:jc w:val="center"/>
                    <w:rPr>
                      <w:kern w:val="0"/>
                      <w:szCs w:val="21"/>
                    </w:rPr>
                  </w:pPr>
                  <w:r>
                    <w:rPr>
                      <w:rFonts w:hint="eastAsia"/>
                      <w:kern w:val="0"/>
                      <w:szCs w:val="21"/>
                    </w:rPr>
                    <w:t>间接排放</w:t>
                  </w:r>
                </w:p>
              </w:tc>
              <w:tc>
                <w:tcPr>
                  <w:tcW w:w="1031" w:type="dxa"/>
                  <w:vMerge w:val="restart"/>
                  <w:tcBorders>
                    <w:tl2br w:val="nil"/>
                    <w:tr2bl w:val="nil"/>
                  </w:tcBorders>
                  <w:vAlign w:val="center"/>
                </w:tcPr>
                <w:p w14:paraId="19839ED0">
                  <w:pPr>
                    <w:widowControl/>
                    <w:jc w:val="center"/>
                    <w:rPr>
                      <w:kern w:val="0"/>
                      <w:szCs w:val="21"/>
                    </w:rPr>
                  </w:pPr>
                  <w:r>
                    <w:rPr>
                      <w:color w:val="000000"/>
                      <w:kern w:val="0"/>
                      <w:szCs w:val="21"/>
                      <w:lang w:bidi="ar"/>
                    </w:rPr>
                    <w:t>达州市第二</w:t>
                  </w:r>
                  <w:r>
                    <w:rPr>
                      <w:rFonts w:hint="eastAsia"/>
                      <w:color w:val="000000"/>
                      <w:kern w:val="0"/>
                      <w:szCs w:val="21"/>
                      <w:lang w:bidi="ar"/>
                    </w:rPr>
                    <w:t>城市生活</w:t>
                  </w:r>
                  <w:r>
                    <w:rPr>
                      <w:color w:val="000000"/>
                      <w:kern w:val="0"/>
                      <w:szCs w:val="21"/>
                      <w:lang w:bidi="ar"/>
                    </w:rPr>
                    <w:t>污水处理厂</w:t>
                  </w:r>
                </w:p>
              </w:tc>
              <w:tc>
                <w:tcPr>
                  <w:tcW w:w="567" w:type="dxa"/>
                  <w:vMerge w:val="restart"/>
                  <w:tcBorders>
                    <w:tl2br w:val="nil"/>
                    <w:tr2bl w:val="nil"/>
                  </w:tcBorders>
                  <w:vAlign w:val="center"/>
                </w:tcPr>
                <w:p w14:paraId="6970421D">
                  <w:pPr>
                    <w:widowControl/>
                    <w:jc w:val="center"/>
                    <w:rPr>
                      <w:kern w:val="0"/>
                      <w:szCs w:val="21"/>
                    </w:rPr>
                  </w:pPr>
                  <w:r>
                    <w:rPr>
                      <w:rFonts w:hint="eastAsia"/>
                      <w:szCs w:val="21"/>
                    </w:rPr>
                    <w:t>间断</w:t>
                  </w:r>
                  <w:r>
                    <w:rPr>
                      <w:szCs w:val="21"/>
                    </w:rPr>
                    <w:t>排放</w:t>
                  </w:r>
                </w:p>
              </w:tc>
              <w:tc>
                <w:tcPr>
                  <w:tcW w:w="881" w:type="dxa"/>
                  <w:vMerge w:val="restart"/>
                  <w:tcBorders>
                    <w:tl2br w:val="nil"/>
                    <w:tr2bl w:val="nil"/>
                  </w:tcBorders>
                  <w:vAlign w:val="center"/>
                </w:tcPr>
                <w:p w14:paraId="12A5475A">
                  <w:pPr>
                    <w:widowControl/>
                    <w:jc w:val="center"/>
                    <w:rPr>
                      <w:kern w:val="0"/>
                      <w:szCs w:val="21"/>
                    </w:rPr>
                  </w:pPr>
                  <w:r>
                    <w:rPr>
                      <w:rFonts w:hint="eastAsia"/>
                      <w:kern w:val="0"/>
                      <w:szCs w:val="21"/>
                    </w:rPr>
                    <w:t>DW001</w:t>
                  </w:r>
                </w:p>
              </w:tc>
              <w:tc>
                <w:tcPr>
                  <w:tcW w:w="613" w:type="dxa"/>
                  <w:vMerge w:val="restart"/>
                  <w:tcBorders>
                    <w:tl2br w:val="nil"/>
                    <w:tr2bl w:val="nil"/>
                  </w:tcBorders>
                  <w:vAlign w:val="center"/>
                </w:tcPr>
                <w:p w14:paraId="69AF01FD">
                  <w:pPr>
                    <w:widowControl/>
                    <w:jc w:val="center"/>
                    <w:rPr>
                      <w:kern w:val="0"/>
                      <w:szCs w:val="21"/>
                    </w:rPr>
                  </w:pPr>
                  <w:r>
                    <w:rPr>
                      <w:rFonts w:hint="eastAsia"/>
                      <w:kern w:val="0"/>
                      <w:szCs w:val="21"/>
                    </w:rPr>
                    <w:t>废水总排口</w:t>
                  </w:r>
                </w:p>
              </w:tc>
              <w:tc>
                <w:tcPr>
                  <w:tcW w:w="613" w:type="dxa"/>
                  <w:vMerge w:val="restart"/>
                  <w:tcBorders>
                    <w:tl2br w:val="nil"/>
                    <w:tr2bl w:val="nil"/>
                  </w:tcBorders>
                  <w:vAlign w:val="center"/>
                </w:tcPr>
                <w:p w14:paraId="79EC2CE2">
                  <w:pPr>
                    <w:widowControl/>
                    <w:jc w:val="center"/>
                    <w:rPr>
                      <w:kern w:val="0"/>
                      <w:szCs w:val="21"/>
                    </w:rPr>
                  </w:pPr>
                  <w:r>
                    <w:rPr>
                      <w:rFonts w:hint="eastAsia"/>
                      <w:kern w:val="0"/>
                      <w:szCs w:val="21"/>
                    </w:rPr>
                    <w:t>一般排放口</w:t>
                  </w:r>
                </w:p>
              </w:tc>
              <w:tc>
                <w:tcPr>
                  <w:tcW w:w="474" w:type="dxa"/>
                  <w:vMerge w:val="restart"/>
                  <w:tcBorders>
                    <w:tl2br w:val="nil"/>
                    <w:tr2bl w:val="nil"/>
                  </w:tcBorders>
                  <w:vAlign w:val="center"/>
                </w:tcPr>
                <w:p w14:paraId="7482E278">
                  <w:pPr>
                    <w:widowControl/>
                    <w:jc w:val="center"/>
                    <w:rPr>
                      <w:kern w:val="0"/>
                      <w:szCs w:val="21"/>
                    </w:rPr>
                  </w:pPr>
                </w:p>
              </w:tc>
            </w:tr>
            <w:tr w14:paraId="6B61F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57" w:type="dxa"/>
                  <w:tcBorders>
                    <w:tl2br w:val="nil"/>
                    <w:tr2bl w:val="nil"/>
                  </w:tcBorders>
                  <w:vAlign w:val="center"/>
                </w:tcPr>
                <w:p w14:paraId="45EAA046">
                  <w:pPr>
                    <w:adjustRightInd w:val="0"/>
                    <w:snapToGrid w:val="0"/>
                    <w:spacing w:line="25" w:lineRule="atLeast"/>
                    <w:jc w:val="center"/>
                    <w:rPr>
                      <w:kern w:val="0"/>
                      <w:szCs w:val="21"/>
                    </w:rPr>
                  </w:pPr>
                  <w:r>
                    <w:rPr>
                      <w:rFonts w:hint="eastAsia"/>
                      <w:kern w:val="0"/>
                      <w:szCs w:val="21"/>
                    </w:rPr>
                    <w:t>压缩、设备冲洗、车辆冲洗、地面冲洗、喷淋除臭系统</w:t>
                  </w:r>
                </w:p>
              </w:tc>
              <w:tc>
                <w:tcPr>
                  <w:tcW w:w="2075" w:type="dxa"/>
                  <w:tcBorders>
                    <w:tl2br w:val="nil"/>
                    <w:tr2bl w:val="nil"/>
                  </w:tcBorders>
                  <w:vAlign w:val="center"/>
                </w:tcPr>
                <w:p w14:paraId="55137518">
                  <w:pPr>
                    <w:adjustRightInd w:val="0"/>
                    <w:snapToGrid w:val="0"/>
                    <w:spacing w:line="25" w:lineRule="atLeast"/>
                    <w:jc w:val="center"/>
                    <w:rPr>
                      <w:kern w:val="0"/>
                      <w:szCs w:val="21"/>
                    </w:rPr>
                  </w:pPr>
                  <w:r>
                    <w:rPr>
                      <w:rFonts w:hint="eastAsia"/>
                      <w:kern w:val="0"/>
                      <w:szCs w:val="21"/>
                    </w:rPr>
                    <w:t>渗滤液、设备冲洗废水、汽车冲洗废水、车间地面清洁废水、喷淋除臭系统废水</w:t>
                  </w:r>
                </w:p>
              </w:tc>
              <w:tc>
                <w:tcPr>
                  <w:tcW w:w="567" w:type="dxa"/>
                  <w:vMerge w:val="continue"/>
                  <w:tcBorders>
                    <w:tl2br w:val="nil"/>
                    <w:tr2bl w:val="nil"/>
                  </w:tcBorders>
                  <w:vAlign w:val="center"/>
                </w:tcPr>
                <w:p w14:paraId="6680077D">
                  <w:pPr>
                    <w:adjustRightInd w:val="0"/>
                    <w:snapToGrid w:val="0"/>
                    <w:spacing w:line="25" w:lineRule="atLeast"/>
                    <w:jc w:val="center"/>
                    <w:rPr>
                      <w:kern w:val="0"/>
                      <w:szCs w:val="21"/>
                    </w:rPr>
                  </w:pPr>
                </w:p>
              </w:tc>
              <w:tc>
                <w:tcPr>
                  <w:tcW w:w="1031" w:type="dxa"/>
                  <w:vMerge w:val="continue"/>
                  <w:tcBorders>
                    <w:tl2br w:val="nil"/>
                    <w:tr2bl w:val="nil"/>
                  </w:tcBorders>
                  <w:vAlign w:val="center"/>
                </w:tcPr>
                <w:p w14:paraId="58AC2438">
                  <w:pPr>
                    <w:widowControl/>
                    <w:jc w:val="center"/>
                    <w:rPr>
                      <w:kern w:val="0"/>
                      <w:szCs w:val="21"/>
                    </w:rPr>
                  </w:pPr>
                </w:p>
              </w:tc>
              <w:tc>
                <w:tcPr>
                  <w:tcW w:w="567" w:type="dxa"/>
                  <w:vMerge w:val="continue"/>
                  <w:tcBorders>
                    <w:tl2br w:val="nil"/>
                    <w:tr2bl w:val="nil"/>
                  </w:tcBorders>
                  <w:vAlign w:val="center"/>
                </w:tcPr>
                <w:p w14:paraId="5EF66211">
                  <w:pPr>
                    <w:widowControl/>
                    <w:jc w:val="center"/>
                    <w:rPr>
                      <w:kern w:val="0"/>
                      <w:szCs w:val="21"/>
                    </w:rPr>
                  </w:pPr>
                </w:p>
              </w:tc>
              <w:tc>
                <w:tcPr>
                  <w:tcW w:w="881" w:type="dxa"/>
                  <w:vMerge w:val="continue"/>
                  <w:tcBorders>
                    <w:tl2br w:val="nil"/>
                    <w:tr2bl w:val="nil"/>
                  </w:tcBorders>
                  <w:vAlign w:val="center"/>
                </w:tcPr>
                <w:p w14:paraId="2D1D0B55">
                  <w:pPr>
                    <w:widowControl/>
                    <w:jc w:val="center"/>
                    <w:rPr>
                      <w:kern w:val="0"/>
                      <w:szCs w:val="21"/>
                    </w:rPr>
                  </w:pPr>
                </w:p>
              </w:tc>
              <w:tc>
                <w:tcPr>
                  <w:tcW w:w="613" w:type="dxa"/>
                  <w:vMerge w:val="continue"/>
                  <w:tcBorders>
                    <w:tl2br w:val="nil"/>
                    <w:tr2bl w:val="nil"/>
                  </w:tcBorders>
                  <w:vAlign w:val="center"/>
                </w:tcPr>
                <w:p w14:paraId="4E487799">
                  <w:pPr>
                    <w:widowControl/>
                    <w:jc w:val="center"/>
                    <w:rPr>
                      <w:kern w:val="0"/>
                      <w:szCs w:val="21"/>
                    </w:rPr>
                  </w:pPr>
                </w:p>
              </w:tc>
              <w:tc>
                <w:tcPr>
                  <w:tcW w:w="613" w:type="dxa"/>
                  <w:vMerge w:val="continue"/>
                  <w:tcBorders>
                    <w:tl2br w:val="nil"/>
                    <w:tr2bl w:val="nil"/>
                  </w:tcBorders>
                  <w:vAlign w:val="center"/>
                </w:tcPr>
                <w:p w14:paraId="4D20F981">
                  <w:pPr>
                    <w:widowControl/>
                    <w:jc w:val="center"/>
                    <w:rPr>
                      <w:kern w:val="0"/>
                      <w:szCs w:val="21"/>
                    </w:rPr>
                  </w:pPr>
                </w:p>
              </w:tc>
              <w:tc>
                <w:tcPr>
                  <w:tcW w:w="474" w:type="dxa"/>
                  <w:vMerge w:val="continue"/>
                  <w:tcBorders>
                    <w:tl2br w:val="nil"/>
                    <w:tr2bl w:val="nil"/>
                  </w:tcBorders>
                  <w:vAlign w:val="center"/>
                </w:tcPr>
                <w:p w14:paraId="0510AA4D">
                  <w:pPr>
                    <w:widowControl/>
                    <w:jc w:val="center"/>
                    <w:rPr>
                      <w:kern w:val="0"/>
                      <w:szCs w:val="21"/>
                    </w:rPr>
                  </w:pPr>
                </w:p>
              </w:tc>
            </w:tr>
          </w:tbl>
          <w:p w14:paraId="28415F95">
            <w:pPr>
              <w:widowControl/>
              <w:numPr>
                <w:ilvl w:val="0"/>
                <w:numId w:val="7"/>
              </w:numPr>
              <w:spacing w:before="120" w:beforeLines="50" w:line="360" w:lineRule="auto"/>
              <w:ind w:firstLine="482" w:firstLineChars="200"/>
              <w:jc w:val="left"/>
              <w:rPr>
                <w:b/>
                <w:bCs/>
                <w:kern w:val="0"/>
                <w:sz w:val="24"/>
                <w:lang w:bidi="ar"/>
              </w:rPr>
            </w:pPr>
            <w:r>
              <w:rPr>
                <w:rFonts w:hint="eastAsia"/>
                <w:b/>
                <w:bCs/>
                <w:kern w:val="0"/>
                <w:sz w:val="24"/>
                <w:lang w:bidi="ar"/>
              </w:rPr>
              <w:t>废水治理措施可行性分析</w:t>
            </w:r>
          </w:p>
          <w:p w14:paraId="6EFCA008">
            <w:pPr>
              <w:pStyle w:val="88"/>
              <w:numPr>
                <w:ilvl w:val="0"/>
                <w:numId w:val="10"/>
              </w:numPr>
              <w:ind w:firstLine="480"/>
            </w:pPr>
            <w:r>
              <w:rPr>
                <w:rFonts w:hint="eastAsia"/>
              </w:rPr>
              <w:t>生活污水、生产管理用房地面清洁废水治理措施可行性</w:t>
            </w:r>
          </w:p>
          <w:p w14:paraId="6C9448FE">
            <w:pPr>
              <w:widowControl/>
              <w:spacing w:line="360" w:lineRule="auto"/>
              <w:ind w:firstLine="480" w:firstLineChars="200"/>
              <w:jc w:val="left"/>
              <w:rPr>
                <w:color w:val="FF0000"/>
                <w:sz w:val="24"/>
              </w:rPr>
            </w:pPr>
            <w:r>
              <w:rPr>
                <w:rFonts w:hint="eastAsia"/>
                <w:sz w:val="24"/>
              </w:rPr>
              <w:t>根据污染源分析，本项目运营后，产生的生活污水和生产管理用房地面清洁废水量为0.78</w:t>
            </w:r>
            <w:r>
              <w:rPr>
                <w:sz w:val="24"/>
              </w:rPr>
              <w:t>m</w:t>
            </w:r>
            <w:r>
              <w:rPr>
                <w:sz w:val="24"/>
                <w:vertAlign w:val="superscript"/>
              </w:rPr>
              <w:t xml:space="preserve">3 </w:t>
            </w:r>
            <w:r>
              <w:rPr>
                <w:sz w:val="24"/>
              </w:rPr>
              <w:t>/d</w:t>
            </w:r>
            <w:r>
              <w:rPr>
                <w:rFonts w:hint="eastAsia"/>
                <w:sz w:val="24"/>
              </w:rPr>
              <w:t>，项目在维保房东侧设置一座容积为50</w:t>
            </w:r>
            <w:r>
              <w:rPr>
                <w:sz w:val="24"/>
              </w:rPr>
              <w:t>m</w:t>
            </w:r>
            <w:r>
              <w:rPr>
                <w:sz w:val="24"/>
                <w:vertAlign w:val="superscript"/>
              </w:rPr>
              <w:t>3</w:t>
            </w:r>
            <w:r>
              <w:rPr>
                <w:rFonts w:hint="eastAsia"/>
                <w:sz w:val="24"/>
              </w:rPr>
              <w:t>的化粪池，生活污水进入化粪池后经过一定时间（停留时间12h）沉淀，去除SS，沉淀的同时在缺氧环境下废水中污染物进行厌氧发酵分解，以达到处理COD、NH</w:t>
            </w:r>
            <w:r>
              <w:rPr>
                <w:rFonts w:hint="eastAsia"/>
                <w:sz w:val="24"/>
                <w:vertAlign w:val="subscript"/>
              </w:rPr>
              <w:t>3</w:t>
            </w:r>
            <w:r>
              <w:rPr>
                <w:rFonts w:hint="eastAsia"/>
                <w:sz w:val="24"/>
              </w:rPr>
              <w:t>-N、TP、BOD</w:t>
            </w:r>
            <w:r>
              <w:rPr>
                <w:rFonts w:hint="eastAsia"/>
                <w:sz w:val="24"/>
                <w:vertAlign w:val="subscript"/>
              </w:rPr>
              <w:t>5</w:t>
            </w:r>
            <w:r>
              <w:rPr>
                <w:rFonts w:hint="eastAsia"/>
                <w:sz w:val="24"/>
              </w:rPr>
              <w:t>等污染物的效果，出水浓度可满足《污水综合排放标准》（GB8978-1996）表4中三级标准限值；及《污水排入城镇下水道水质标准》（GB/T31962-2015）表1中B级标准限值。因此，化粪池容积（50m³）及去除效率能够满足本项目污水处理需求。</w:t>
            </w:r>
            <w:r>
              <w:rPr>
                <w:rFonts w:hint="eastAsia"/>
                <w:color w:val="FF0000"/>
                <w:sz w:val="24"/>
              </w:rPr>
              <w:t>生活污水、生产管理用房地面清洁废水经化粪池处理后与处理达标的生产废水一并通过厂区污水排放口（DW001）排入市政污水管网。</w:t>
            </w:r>
          </w:p>
          <w:p w14:paraId="0FC11C4E">
            <w:pPr>
              <w:pStyle w:val="88"/>
              <w:numPr>
                <w:ilvl w:val="0"/>
                <w:numId w:val="10"/>
              </w:numPr>
              <w:ind w:firstLine="480"/>
            </w:pPr>
            <w:r>
              <w:rPr>
                <w:rFonts w:hint="eastAsia"/>
              </w:rPr>
              <w:t>生产废水治理措施可行性分析</w:t>
            </w:r>
          </w:p>
          <w:p w14:paraId="7E67A2B1">
            <w:pPr>
              <w:widowControl/>
              <w:spacing w:line="360" w:lineRule="auto"/>
              <w:ind w:firstLine="480" w:firstLineChars="200"/>
              <w:jc w:val="left"/>
              <w:rPr>
                <w:sz w:val="24"/>
              </w:rPr>
            </w:pPr>
            <w:r>
              <w:rPr>
                <w:rFonts w:hint="eastAsia"/>
                <w:sz w:val="24"/>
              </w:rPr>
              <w:t>根据《排污许可证申请与核发技术规范 环境卫生管理业》（</w:t>
            </w:r>
            <w:r>
              <w:rPr>
                <w:sz w:val="24"/>
              </w:rPr>
              <w:t>HJ 1106--2020</w:t>
            </w:r>
            <w:r>
              <w:rPr>
                <w:rFonts w:hint="eastAsia"/>
                <w:sz w:val="24"/>
              </w:rPr>
              <w:t xml:space="preserve">）中表 </w:t>
            </w:r>
            <w:r>
              <w:rPr>
                <w:sz w:val="24"/>
              </w:rPr>
              <w:t>A.2</w:t>
            </w:r>
            <w:r>
              <w:rPr>
                <w:rFonts w:hint="eastAsia"/>
                <w:sz w:val="24"/>
              </w:rPr>
              <w:t>环境卫生管理业排污单位废水治理可行技术参考表，渗滤液治理可行技术为</w:t>
            </w:r>
            <w:r>
              <w:rPr>
                <w:sz w:val="24"/>
              </w:rPr>
              <w:t>“</w:t>
            </w:r>
            <w:r>
              <w:rPr>
                <w:rFonts w:hint="eastAsia"/>
                <w:sz w:val="24"/>
              </w:rPr>
              <w:t>预处理</w:t>
            </w:r>
            <w:r>
              <w:rPr>
                <w:sz w:val="24"/>
              </w:rPr>
              <w:t>+</w:t>
            </w:r>
            <w:r>
              <w:rPr>
                <w:rFonts w:hint="eastAsia"/>
                <w:sz w:val="24"/>
              </w:rPr>
              <w:t>生物处理</w:t>
            </w:r>
            <w:r>
              <w:rPr>
                <w:sz w:val="24"/>
              </w:rPr>
              <w:t>+</w:t>
            </w:r>
            <w:r>
              <w:rPr>
                <w:rFonts w:hint="eastAsia"/>
                <w:sz w:val="24"/>
              </w:rPr>
              <w:t>深度处理；预处理</w:t>
            </w:r>
            <w:r>
              <w:rPr>
                <w:sz w:val="24"/>
              </w:rPr>
              <w:t>+</w:t>
            </w:r>
            <w:r>
              <w:rPr>
                <w:rFonts w:hint="eastAsia"/>
                <w:sz w:val="24"/>
              </w:rPr>
              <w:t>深度处理；生物处理</w:t>
            </w:r>
            <w:r>
              <w:rPr>
                <w:sz w:val="24"/>
              </w:rPr>
              <w:t>+</w:t>
            </w:r>
            <w:r>
              <w:rPr>
                <w:rFonts w:hint="eastAsia"/>
                <w:sz w:val="24"/>
              </w:rPr>
              <w:t>深度处理</w:t>
            </w:r>
            <w:r>
              <w:rPr>
                <w:sz w:val="24"/>
              </w:rPr>
              <w:t>”</w:t>
            </w:r>
            <w:r>
              <w:rPr>
                <w:rFonts w:hint="eastAsia"/>
                <w:sz w:val="24"/>
              </w:rPr>
              <w:t xml:space="preserve">。 </w:t>
            </w:r>
          </w:p>
          <w:p w14:paraId="68D94FA4">
            <w:pPr>
              <w:widowControl/>
              <w:spacing w:line="360" w:lineRule="auto"/>
              <w:ind w:firstLine="480" w:firstLineChars="200"/>
              <w:jc w:val="left"/>
              <w:rPr>
                <w:sz w:val="24"/>
              </w:rPr>
            </w:pPr>
            <w:r>
              <w:rPr>
                <w:rFonts w:hint="eastAsia"/>
                <w:sz w:val="24"/>
              </w:rPr>
              <w:t>根据《生活垃圾渗沥液处理技术标准》（</w:t>
            </w:r>
            <w:r>
              <w:rPr>
                <w:sz w:val="24"/>
              </w:rPr>
              <w:t>CJJ/T150-2023</w:t>
            </w:r>
            <w:r>
              <w:rPr>
                <w:rFonts w:hint="eastAsia"/>
                <w:sz w:val="24"/>
              </w:rPr>
              <w:t xml:space="preserve">）第 </w:t>
            </w:r>
            <w:r>
              <w:rPr>
                <w:sz w:val="24"/>
              </w:rPr>
              <w:t xml:space="preserve">5.1.3 </w:t>
            </w:r>
            <w:r>
              <w:rPr>
                <w:rFonts w:hint="eastAsia"/>
                <w:sz w:val="24"/>
              </w:rPr>
              <w:t>规定：渗沥液处理工艺宜采用“预处理</w:t>
            </w:r>
            <w:r>
              <w:rPr>
                <w:sz w:val="24"/>
              </w:rPr>
              <w:t>+</w:t>
            </w:r>
            <w:r>
              <w:rPr>
                <w:rFonts w:hint="eastAsia"/>
                <w:sz w:val="24"/>
              </w:rPr>
              <w:t>主处理</w:t>
            </w:r>
            <w:r>
              <w:rPr>
                <w:sz w:val="24"/>
              </w:rPr>
              <w:t>+</w:t>
            </w:r>
            <w:r>
              <w:rPr>
                <w:rFonts w:hint="eastAsia"/>
                <w:sz w:val="24"/>
              </w:rPr>
              <w:t>深度处理”组合工艺。</w:t>
            </w:r>
          </w:p>
          <w:p w14:paraId="73D143C8">
            <w:pPr>
              <w:widowControl/>
              <w:spacing w:line="360" w:lineRule="auto"/>
              <w:ind w:firstLine="480" w:firstLineChars="200"/>
              <w:jc w:val="left"/>
              <w:rPr>
                <w:sz w:val="24"/>
              </w:rPr>
            </w:pPr>
            <w:r>
              <w:rPr>
                <w:rFonts w:hint="eastAsia"/>
                <w:sz w:val="24"/>
              </w:rPr>
              <w:t>综上，本项目污水处理系统采用</w:t>
            </w:r>
            <w:r>
              <w:rPr>
                <w:sz w:val="24"/>
              </w:rPr>
              <w:t>“</w:t>
            </w:r>
            <w:r>
              <w:rPr>
                <w:rFonts w:hint="eastAsia"/>
                <w:sz w:val="24"/>
              </w:rPr>
              <w:t>高效预处理</w:t>
            </w:r>
            <w:r>
              <w:rPr>
                <w:sz w:val="24"/>
              </w:rPr>
              <w:t>+MBR</w:t>
            </w:r>
            <w:r>
              <w:rPr>
                <w:rFonts w:hint="eastAsia"/>
                <w:sz w:val="24"/>
              </w:rPr>
              <w:t>系统（二级硝化反硝化</w:t>
            </w:r>
            <w:r>
              <w:rPr>
                <w:sz w:val="24"/>
              </w:rPr>
              <w:t>+</w:t>
            </w:r>
            <w:r>
              <w:rPr>
                <w:rFonts w:hint="eastAsia"/>
                <w:sz w:val="24"/>
              </w:rPr>
              <w:t>超滤）</w:t>
            </w:r>
            <w:r>
              <w:rPr>
                <w:sz w:val="24"/>
              </w:rPr>
              <w:t xml:space="preserve">” </w:t>
            </w:r>
            <w:r>
              <w:rPr>
                <w:rFonts w:hint="eastAsia"/>
                <w:sz w:val="24"/>
              </w:rPr>
              <w:t>组合式污水处理技术是可行的。污水处理系统工艺流程图如下：</w:t>
            </w:r>
          </w:p>
          <w:p w14:paraId="3E223D80">
            <w:pPr>
              <w:widowControl/>
              <w:spacing w:line="360" w:lineRule="auto"/>
              <w:ind w:firstLine="420" w:firstLineChars="200"/>
              <w:jc w:val="center"/>
            </w:pPr>
            <w:r>
              <w:drawing>
                <wp:inline distT="0" distB="0" distL="114300" distR="114300">
                  <wp:extent cx="4098290" cy="5002530"/>
                  <wp:effectExtent l="0" t="0" r="0" b="0"/>
                  <wp:docPr id="6" name="ECB019B1-382A-4266-B25C-5B523AA43C14-3" descr="C:/Users/Administrator/AppData/Local/Temp/wps.BtKAp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3" descr="C:/Users/Administrator/AppData/Local/Temp/wps.BtKApXwps"/>
                          <pic:cNvPicPr>
                            <a:picLocks noChangeAspect="1"/>
                          </pic:cNvPicPr>
                        </pic:nvPicPr>
                        <pic:blipFill>
                          <a:blip r:embed="rId19"/>
                          <a:stretch>
                            <a:fillRect/>
                          </a:stretch>
                        </pic:blipFill>
                        <pic:spPr>
                          <a:xfrm>
                            <a:off x="0" y="0"/>
                            <a:ext cx="4098290" cy="5002530"/>
                          </a:xfrm>
                          <a:prstGeom prst="rect">
                            <a:avLst/>
                          </a:prstGeom>
                        </pic:spPr>
                      </pic:pic>
                    </a:graphicData>
                  </a:graphic>
                </wp:inline>
              </w:drawing>
            </w:r>
          </w:p>
          <w:p w14:paraId="429E3C6E">
            <w:pPr>
              <w:adjustRightInd w:val="0"/>
              <w:snapToGrid w:val="0"/>
              <w:spacing w:line="360" w:lineRule="auto"/>
              <w:jc w:val="center"/>
              <w:rPr>
                <w:rFonts w:eastAsia="黑体"/>
                <w:color w:val="000000"/>
                <w:kern w:val="0"/>
                <w:szCs w:val="21"/>
                <w:lang w:bidi="ar"/>
              </w:rPr>
            </w:pPr>
            <w:r>
              <w:rPr>
                <w:rFonts w:hint="eastAsia" w:eastAsia="黑体"/>
                <w:color w:val="000000"/>
                <w:kern w:val="0"/>
                <w:szCs w:val="21"/>
                <w:lang w:bidi="ar"/>
              </w:rPr>
              <w:t>图3-1 污水处理工艺流程图</w:t>
            </w:r>
          </w:p>
          <w:p w14:paraId="4B811523">
            <w:pPr>
              <w:widowControl/>
              <w:spacing w:line="360" w:lineRule="auto"/>
              <w:ind w:firstLine="482" w:firstLineChars="200"/>
              <w:jc w:val="left"/>
              <w:rPr>
                <w:b/>
                <w:bCs/>
                <w:sz w:val="24"/>
              </w:rPr>
            </w:pPr>
            <w:r>
              <w:rPr>
                <w:rFonts w:hint="eastAsia"/>
                <w:b/>
                <w:bCs/>
                <w:sz w:val="24"/>
              </w:rPr>
              <w:t>污水处理工艺简介：</w:t>
            </w:r>
          </w:p>
          <w:p w14:paraId="3214BD00">
            <w:pPr>
              <w:pStyle w:val="88"/>
              <w:ind w:firstLine="482"/>
            </w:pPr>
            <w:r>
              <w:rPr>
                <w:rFonts w:hint="eastAsia"/>
                <w:b/>
                <w:bCs/>
              </w:rPr>
              <w:t>预处理：</w:t>
            </w:r>
            <w:r>
              <w:t>污水由进水泵经篮式过滤器过滤大颗粒物、细小纤维及毛发等后</w:t>
            </w:r>
            <w:r>
              <w:rPr>
                <w:rFonts w:hint="eastAsia"/>
              </w:rPr>
              <w:t>进行加药混凝沉淀，经气浮</w:t>
            </w:r>
            <w:r>
              <w:t>分离水中油脂与悬浮物。</w:t>
            </w:r>
            <w:r>
              <w:rPr>
                <w:rFonts w:hint="eastAsia"/>
              </w:rPr>
              <w:t>污泥经叠螺机脱水后，</w:t>
            </w:r>
            <w:r>
              <w:t>滤液由自流至中间水池进行后续处理，泥饼定期外运处置。</w:t>
            </w:r>
          </w:p>
          <w:p w14:paraId="60A3884F">
            <w:pPr>
              <w:pStyle w:val="88"/>
              <w:ind w:firstLine="482"/>
              <w:rPr>
                <w:b/>
                <w:bCs/>
              </w:rPr>
            </w:pPr>
            <w:r>
              <w:rPr>
                <w:rFonts w:hint="eastAsia"/>
                <w:b/>
                <w:bCs/>
              </w:rPr>
              <w:t>A/O/O</w:t>
            </w:r>
          </w:p>
          <w:p w14:paraId="7CB11A55">
            <w:pPr>
              <w:widowControl/>
              <w:spacing w:line="360" w:lineRule="auto"/>
              <w:ind w:firstLine="480" w:firstLineChars="200"/>
              <w:jc w:val="left"/>
              <w:rPr>
                <w:sz w:val="24"/>
              </w:rPr>
            </w:pPr>
            <w:r>
              <w:rPr>
                <w:rFonts w:hint="eastAsia"/>
                <w:sz w:val="24"/>
              </w:rPr>
              <w:t>硝化反应过程：在有氧条件下，氨氮被硝化细菌所氧化成为亚硝酸盐和硝酸盐。它包括两个基本反应步骤：由亚硝酸菌参与将氨氮转化为亚硝酸盐的反应；硝酸菌</w:t>
            </w:r>
            <w:r>
              <w:rPr>
                <w:rFonts w:hint="eastAsia"/>
                <w:sz w:val="24"/>
                <w:lang w:eastAsia="zh-CN"/>
              </w:rPr>
              <w:t>参与</w:t>
            </w:r>
            <w:r>
              <w:rPr>
                <w:rFonts w:hint="eastAsia"/>
                <w:sz w:val="24"/>
              </w:rPr>
              <w:t>将亚硝酸盐转化为硝酸盐的反应，亚硝酸菌和硝酸菌都是化能自养菌，它们利用</w:t>
            </w:r>
            <w:r>
              <w:rPr>
                <w:sz w:val="24"/>
              </w:rPr>
              <w:t>CO</w:t>
            </w:r>
            <w:r>
              <w:rPr>
                <w:sz w:val="24"/>
                <w:vertAlign w:val="subscript"/>
              </w:rPr>
              <w:t>2</w:t>
            </w:r>
            <w:r>
              <w:rPr>
                <w:rFonts w:hint="eastAsia"/>
                <w:sz w:val="24"/>
              </w:rPr>
              <w:t>、</w:t>
            </w:r>
            <w:r>
              <w:rPr>
                <w:sz w:val="24"/>
              </w:rPr>
              <w:t>CO</w:t>
            </w:r>
            <w:r>
              <w:rPr>
                <w:sz w:val="24"/>
                <w:vertAlign w:val="subscript"/>
              </w:rPr>
              <w:t>3</w:t>
            </w:r>
            <w:r>
              <w:rPr>
                <w:sz w:val="24"/>
              </w:rPr>
              <w:t xml:space="preserve"> </w:t>
            </w:r>
            <w:r>
              <w:rPr>
                <w:sz w:val="24"/>
                <w:vertAlign w:val="superscript"/>
              </w:rPr>
              <w:t>2-</w:t>
            </w:r>
            <w:r>
              <w:rPr>
                <w:rFonts w:hint="eastAsia"/>
                <w:sz w:val="24"/>
              </w:rPr>
              <w:t>、</w:t>
            </w:r>
            <w:r>
              <w:rPr>
                <w:sz w:val="24"/>
              </w:rPr>
              <w:t>HCO</w:t>
            </w:r>
            <w:r>
              <w:rPr>
                <w:sz w:val="24"/>
                <w:vertAlign w:val="superscript"/>
              </w:rPr>
              <w:t>3-</w:t>
            </w:r>
            <w:r>
              <w:rPr>
                <w:rFonts w:hint="eastAsia"/>
                <w:sz w:val="24"/>
              </w:rPr>
              <w:t xml:space="preserve">等作为碳源，通过 </w:t>
            </w:r>
            <w:r>
              <w:rPr>
                <w:sz w:val="24"/>
              </w:rPr>
              <w:t>NH</w:t>
            </w:r>
            <w:r>
              <w:rPr>
                <w:sz w:val="24"/>
                <w:vertAlign w:val="subscript"/>
              </w:rPr>
              <w:t>3</w:t>
            </w:r>
            <w:r>
              <w:rPr>
                <w:rFonts w:hint="eastAsia"/>
                <w:sz w:val="24"/>
              </w:rPr>
              <w:t>、</w:t>
            </w:r>
            <w:r>
              <w:rPr>
                <w:sz w:val="24"/>
              </w:rPr>
              <w:t>NH4</w:t>
            </w:r>
            <w:r>
              <w:rPr>
                <w:sz w:val="24"/>
                <w:vertAlign w:val="superscript"/>
              </w:rPr>
              <w:t>+</w:t>
            </w:r>
            <w:r>
              <w:rPr>
                <w:rFonts w:hint="eastAsia"/>
                <w:sz w:val="24"/>
                <w:vertAlign w:val="superscript"/>
                <w:lang w:eastAsia="zh-CN"/>
              </w:rPr>
              <w:t>或</w:t>
            </w:r>
            <w:r>
              <w:rPr>
                <w:sz w:val="24"/>
              </w:rPr>
              <w:t>NO</w:t>
            </w:r>
            <w:r>
              <w:rPr>
                <w:sz w:val="24"/>
                <w:vertAlign w:val="subscript"/>
              </w:rPr>
              <w:t>2-</w:t>
            </w:r>
            <w:r>
              <w:rPr>
                <w:rFonts w:hint="eastAsia"/>
                <w:sz w:val="24"/>
              </w:rPr>
              <w:t>的氧化还原反应获得能量。硝化反应过程需要在好氧条件下进行，并以氧</w:t>
            </w:r>
            <w:r>
              <w:rPr>
                <w:rFonts w:hint="eastAsia"/>
                <w:sz w:val="24"/>
                <w:lang w:eastAsia="zh-CN"/>
              </w:rPr>
              <w:t>作为</w:t>
            </w:r>
            <w:r>
              <w:rPr>
                <w:rFonts w:hint="eastAsia"/>
                <w:sz w:val="24"/>
              </w:rPr>
              <w:t>电子受体，氮元素</w:t>
            </w:r>
            <w:r>
              <w:rPr>
                <w:rFonts w:hint="eastAsia"/>
                <w:sz w:val="24"/>
                <w:lang w:eastAsia="zh-CN"/>
              </w:rPr>
              <w:t>作为</w:t>
            </w:r>
            <w:r>
              <w:rPr>
                <w:rFonts w:hint="eastAsia"/>
                <w:sz w:val="24"/>
              </w:rPr>
              <w:t>电子供体。</w:t>
            </w:r>
          </w:p>
          <w:p w14:paraId="314C34B4">
            <w:pPr>
              <w:widowControl/>
              <w:spacing w:line="360" w:lineRule="auto"/>
              <w:ind w:firstLine="480" w:firstLineChars="200"/>
              <w:jc w:val="left"/>
              <w:rPr>
                <w:sz w:val="24"/>
              </w:rPr>
            </w:pPr>
            <w:r>
              <w:rPr>
                <w:rFonts w:hint="eastAsia"/>
                <w:sz w:val="24"/>
              </w:rPr>
              <w:t>反硝化反应过程：在缺氧条件下，利用反硝化菌将亚硝酸盐和硝酸盐还原为氮气而从污水中逸出，从而达到除氮的目的。</w:t>
            </w:r>
            <w:r>
              <w:rPr>
                <w:rFonts w:hint="eastAsia"/>
                <w:sz w:val="24"/>
                <w:lang w:eastAsia="zh-CN"/>
              </w:rPr>
              <w:t>反硝化菌</w:t>
            </w:r>
            <w:r>
              <w:rPr>
                <w:rFonts w:hint="eastAsia"/>
                <w:sz w:val="24"/>
              </w:rPr>
              <w:t>将硝化反应过程中产生的硝酸盐和亚硝酸盐还原成氮气的过程，反硝化菌是一类化能异养兼性缺氧型微生物。当有分子态氧存在时，反硝化菌氧化分解有机物，利用分子氧作为最终电子受体，当无分子态氧存在时，反硝化细菌利用硝酸盐和亚硝酸盐中的</w:t>
            </w:r>
            <w:r>
              <w:rPr>
                <w:sz w:val="24"/>
              </w:rPr>
              <w:t>N</w:t>
            </w:r>
            <w:r>
              <w:rPr>
                <w:sz w:val="24"/>
                <w:vertAlign w:val="subscript"/>
              </w:rPr>
              <w:t>3+</w:t>
            </w:r>
            <w:r>
              <w:rPr>
                <w:rFonts w:hint="eastAsia"/>
                <w:sz w:val="24"/>
              </w:rPr>
              <w:t>和</w:t>
            </w:r>
            <w:r>
              <w:rPr>
                <w:sz w:val="24"/>
              </w:rPr>
              <w:t>N</w:t>
            </w:r>
            <w:r>
              <w:rPr>
                <w:sz w:val="24"/>
                <w:vertAlign w:val="subscript"/>
              </w:rPr>
              <w:t>5+</w:t>
            </w:r>
            <w:r>
              <w:rPr>
                <w:rFonts w:hint="eastAsia"/>
                <w:sz w:val="24"/>
              </w:rPr>
              <w:t>作为电子受体，</w:t>
            </w:r>
            <w:r>
              <w:rPr>
                <w:sz w:val="24"/>
              </w:rPr>
              <w:t>O</w:t>
            </w:r>
            <w:r>
              <w:rPr>
                <w:sz w:val="24"/>
                <w:vertAlign w:val="superscript"/>
              </w:rPr>
              <w:t>2-</w:t>
            </w:r>
            <w:r>
              <w:rPr>
                <w:rFonts w:hint="eastAsia"/>
                <w:sz w:val="24"/>
              </w:rPr>
              <w:t>作为受氢体生成水和</w:t>
            </w:r>
            <w:r>
              <w:rPr>
                <w:sz w:val="24"/>
              </w:rPr>
              <w:t>OH-</w:t>
            </w:r>
            <w:r>
              <w:rPr>
                <w:rFonts w:hint="eastAsia"/>
                <w:sz w:val="24"/>
              </w:rPr>
              <w:t>碱度，有机物则作为碳源提供电子供体提供能量并得到氧化稳定，由此可知反硝化反应须在缺氧条件下进行。反硝化过程中，反硝化菌需要有机碳源</w:t>
            </w:r>
            <w:r>
              <w:rPr>
                <w:rFonts w:hint="eastAsia"/>
                <w:sz w:val="24"/>
                <w:lang w:eastAsia="zh-CN"/>
              </w:rPr>
              <w:t>（</w:t>
            </w:r>
            <w:r>
              <w:rPr>
                <w:rFonts w:hint="eastAsia"/>
                <w:sz w:val="24"/>
              </w:rPr>
              <w:t>如碳水化合物、醇类、有机酸类</w:t>
            </w:r>
            <w:r>
              <w:rPr>
                <w:rFonts w:hint="eastAsia"/>
                <w:sz w:val="24"/>
                <w:lang w:eastAsia="zh-CN"/>
              </w:rPr>
              <w:t>）</w:t>
            </w:r>
            <w:r>
              <w:rPr>
                <w:rFonts w:hint="eastAsia"/>
                <w:sz w:val="24"/>
              </w:rPr>
              <w:t xml:space="preserve">作为电子供体， 利用 </w:t>
            </w:r>
            <w:r>
              <w:rPr>
                <w:sz w:val="24"/>
              </w:rPr>
              <w:t>NO</w:t>
            </w:r>
            <w:r>
              <w:rPr>
                <w:sz w:val="24"/>
                <w:vertAlign w:val="superscript"/>
              </w:rPr>
              <w:t>3-</w:t>
            </w:r>
            <w:r>
              <w:rPr>
                <w:rFonts w:hint="eastAsia"/>
                <w:sz w:val="24"/>
              </w:rPr>
              <w:t>中的氧进行缺氧呼吸。</w:t>
            </w:r>
          </w:p>
          <w:p w14:paraId="538EA0C0">
            <w:pPr>
              <w:widowControl/>
              <w:spacing w:line="360" w:lineRule="auto"/>
              <w:ind w:firstLine="480" w:firstLineChars="200"/>
              <w:jc w:val="left"/>
              <w:rPr>
                <w:sz w:val="24"/>
              </w:rPr>
            </w:pPr>
            <w:r>
              <w:rPr>
                <w:rFonts w:hint="eastAsia"/>
                <w:sz w:val="24"/>
              </w:rPr>
              <w:t>为了提高系统对总氮的去除率，在一级硝化反硝化</w:t>
            </w:r>
            <w:r>
              <w:rPr>
                <w:sz w:val="24"/>
              </w:rPr>
              <w:t>MBR</w:t>
            </w:r>
            <w:r>
              <w:rPr>
                <w:rFonts w:hint="eastAsia"/>
                <w:sz w:val="24"/>
              </w:rPr>
              <w:t>系统的基础上，增加二级硝化反硝化系统，当一级硝化脱氮不完全时，一级硝化过程中残留的氨氮、硝态氮和亚硝态氮在一级反硝化和二级硝化反应池中通过进行深度脱氮反应，从而保障了生化脱氮的完全性和稳定性。</w:t>
            </w:r>
          </w:p>
          <w:p w14:paraId="21B9CAE8">
            <w:pPr>
              <w:pStyle w:val="89"/>
              <w:spacing w:line="360" w:lineRule="auto"/>
            </w:pPr>
            <w:r>
              <w:rPr>
                <w:rFonts w:hint="eastAsia"/>
                <w:snapToGrid w:val="0"/>
                <w:color w:val="000000"/>
                <w:sz w:val="24"/>
                <w:szCs w:val="24"/>
                <w:lang w:val="zh-CN"/>
              </w:rPr>
              <w:t>硝化部分对氨氮的去除率为95%以上，设计反硝化率为大于92%，实际运行过程中的反硝化率可通过硝酸盐回流比进行调节，经过A/O/O后TN去除率不低于85%。</w:t>
            </w:r>
          </w:p>
          <w:p w14:paraId="6FA9E1FF">
            <w:pPr>
              <w:pStyle w:val="88"/>
              <w:ind w:firstLine="482"/>
            </w:pPr>
            <w:r>
              <w:rPr>
                <w:rFonts w:hint="eastAsia"/>
                <w:b/>
                <w:bCs/>
              </w:rPr>
              <w:t>超滤：</w:t>
            </w:r>
            <w:r>
              <w:rPr>
                <w:rFonts w:hint="eastAsia"/>
              </w:rPr>
              <w:t>超滤技术是一种膜滤法，也有错流过滤之称。其基本原理就是在常温下以一定压力与流量，利用不对称微孔结构与半透膜介质，依靠膜两侧的压力差作为推动力，以错流方式进行过滤，使溶剂及小分子物质通过，大分子物质与微粒子如蛋白质、水溶性高聚物、细菌等被滤膜阻留，从而达到分离、分级、纯化、浓缩目的的一种新型膜分离技术。超滤膜筛分过程中，以膜两侧的压力差为驱动力，以超滤膜为过滤介质，在一定的压力下，当原液流过膜表面时，超滤膜表面密布的许多细小的微孔只允许水及小分子物质通过而成为透过液，而原液中体积大于膜表面微孔径的物质则被截留在膜的进液侧，成为浓缩液，因而实现对原液的净化、分离和浓缩的目的。</w:t>
            </w:r>
          </w:p>
          <w:p w14:paraId="634FEAEC">
            <w:pPr>
              <w:widowControl/>
              <w:spacing w:line="360" w:lineRule="auto"/>
              <w:ind w:firstLine="482" w:firstLineChars="200"/>
              <w:jc w:val="left"/>
            </w:pPr>
            <w:r>
              <w:rPr>
                <w:rFonts w:hint="eastAsia"/>
                <w:b/>
                <w:bCs/>
                <w:sz w:val="24"/>
              </w:rPr>
              <w:t>污泥脱水：</w:t>
            </w:r>
            <w:r>
              <w:rPr>
                <w:rFonts w:hint="eastAsia"/>
                <w:sz w:val="24"/>
              </w:rPr>
              <w:t>产生污泥经叠螺机进行固液分离，滤液的污水回到MBR系统进行二次处理。本项目污泥饼属于一般固废，暂存于污泥池，外运交由第三方单位处理。</w:t>
            </w:r>
          </w:p>
          <w:p w14:paraId="0BF4402C">
            <w:pPr>
              <w:pStyle w:val="88"/>
              <w:numPr>
                <w:ilvl w:val="0"/>
                <w:numId w:val="10"/>
              </w:numPr>
              <w:ind w:firstLine="480"/>
            </w:pPr>
            <w:r>
              <w:t>依托污水处理设施的环境可行性评价</w:t>
            </w:r>
          </w:p>
          <w:p w14:paraId="344E82B2">
            <w:pPr>
              <w:widowControl/>
              <w:spacing w:line="360" w:lineRule="auto"/>
              <w:ind w:firstLine="480" w:firstLineChars="200"/>
              <w:jc w:val="left"/>
              <w:rPr>
                <w:color w:val="000000"/>
                <w:sz w:val="24"/>
              </w:rPr>
            </w:pPr>
            <w:r>
              <w:rPr>
                <w:sz w:val="24"/>
              </w:rPr>
              <w:t>达州市第二污水处理厂</w:t>
            </w:r>
            <w:r>
              <w:rPr>
                <w:color w:val="000000"/>
                <w:kern w:val="0"/>
                <w:sz w:val="24"/>
                <w:lang w:bidi="ar"/>
              </w:rPr>
              <w:t>位于达州市天然气能源化工产业园区周家坝，</w:t>
            </w:r>
            <w:r>
              <w:rPr>
                <w:sz w:val="24"/>
              </w:rPr>
              <w:t>设计总规模为10万m</w:t>
            </w:r>
            <w:r>
              <w:rPr>
                <w:sz w:val="24"/>
                <w:vertAlign w:val="superscript"/>
              </w:rPr>
              <w:t>3</w:t>
            </w:r>
            <w:r>
              <w:rPr>
                <w:sz w:val="24"/>
              </w:rPr>
              <w:t>/d（一期5万m</w:t>
            </w:r>
            <w:r>
              <w:rPr>
                <w:sz w:val="24"/>
                <w:vertAlign w:val="superscript"/>
              </w:rPr>
              <w:t>3</w:t>
            </w:r>
            <w:r>
              <w:rPr>
                <w:sz w:val="24"/>
              </w:rPr>
              <w:t>/d、二期5万m</w:t>
            </w:r>
            <w:r>
              <w:rPr>
                <w:sz w:val="24"/>
                <w:vertAlign w:val="superscript"/>
              </w:rPr>
              <w:t>3</w:t>
            </w:r>
            <w:r>
              <w:rPr>
                <w:sz w:val="24"/>
              </w:rPr>
              <w:t>/d），采用改良型</w:t>
            </w:r>
            <w:r>
              <w:rPr>
                <w:bCs/>
                <w:sz w:val="24"/>
              </w:rPr>
              <w:t>A</w:t>
            </w:r>
            <w:r>
              <w:rPr>
                <w:bCs/>
                <w:sz w:val="24"/>
                <w:vertAlign w:val="superscript"/>
              </w:rPr>
              <w:t>2</w:t>
            </w:r>
            <w:r>
              <w:rPr>
                <w:bCs/>
                <w:sz w:val="24"/>
              </w:rPr>
              <w:t>/O工艺，</w:t>
            </w:r>
            <w:r>
              <w:rPr>
                <w:color w:val="000000"/>
                <w:kern w:val="0"/>
                <w:sz w:val="24"/>
                <w:lang w:bidi="ar"/>
              </w:rPr>
              <w:t>服务范围主要包括张家坝、三里坪、翠屏山、小河嘴、西南职业教育园、杨柳、长田新区及南城所产生的生活污水，出水水质满足《城镇污水处理厂污染物排放标准》（GB18918-2002）中一级A标准后排放进入州河。2015年，其一期工程</w:t>
            </w:r>
            <w:r>
              <w:rPr>
                <w:sz w:val="24"/>
              </w:rPr>
              <w:t>取得了原四川省环保厅出具的《关于达州市第二城市污水处理工程环境影响报告书的批复》（川环审批</w:t>
            </w:r>
            <w:r>
              <w:rPr>
                <w:color w:val="000000"/>
                <w:sz w:val="24"/>
              </w:rPr>
              <w:t>〔2015〕</w:t>
            </w:r>
            <w:r>
              <w:rPr>
                <w:sz w:val="24"/>
              </w:rPr>
              <w:t>81号），并进行了验收。2019年，其二期工程取得了</w:t>
            </w:r>
            <w:r>
              <w:rPr>
                <w:color w:val="000000"/>
                <w:sz w:val="24"/>
              </w:rPr>
              <w:t>达州市生态环境局出具的《关于达州市第二城市污水处理厂二期工程项目环境影响评价报告表的批复》（达市环函〔2019〕539号），</w:t>
            </w:r>
            <w:r>
              <w:rPr>
                <w:sz w:val="24"/>
              </w:rPr>
              <w:t>并进行了验收</w:t>
            </w:r>
            <w:r>
              <w:rPr>
                <w:color w:val="000000"/>
                <w:sz w:val="24"/>
              </w:rPr>
              <w:t>。</w:t>
            </w:r>
          </w:p>
          <w:p w14:paraId="42F8AEAC">
            <w:pPr>
              <w:widowControl/>
              <w:spacing w:line="360" w:lineRule="auto"/>
              <w:ind w:firstLine="480" w:firstLineChars="200"/>
              <w:jc w:val="left"/>
              <w:rPr>
                <w:color w:val="000000"/>
                <w:sz w:val="24"/>
              </w:rPr>
            </w:pPr>
            <w:r>
              <w:rPr>
                <w:sz w:val="24"/>
              </w:rPr>
              <w:t>本项目运营期的废水总排放量</w:t>
            </w:r>
            <w:r>
              <w:rPr>
                <w:rFonts w:hint="eastAsia"/>
                <w:sz w:val="24"/>
              </w:rPr>
              <w:t>约</w:t>
            </w:r>
            <w:r>
              <w:rPr>
                <w:rFonts w:hint="eastAsia"/>
                <w:kern w:val="0"/>
                <w:sz w:val="24"/>
                <w:lang w:bidi="ar"/>
              </w:rPr>
              <w:t>22</w:t>
            </w:r>
            <w:r>
              <w:rPr>
                <w:kern w:val="0"/>
                <w:sz w:val="24"/>
                <w:lang w:bidi="ar"/>
              </w:rPr>
              <w:t>m</w:t>
            </w:r>
            <w:r>
              <w:rPr>
                <w:kern w:val="0"/>
                <w:sz w:val="24"/>
                <w:vertAlign w:val="superscript"/>
                <w:lang w:bidi="ar"/>
              </w:rPr>
              <w:t>3</w:t>
            </w:r>
            <w:r>
              <w:rPr>
                <w:kern w:val="0"/>
                <w:sz w:val="24"/>
                <w:lang w:bidi="ar"/>
              </w:rPr>
              <w:t>/</w:t>
            </w:r>
            <w:r>
              <w:rPr>
                <w:rFonts w:hint="eastAsia"/>
                <w:kern w:val="0"/>
                <w:sz w:val="24"/>
                <w:lang w:bidi="ar"/>
              </w:rPr>
              <w:t>d</w:t>
            </w:r>
            <w:r>
              <w:rPr>
                <w:rFonts w:hint="eastAsia"/>
                <w:sz w:val="24"/>
              </w:rPr>
              <w:t>，</w:t>
            </w:r>
            <w:r>
              <w:rPr>
                <w:sz w:val="24"/>
              </w:rPr>
              <w:t>占达州市第二</w:t>
            </w:r>
            <w:r>
              <w:rPr>
                <w:rFonts w:hint="eastAsia"/>
                <w:sz w:val="24"/>
              </w:rPr>
              <w:t>城市</w:t>
            </w:r>
            <w:r>
              <w:rPr>
                <w:sz w:val="24"/>
              </w:rPr>
              <w:t>污水处理厂现状处理能力的</w:t>
            </w:r>
            <w:r>
              <w:rPr>
                <w:rFonts w:hint="eastAsia"/>
                <w:sz w:val="24"/>
              </w:rPr>
              <w:t>0.002</w:t>
            </w:r>
            <w:r>
              <w:rPr>
                <w:sz w:val="24"/>
              </w:rPr>
              <w:t>%，</w:t>
            </w:r>
            <w:r>
              <w:rPr>
                <w:color w:val="000000"/>
                <w:sz w:val="24"/>
              </w:rPr>
              <w:t>且本项目位于达州市通川区韩家坝西南职业教育园区，属于达州市第二</w:t>
            </w:r>
            <w:r>
              <w:rPr>
                <w:rFonts w:hint="eastAsia"/>
                <w:color w:val="000000"/>
                <w:sz w:val="24"/>
              </w:rPr>
              <w:t>城市</w:t>
            </w:r>
            <w:r>
              <w:rPr>
                <w:color w:val="000000"/>
                <w:sz w:val="24"/>
              </w:rPr>
              <w:t>污水处理厂的纳污范围</w:t>
            </w:r>
            <w:r>
              <w:rPr>
                <w:rFonts w:hint="eastAsia"/>
                <w:color w:val="000000"/>
                <w:sz w:val="24"/>
              </w:rPr>
              <w:t>，根据《达州市城市管理行政执法局关于同意职教园区中型垃圾转运站建设</w:t>
            </w:r>
            <w:r>
              <w:rPr>
                <w:rFonts w:hint="eastAsia"/>
                <w:color w:val="000000"/>
                <w:sz w:val="24"/>
                <w:lang w:eastAsia="zh-CN"/>
              </w:rPr>
              <w:t>项目</w:t>
            </w:r>
            <w:r>
              <w:rPr>
                <w:rFonts w:hint="eastAsia"/>
                <w:color w:val="000000"/>
                <w:sz w:val="24"/>
              </w:rPr>
              <w:t>生产生活污水排入市政污水管网的函》（达市城管函</w:t>
            </w:r>
            <w:r>
              <w:rPr>
                <w:rFonts w:hint="eastAsia"/>
                <w:color w:val="000000"/>
                <w:sz w:val="24"/>
                <w:lang w:eastAsia="zh-CN"/>
              </w:rPr>
              <w:t>〔2025〕</w:t>
            </w:r>
            <w:r>
              <w:rPr>
                <w:rFonts w:hint="eastAsia"/>
                <w:color w:val="000000"/>
                <w:sz w:val="24"/>
              </w:rPr>
              <w:t>125 号），达州市城市管理行政执法局同意职教园区中型垃圾转运站建设项目生产生活污水经预处理后排入</w:t>
            </w:r>
            <w:r>
              <w:rPr>
                <w:rFonts w:hint="eastAsia"/>
                <w:color w:val="000000"/>
                <w:sz w:val="24"/>
                <w:lang w:eastAsia="zh-CN"/>
              </w:rPr>
              <w:t>城市</w:t>
            </w:r>
            <w:r>
              <w:rPr>
                <w:rFonts w:hint="eastAsia"/>
                <w:color w:val="000000"/>
                <w:sz w:val="24"/>
              </w:rPr>
              <w:t>市政污水管网，接入达州市第二城市污水处理厂处理后达标排放</w:t>
            </w:r>
            <w:r>
              <w:rPr>
                <w:color w:val="000000"/>
                <w:sz w:val="24"/>
              </w:rPr>
              <w:t>。根据调查，项目</w:t>
            </w:r>
            <w:r>
              <w:rPr>
                <w:rFonts w:hint="eastAsia"/>
                <w:color w:val="000000"/>
                <w:sz w:val="24"/>
              </w:rPr>
              <w:t>西</w:t>
            </w:r>
            <w:r>
              <w:rPr>
                <w:color w:val="000000"/>
                <w:sz w:val="24"/>
              </w:rPr>
              <w:t>面、南面道路下的污水管网均已建成，项目废水能够顺利接入城市污水管道。</w:t>
            </w:r>
          </w:p>
          <w:p w14:paraId="5951C550">
            <w:pPr>
              <w:widowControl/>
              <w:spacing w:line="360" w:lineRule="auto"/>
              <w:ind w:firstLine="480" w:firstLineChars="200"/>
              <w:jc w:val="left"/>
              <w:rPr>
                <w:color w:val="000000"/>
                <w:sz w:val="24"/>
              </w:rPr>
            </w:pPr>
            <w:r>
              <w:rPr>
                <w:color w:val="000000"/>
                <w:sz w:val="24"/>
              </w:rPr>
              <w:t>根据</w:t>
            </w:r>
            <w:r>
              <w:rPr>
                <w:rFonts w:hint="eastAsia"/>
                <w:color w:val="000000"/>
                <w:sz w:val="24"/>
              </w:rPr>
              <w:t>上文</w:t>
            </w:r>
            <w:r>
              <w:rPr>
                <w:color w:val="000000"/>
                <w:sz w:val="24"/>
              </w:rPr>
              <w:t>分析，项目废水经处理后的排水水质能够满足《污水综合排放标准》</w:t>
            </w:r>
            <w:r>
              <w:rPr>
                <w:rFonts w:hint="eastAsia"/>
                <w:color w:val="000000"/>
                <w:sz w:val="24"/>
              </w:rPr>
              <w:t>（</w:t>
            </w:r>
            <w:r>
              <w:rPr>
                <w:color w:val="000000"/>
                <w:sz w:val="24"/>
              </w:rPr>
              <w:t>GB8978-1996</w:t>
            </w:r>
            <w:r>
              <w:rPr>
                <w:rFonts w:hint="eastAsia"/>
                <w:color w:val="000000"/>
                <w:sz w:val="24"/>
              </w:rPr>
              <w:t>）</w:t>
            </w:r>
            <w:r>
              <w:rPr>
                <w:color w:val="000000"/>
                <w:sz w:val="24"/>
              </w:rPr>
              <w:t>中三级</w:t>
            </w:r>
            <w:r>
              <w:rPr>
                <w:rFonts w:hint="eastAsia"/>
                <w:color w:val="000000"/>
                <w:sz w:val="24"/>
              </w:rPr>
              <w:t>及《污水排入城镇下水道水质标准》（GB/T31962-2015）表1中B级</w:t>
            </w:r>
            <w:r>
              <w:rPr>
                <w:color w:val="000000"/>
                <w:sz w:val="24"/>
              </w:rPr>
              <w:t>标准限值要求。故项目废水接入达州市第二</w:t>
            </w:r>
            <w:r>
              <w:rPr>
                <w:rFonts w:hint="eastAsia"/>
                <w:color w:val="000000"/>
                <w:sz w:val="24"/>
              </w:rPr>
              <w:t>城市</w:t>
            </w:r>
            <w:r>
              <w:rPr>
                <w:color w:val="000000"/>
                <w:sz w:val="24"/>
              </w:rPr>
              <w:t>污水处理厂处理可行。</w:t>
            </w:r>
          </w:p>
          <w:p w14:paraId="310B7D2F">
            <w:pPr>
              <w:pStyle w:val="15"/>
              <w:numPr>
                <w:ilvl w:val="0"/>
                <w:numId w:val="7"/>
              </w:numPr>
              <w:spacing w:after="0" w:line="360" w:lineRule="auto"/>
              <w:ind w:left="0" w:leftChars="0" w:firstLine="482" w:firstLineChars="200"/>
              <w:rPr>
                <w:b/>
                <w:bCs/>
                <w:color w:val="000000"/>
                <w:sz w:val="24"/>
                <w:szCs w:val="24"/>
              </w:rPr>
            </w:pPr>
            <w:r>
              <w:rPr>
                <w:rFonts w:hint="eastAsia"/>
                <w:b/>
                <w:bCs/>
                <w:color w:val="000000"/>
                <w:sz w:val="24"/>
                <w:szCs w:val="24"/>
              </w:rPr>
              <w:t>达标分析</w:t>
            </w:r>
          </w:p>
          <w:p w14:paraId="20CE35DD">
            <w:pPr>
              <w:widowControl/>
              <w:spacing w:line="360" w:lineRule="auto"/>
              <w:ind w:firstLine="400" w:firstLineChars="200"/>
              <w:jc w:val="left"/>
              <w:rPr>
                <w:color w:val="000000"/>
                <w:sz w:val="24"/>
              </w:rPr>
            </w:pPr>
            <w:r>
              <w:rPr>
                <w:rFonts w:hint="eastAsia" w:ascii="宋体" w:hAnsi="宋体" w:cs="宋体"/>
                <w:color w:val="000000"/>
                <w:kern w:val="0"/>
                <w:sz w:val="20"/>
                <w:szCs w:val="20"/>
                <w:lang w:bidi="ar"/>
              </w:rPr>
              <w:t>项</w:t>
            </w:r>
            <w:r>
              <w:rPr>
                <w:rFonts w:hint="eastAsia"/>
                <w:color w:val="000000"/>
                <w:sz w:val="24"/>
              </w:rPr>
              <w:t xml:space="preserve">目外排废水主要为生活污水及生产废水。生活污水水质简单，且排放量小，生活污水经化粪池收集处理后排入市政污水管网；生产废水经自建污水处理设施处理后达到《污水综合排放标准》（GB8978-1996）中三级及《污水排入城镇下水道水质标准》（GB/T31962-2015）表1中B级标准限值并满足达州市第二城市污水处理厂进水水质要求，经市政污水管网进入达州市第二城市污水处理厂处理达到《城镇污水处理厂污染物排放标准》（GB18918-2002）中一级A标准限值后排入州河。 </w:t>
            </w:r>
          </w:p>
          <w:p w14:paraId="21F52532">
            <w:pPr>
              <w:widowControl/>
              <w:spacing w:line="360" w:lineRule="auto"/>
              <w:ind w:firstLine="480" w:firstLineChars="200"/>
              <w:jc w:val="left"/>
            </w:pPr>
            <w:r>
              <w:rPr>
                <w:rFonts w:hint="eastAsia"/>
                <w:color w:val="000000"/>
                <w:sz w:val="24"/>
              </w:rPr>
              <w:t>评价认为，采取上述污水处理设施后，项目营运期间产生的废水能实现达标排放，项目废水处置措施合理可行，对周边区域水环境影响较小。</w:t>
            </w:r>
          </w:p>
          <w:p w14:paraId="54A0B4B2">
            <w:pPr>
              <w:pStyle w:val="15"/>
              <w:spacing w:after="0" w:line="360" w:lineRule="auto"/>
              <w:rPr>
                <w:b/>
                <w:bCs/>
                <w:color w:val="000000"/>
                <w:sz w:val="24"/>
                <w:szCs w:val="24"/>
              </w:rPr>
            </w:pPr>
            <w:r>
              <w:rPr>
                <w:rFonts w:hint="eastAsia"/>
                <w:b/>
                <w:bCs/>
                <w:color w:val="000000"/>
                <w:sz w:val="24"/>
                <w:szCs w:val="24"/>
              </w:rPr>
              <w:t>6、</w:t>
            </w:r>
            <w:r>
              <w:rPr>
                <w:b/>
                <w:bCs/>
                <w:sz w:val="24"/>
              </w:rPr>
              <w:t>监测</w:t>
            </w:r>
            <w:r>
              <w:rPr>
                <w:rFonts w:hint="eastAsia"/>
                <w:b/>
                <w:bCs/>
                <w:sz w:val="24"/>
              </w:rPr>
              <w:t>计划</w:t>
            </w:r>
          </w:p>
          <w:p w14:paraId="34410015">
            <w:pPr>
              <w:widowControl/>
              <w:spacing w:line="360" w:lineRule="auto"/>
              <w:ind w:firstLine="480" w:firstLineChars="200"/>
              <w:jc w:val="left"/>
              <w:rPr>
                <w:color w:val="000000"/>
                <w:sz w:val="24"/>
              </w:rPr>
            </w:pPr>
            <w:r>
              <w:rPr>
                <w:rFonts w:hint="eastAsia"/>
                <w:color w:val="000000"/>
                <w:sz w:val="24"/>
              </w:rPr>
              <w:t>根据《排污许可证申请与核发技术规范 总则》（HJ942-2018）和《排污许可证申请与核发技术规范 环境卫生管理业》（HJ1106-2020）及《排污单位自行监测技术指南 总则》（HJ819-2017），本项目运营期废水监测计划如下：</w:t>
            </w:r>
          </w:p>
          <w:p w14:paraId="3CAD034A">
            <w:pPr>
              <w:jc w:val="center"/>
              <w:rPr>
                <w:b/>
                <w:bCs/>
                <w:szCs w:val="21"/>
              </w:rPr>
            </w:pPr>
            <w:r>
              <w:rPr>
                <w:rFonts w:hint="eastAsia"/>
                <w:b/>
                <w:bCs/>
                <w:szCs w:val="21"/>
              </w:rPr>
              <w:t xml:space="preserve"> 表4-16  环境监测计划表</w:t>
            </w:r>
          </w:p>
          <w:tbl>
            <w:tblPr>
              <w:tblStyle w:val="7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41"/>
              <w:gridCol w:w="1084"/>
              <w:gridCol w:w="1731"/>
              <w:gridCol w:w="852"/>
              <w:gridCol w:w="3970"/>
            </w:tblGrid>
            <w:tr w14:paraId="06C3C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6" w:type="pct"/>
                  <w:vAlign w:val="center"/>
                </w:tcPr>
                <w:p w14:paraId="546409AB">
                  <w:pPr>
                    <w:pStyle w:val="83"/>
                    <w:adjustRightInd w:val="0"/>
                    <w:snapToGrid w:val="0"/>
                    <w:spacing w:line="320" w:lineRule="exact"/>
                    <w:jc w:val="center"/>
                    <w:rPr>
                      <w:rFonts w:ascii="Times New Roman" w:hAnsi="Times New Roman"/>
                      <w:b/>
                      <w:bCs/>
                      <w:sz w:val="21"/>
                      <w:szCs w:val="21"/>
                      <w:lang w:eastAsia="zh-CN"/>
                    </w:rPr>
                  </w:pPr>
                  <w:r>
                    <w:rPr>
                      <w:rFonts w:hint="eastAsia" w:ascii="Times New Roman" w:hAnsi="Times New Roman"/>
                      <w:b/>
                      <w:bCs/>
                      <w:sz w:val="21"/>
                      <w:szCs w:val="21"/>
                      <w:lang w:eastAsia="zh-CN"/>
                    </w:rPr>
                    <w:t>污染物类别</w:t>
                  </w:r>
                </w:p>
              </w:tc>
              <w:tc>
                <w:tcPr>
                  <w:tcW w:w="639" w:type="pct"/>
                  <w:vAlign w:val="center"/>
                </w:tcPr>
                <w:p w14:paraId="1CD3D285">
                  <w:pPr>
                    <w:pStyle w:val="83"/>
                    <w:adjustRightInd w:val="0"/>
                    <w:snapToGrid w:val="0"/>
                    <w:spacing w:line="320" w:lineRule="exact"/>
                    <w:jc w:val="center"/>
                    <w:rPr>
                      <w:rFonts w:ascii="Times New Roman" w:hAnsi="Times New Roman"/>
                      <w:sz w:val="21"/>
                      <w:szCs w:val="21"/>
                    </w:rPr>
                  </w:pPr>
                  <w:r>
                    <w:rPr>
                      <w:rFonts w:ascii="Times New Roman" w:hAnsi="Times New Roman"/>
                      <w:b/>
                      <w:bCs/>
                      <w:sz w:val="21"/>
                      <w:szCs w:val="21"/>
                    </w:rPr>
                    <w:t>监测点位置</w:t>
                  </w:r>
                </w:p>
              </w:tc>
              <w:tc>
                <w:tcPr>
                  <w:tcW w:w="1020" w:type="pct"/>
                  <w:vAlign w:val="center"/>
                </w:tcPr>
                <w:p w14:paraId="053FF34A">
                  <w:pPr>
                    <w:pStyle w:val="83"/>
                    <w:adjustRightInd w:val="0"/>
                    <w:snapToGrid w:val="0"/>
                    <w:spacing w:line="320" w:lineRule="exact"/>
                    <w:jc w:val="center"/>
                    <w:rPr>
                      <w:rFonts w:ascii="Times New Roman" w:hAnsi="Times New Roman"/>
                      <w:sz w:val="21"/>
                      <w:szCs w:val="21"/>
                    </w:rPr>
                  </w:pPr>
                  <w:r>
                    <w:rPr>
                      <w:rFonts w:ascii="Times New Roman" w:hAnsi="Times New Roman"/>
                      <w:b/>
                      <w:bCs/>
                      <w:sz w:val="21"/>
                      <w:szCs w:val="21"/>
                    </w:rPr>
                    <w:t>监测项目</w:t>
                  </w:r>
                </w:p>
              </w:tc>
              <w:tc>
                <w:tcPr>
                  <w:tcW w:w="502" w:type="pct"/>
                  <w:vAlign w:val="center"/>
                </w:tcPr>
                <w:p w14:paraId="01650F7D">
                  <w:pPr>
                    <w:pStyle w:val="83"/>
                    <w:adjustRightInd w:val="0"/>
                    <w:snapToGrid w:val="0"/>
                    <w:spacing w:line="320" w:lineRule="exact"/>
                    <w:jc w:val="center"/>
                    <w:rPr>
                      <w:rFonts w:ascii="Times New Roman" w:hAnsi="Times New Roman"/>
                      <w:sz w:val="21"/>
                      <w:szCs w:val="21"/>
                    </w:rPr>
                  </w:pPr>
                  <w:r>
                    <w:rPr>
                      <w:rFonts w:ascii="Times New Roman" w:hAnsi="Times New Roman"/>
                      <w:b/>
                      <w:bCs/>
                      <w:sz w:val="21"/>
                      <w:szCs w:val="21"/>
                    </w:rPr>
                    <w:t>监测频率</w:t>
                  </w:r>
                </w:p>
              </w:tc>
              <w:tc>
                <w:tcPr>
                  <w:tcW w:w="2340" w:type="pct"/>
                  <w:tcBorders>
                    <w:right w:val="single" w:color="000000" w:sz="6" w:space="0"/>
                  </w:tcBorders>
                  <w:vAlign w:val="center"/>
                </w:tcPr>
                <w:p w14:paraId="1D0FEB54">
                  <w:pPr>
                    <w:pStyle w:val="83"/>
                    <w:adjustRightInd w:val="0"/>
                    <w:snapToGrid w:val="0"/>
                    <w:spacing w:line="320" w:lineRule="exact"/>
                    <w:jc w:val="center"/>
                    <w:rPr>
                      <w:rFonts w:ascii="Times New Roman" w:hAnsi="Times New Roman"/>
                      <w:sz w:val="21"/>
                      <w:szCs w:val="21"/>
                    </w:rPr>
                  </w:pPr>
                  <w:r>
                    <w:rPr>
                      <w:rFonts w:ascii="Times New Roman" w:hAnsi="Times New Roman"/>
                      <w:b/>
                      <w:bCs/>
                      <w:sz w:val="21"/>
                      <w:szCs w:val="21"/>
                    </w:rPr>
                    <w:t>执行标准</w:t>
                  </w:r>
                </w:p>
              </w:tc>
            </w:tr>
            <w:tr w14:paraId="019E3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6" w:type="pct"/>
                  <w:vMerge w:val="restart"/>
                  <w:shd w:val="clear" w:color="auto" w:fill="auto"/>
                  <w:vAlign w:val="center"/>
                </w:tcPr>
                <w:p w14:paraId="1F16A8D5">
                  <w:pPr>
                    <w:widowControl/>
                    <w:adjustRightInd w:val="0"/>
                    <w:snapToGrid w:val="0"/>
                    <w:spacing w:line="320" w:lineRule="exact"/>
                    <w:jc w:val="center"/>
                    <w:rPr>
                      <w:kern w:val="0"/>
                      <w:szCs w:val="21"/>
                    </w:rPr>
                  </w:pPr>
                  <w:r>
                    <w:rPr>
                      <w:rFonts w:hint="eastAsia"/>
                      <w:kern w:val="0"/>
                      <w:szCs w:val="21"/>
                    </w:rPr>
                    <w:t>综合废水</w:t>
                  </w:r>
                </w:p>
              </w:tc>
              <w:tc>
                <w:tcPr>
                  <w:tcW w:w="639" w:type="pct"/>
                  <w:vMerge w:val="restart"/>
                  <w:shd w:val="clear" w:color="auto" w:fill="auto"/>
                  <w:vAlign w:val="center"/>
                </w:tcPr>
                <w:p w14:paraId="4357B2BB">
                  <w:pPr>
                    <w:widowControl/>
                    <w:adjustRightInd w:val="0"/>
                    <w:snapToGrid w:val="0"/>
                    <w:spacing w:line="320" w:lineRule="exact"/>
                    <w:jc w:val="center"/>
                    <w:rPr>
                      <w:kern w:val="0"/>
                      <w:szCs w:val="21"/>
                    </w:rPr>
                  </w:pPr>
                  <w:r>
                    <w:rPr>
                      <w:rFonts w:hint="eastAsia"/>
                      <w:sz w:val="20"/>
                      <w:szCs w:val="20"/>
                    </w:rPr>
                    <w:t>废水总排口DW001</w:t>
                  </w:r>
                </w:p>
              </w:tc>
              <w:tc>
                <w:tcPr>
                  <w:tcW w:w="1020" w:type="pct"/>
                  <w:shd w:val="clear" w:color="auto" w:fill="auto"/>
                  <w:vAlign w:val="center"/>
                </w:tcPr>
                <w:p w14:paraId="16708CBC">
                  <w:pPr>
                    <w:widowControl/>
                    <w:adjustRightInd w:val="0"/>
                    <w:snapToGrid w:val="0"/>
                    <w:spacing w:line="320" w:lineRule="exact"/>
                    <w:jc w:val="center"/>
                    <w:rPr>
                      <w:szCs w:val="21"/>
                    </w:rPr>
                  </w:pPr>
                  <w:r>
                    <w:rPr>
                      <w:rFonts w:hint="eastAsia"/>
                      <w:sz w:val="20"/>
                      <w:szCs w:val="20"/>
                    </w:rPr>
                    <w:t>pH值、CODcr、BOD</w:t>
                  </w:r>
                  <w:r>
                    <w:rPr>
                      <w:rFonts w:hint="eastAsia"/>
                      <w:sz w:val="20"/>
                      <w:szCs w:val="20"/>
                      <w:vertAlign w:val="subscript"/>
                    </w:rPr>
                    <w:t>5</w:t>
                  </w:r>
                  <w:r>
                    <w:rPr>
                      <w:rFonts w:hint="eastAsia"/>
                      <w:sz w:val="20"/>
                      <w:szCs w:val="20"/>
                    </w:rPr>
                    <w:t>、SS</w:t>
                  </w:r>
                </w:p>
              </w:tc>
              <w:tc>
                <w:tcPr>
                  <w:tcW w:w="502" w:type="pct"/>
                  <w:vAlign w:val="center"/>
                </w:tcPr>
                <w:p w14:paraId="76D3CD87">
                  <w:pPr>
                    <w:pStyle w:val="83"/>
                    <w:adjustRightInd w:val="0"/>
                    <w:snapToGrid w:val="0"/>
                    <w:spacing w:line="320" w:lineRule="exact"/>
                    <w:jc w:val="center"/>
                    <w:rPr>
                      <w:rFonts w:ascii="Times New Roman" w:hAnsi="Times New Roman"/>
                      <w:sz w:val="21"/>
                      <w:szCs w:val="21"/>
                    </w:rPr>
                  </w:pPr>
                  <w:r>
                    <w:rPr>
                      <w:rFonts w:ascii="Times New Roman" w:hAnsi="Times New Roman" w:cs="Times New Roman"/>
                      <w:sz w:val="21"/>
                      <w:szCs w:val="21"/>
                    </w:rPr>
                    <w:t>1</w:t>
                  </w:r>
                  <w:r>
                    <w:rPr>
                      <w:rFonts w:ascii="Times New Roman" w:hAnsi="Times New Roman"/>
                      <w:sz w:val="21"/>
                      <w:szCs w:val="21"/>
                    </w:rPr>
                    <w:t>次</w:t>
                  </w:r>
                  <w:r>
                    <w:rPr>
                      <w:rFonts w:ascii="Times New Roman" w:hAnsi="Times New Roman" w:cs="Times New Roman"/>
                      <w:sz w:val="21"/>
                      <w:szCs w:val="21"/>
                    </w:rPr>
                    <w:t>/</w:t>
                  </w:r>
                  <w:r>
                    <w:rPr>
                      <w:rFonts w:ascii="Times New Roman" w:hAnsi="Times New Roman"/>
                      <w:sz w:val="21"/>
                      <w:szCs w:val="21"/>
                    </w:rPr>
                    <w:t>年</w:t>
                  </w:r>
                </w:p>
              </w:tc>
              <w:tc>
                <w:tcPr>
                  <w:tcW w:w="2340" w:type="pct"/>
                  <w:tcBorders>
                    <w:right w:val="single" w:color="000000" w:sz="6" w:space="0"/>
                  </w:tcBorders>
                  <w:vAlign w:val="center"/>
                </w:tcPr>
                <w:p w14:paraId="3680ADF4">
                  <w:pPr>
                    <w:pStyle w:val="83"/>
                    <w:adjustRightInd w:val="0"/>
                    <w:snapToGrid w:val="0"/>
                    <w:spacing w:line="320" w:lineRule="exact"/>
                    <w:ind w:hanging="4"/>
                    <w:jc w:val="center"/>
                    <w:rPr>
                      <w:rFonts w:ascii="Times New Roman" w:hAnsi="Times New Roman"/>
                      <w:sz w:val="21"/>
                      <w:szCs w:val="21"/>
                      <w:lang w:eastAsia="zh-CN"/>
                    </w:rPr>
                  </w:pPr>
                  <w:r>
                    <w:rPr>
                      <w:rFonts w:ascii="Times New Roman" w:hAnsi="Times New Roman"/>
                      <w:sz w:val="22"/>
                      <w:szCs w:val="22"/>
                      <w:lang w:eastAsia="zh-CN"/>
                    </w:rPr>
                    <w:t>《污水综合排放标准》（</w:t>
                  </w:r>
                  <w:r>
                    <w:rPr>
                      <w:rFonts w:ascii="Times New Roman" w:hAnsi="Times New Roman" w:cs="Times New Roman"/>
                      <w:sz w:val="22"/>
                      <w:szCs w:val="22"/>
                      <w:lang w:eastAsia="zh-CN"/>
                    </w:rPr>
                    <w:t>GB8978-1996</w:t>
                  </w:r>
                  <w:r>
                    <w:rPr>
                      <w:rFonts w:ascii="Times New Roman" w:hAnsi="Times New Roman"/>
                      <w:sz w:val="22"/>
                      <w:szCs w:val="22"/>
                      <w:lang w:eastAsia="zh-CN"/>
                    </w:rPr>
                    <w:t>）中的三级排放标准</w:t>
                  </w:r>
                </w:p>
              </w:tc>
            </w:tr>
            <w:tr w14:paraId="1DAD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96" w:type="pct"/>
                  <w:vMerge w:val="continue"/>
                  <w:vAlign w:val="center"/>
                </w:tcPr>
                <w:p w14:paraId="2CDDB665">
                  <w:pPr>
                    <w:adjustRightInd w:val="0"/>
                    <w:snapToGrid w:val="0"/>
                    <w:spacing w:line="320" w:lineRule="exact"/>
                    <w:jc w:val="center"/>
                    <w:rPr>
                      <w:szCs w:val="21"/>
                    </w:rPr>
                  </w:pPr>
                </w:p>
              </w:tc>
              <w:tc>
                <w:tcPr>
                  <w:tcW w:w="639" w:type="pct"/>
                  <w:vMerge w:val="continue"/>
                  <w:vAlign w:val="center"/>
                </w:tcPr>
                <w:p w14:paraId="50AB11B0">
                  <w:pPr>
                    <w:adjustRightInd w:val="0"/>
                    <w:snapToGrid w:val="0"/>
                    <w:spacing w:line="320" w:lineRule="exact"/>
                    <w:jc w:val="center"/>
                    <w:rPr>
                      <w:szCs w:val="21"/>
                    </w:rPr>
                  </w:pPr>
                </w:p>
              </w:tc>
              <w:tc>
                <w:tcPr>
                  <w:tcW w:w="1020" w:type="pct"/>
                  <w:shd w:val="clear" w:color="auto" w:fill="auto"/>
                  <w:vAlign w:val="center"/>
                </w:tcPr>
                <w:p w14:paraId="4DD27FD7">
                  <w:pPr>
                    <w:widowControl/>
                    <w:adjustRightInd w:val="0"/>
                    <w:snapToGrid w:val="0"/>
                    <w:spacing w:line="320" w:lineRule="exact"/>
                    <w:jc w:val="center"/>
                    <w:rPr>
                      <w:kern w:val="0"/>
                      <w:szCs w:val="21"/>
                    </w:rPr>
                  </w:pPr>
                  <w:r>
                    <w:rPr>
                      <w:sz w:val="20"/>
                      <w:szCs w:val="20"/>
                    </w:rPr>
                    <w:t>NH</w:t>
                  </w:r>
                  <w:r>
                    <w:rPr>
                      <w:sz w:val="13"/>
                      <w:szCs w:val="13"/>
                    </w:rPr>
                    <w:t>3</w:t>
                  </w:r>
                  <w:r>
                    <w:rPr>
                      <w:sz w:val="20"/>
                      <w:szCs w:val="20"/>
                    </w:rPr>
                    <w:t>-N、TP</w:t>
                  </w:r>
                  <w:r>
                    <w:rPr>
                      <w:rFonts w:hint="eastAsia"/>
                      <w:sz w:val="20"/>
                      <w:szCs w:val="20"/>
                    </w:rPr>
                    <w:t>、TN</w:t>
                  </w:r>
                </w:p>
              </w:tc>
              <w:tc>
                <w:tcPr>
                  <w:tcW w:w="502" w:type="pct"/>
                  <w:vAlign w:val="center"/>
                </w:tcPr>
                <w:p w14:paraId="1F7F36AC">
                  <w:pPr>
                    <w:pStyle w:val="83"/>
                    <w:adjustRightInd w:val="0"/>
                    <w:snapToGrid w:val="0"/>
                    <w:spacing w:line="320" w:lineRule="exact"/>
                    <w:jc w:val="center"/>
                    <w:rPr>
                      <w:rFonts w:ascii="Times New Roman" w:hAnsi="Times New Roman"/>
                      <w:sz w:val="21"/>
                      <w:szCs w:val="21"/>
                    </w:rPr>
                  </w:pPr>
                  <w:r>
                    <w:rPr>
                      <w:rFonts w:ascii="Times New Roman" w:hAnsi="Times New Roman" w:cs="Times New Roman"/>
                      <w:sz w:val="21"/>
                      <w:szCs w:val="21"/>
                    </w:rPr>
                    <w:t>1</w:t>
                  </w:r>
                  <w:r>
                    <w:rPr>
                      <w:rFonts w:ascii="Times New Roman" w:hAnsi="Times New Roman"/>
                      <w:sz w:val="21"/>
                      <w:szCs w:val="21"/>
                    </w:rPr>
                    <w:t>次</w:t>
                  </w:r>
                  <w:r>
                    <w:rPr>
                      <w:rFonts w:ascii="Times New Roman" w:hAnsi="Times New Roman" w:cs="Times New Roman"/>
                      <w:sz w:val="21"/>
                      <w:szCs w:val="21"/>
                    </w:rPr>
                    <w:t>/</w:t>
                  </w:r>
                  <w:r>
                    <w:rPr>
                      <w:rFonts w:ascii="Times New Roman" w:hAnsi="Times New Roman"/>
                      <w:sz w:val="21"/>
                      <w:szCs w:val="21"/>
                    </w:rPr>
                    <w:t>年</w:t>
                  </w:r>
                </w:p>
              </w:tc>
              <w:tc>
                <w:tcPr>
                  <w:tcW w:w="2340" w:type="pct"/>
                  <w:tcBorders>
                    <w:right w:val="single" w:color="000000" w:sz="6" w:space="0"/>
                  </w:tcBorders>
                  <w:vAlign w:val="center"/>
                </w:tcPr>
                <w:p w14:paraId="6E61169C">
                  <w:pPr>
                    <w:pStyle w:val="83"/>
                    <w:adjustRightInd w:val="0"/>
                    <w:snapToGrid w:val="0"/>
                    <w:spacing w:line="320" w:lineRule="exact"/>
                    <w:jc w:val="center"/>
                    <w:rPr>
                      <w:rFonts w:ascii="Times New Roman" w:hAnsi="Times New Roman"/>
                      <w:sz w:val="21"/>
                      <w:szCs w:val="21"/>
                      <w:lang w:eastAsia="zh-CN"/>
                    </w:rPr>
                  </w:pPr>
                  <w:r>
                    <w:rPr>
                      <w:rFonts w:ascii="Times New Roman" w:hAnsi="Times New Roman"/>
                      <w:sz w:val="22"/>
                      <w:szCs w:val="22"/>
                      <w:lang w:eastAsia="zh-CN"/>
                    </w:rPr>
                    <w:t>《污水排入城镇下水道水质标准》（</w:t>
                  </w:r>
                  <w:r>
                    <w:rPr>
                      <w:rFonts w:ascii="Times New Roman" w:hAnsi="Times New Roman" w:cs="Times New Roman"/>
                      <w:sz w:val="22"/>
                      <w:szCs w:val="22"/>
                      <w:lang w:eastAsia="zh-CN"/>
                    </w:rPr>
                    <w:t>GB/T31962-2015</w:t>
                  </w:r>
                  <w:r>
                    <w:rPr>
                      <w:rFonts w:ascii="Times New Roman" w:hAnsi="Times New Roman"/>
                      <w:sz w:val="22"/>
                      <w:szCs w:val="22"/>
                      <w:lang w:eastAsia="zh-CN"/>
                    </w:rPr>
                    <w:t>）</w:t>
                  </w:r>
                  <w:r>
                    <w:rPr>
                      <w:rFonts w:hint="eastAsia" w:ascii="Times New Roman" w:hAnsi="Times New Roman"/>
                      <w:sz w:val="22"/>
                      <w:szCs w:val="22"/>
                      <w:lang w:eastAsia="zh-CN"/>
                    </w:rPr>
                    <w:t>表1</w:t>
                  </w:r>
                  <w:r>
                    <w:rPr>
                      <w:rFonts w:ascii="Times New Roman" w:hAnsi="Times New Roman"/>
                      <w:sz w:val="22"/>
                      <w:szCs w:val="22"/>
                      <w:lang w:eastAsia="zh-CN"/>
                    </w:rPr>
                    <w:t>中</w:t>
                  </w:r>
                  <w:r>
                    <w:rPr>
                      <w:rFonts w:ascii="Times New Roman" w:hAnsi="Times New Roman" w:cs="Times New Roman"/>
                      <w:sz w:val="22"/>
                      <w:szCs w:val="22"/>
                      <w:lang w:eastAsia="zh-CN"/>
                    </w:rPr>
                    <w:t>B</w:t>
                  </w:r>
                  <w:r>
                    <w:rPr>
                      <w:rFonts w:ascii="Times New Roman" w:hAnsi="Times New Roman"/>
                      <w:sz w:val="22"/>
                      <w:szCs w:val="22"/>
                      <w:lang w:eastAsia="zh-CN"/>
                    </w:rPr>
                    <w:t>级标准</w:t>
                  </w:r>
                </w:p>
              </w:tc>
            </w:tr>
          </w:tbl>
          <w:p w14:paraId="1C5788FE">
            <w:pPr>
              <w:widowControl/>
              <w:spacing w:line="360" w:lineRule="auto"/>
              <w:jc w:val="left"/>
              <w:rPr>
                <w:b/>
                <w:bCs/>
                <w:color w:val="000000"/>
                <w:kern w:val="0"/>
                <w:sz w:val="24"/>
                <w:lang w:bidi="ar"/>
              </w:rPr>
            </w:pPr>
            <w:r>
              <w:rPr>
                <w:rFonts w:hint="eastAsia"/>
                <w:b/>
                <w:bCs/>
                <w:color w:val="000000"/>
                <w:kern w:val="0"/>
                <w:sz w:val="24"/>
                <w:lang w:bidi="ar"/>
              </w:rPr>
              <w:t>三、噪声</w:t>
            </w:r>
          </w:p>
          <w:p w14:paraId="652F3FC1">
            <w:pPr>
              <w:widowControl/>
              <w:spacing w:line="360" w:lineRule="auto"/>
              <w:ind w:firstLine="482" w:firstLineChars="200"/>
              <w:jc w:val="left"/>
              <w:rPr>
                <w:b/>
                <w:bCs/>
                <w:color w:val="000000"/>
                <w:kern w:val="0"/>
                <w:sz w:val="24"/>
                <w:lang w:bidi="ar"/>
              </w:rPr>
            </w:pPr>
            <w:r>
              <w:rPr>
                <w:b/>
                <w:bCs/>
                <w:color w:val="000000"/>
                <w:kern w:val="0"/>
                <w:sz w:val="24"/>
                <w:lang w:bidi="ar"/>
              </w:rPr>
              <w:t>1、噪声源强及治理措施</w:t>
            </w:r>
          </w:p>
          <w:p w14:paraId="60ADB3E4">
            <w:pPr>
              <w:widowControl/>
              <w:spacing w:line="360" w:lineRule="auto"/>
              <w:ind w:firstLine="480" w:firstLineChars="200"/>
              <w:jc w:val="left"/>
              <w:rPr>
                <w:color w:val="000000"/>
                <w:kern w:val="0"/>
                <w:sz w:val="24"/>
                <w:lang w:bidi="ar"/>
              </w:rPr>
            </w:pPr>
            <w:r>
              <w:rPr>
                <w:color w:val="000000"/>
                <w:kern w:val="0"/>
                <w:sz w:val="24"/>
                <w:lang w:bidi="ar"/>
              </w:rPr>
              <w:t>本项目噪声主要为压缩机、风机、水泵等生产设备运行时产生的机械噪声，源强在</w:t>
            </w:r>
            <w:r>
              <w:rPr>
                <w:rFonts w:hint="eastAsia"/>
                <w:color w:val="000000"/>
                <w:kern w:val="0"/>
                <w:sz w:val="24"/>
                <w:lang w:bidi="ar"/>
              </w:rPr>
              <w:t>85</w:t>
            </w:r>
            <w:r>
              <w:rPr>
                <w:color w:val="000000"/>
                <w:kern w:val="0"/>
                <w:sz w:val="24"/>
                <w:lang w:bidi="ar"/>
              </w:rPr>
              <w:t>~</w:t>
            </w:r>
            <w:r>
              <w:rPr>
                <w:rFonts w:hint="eastAsia"/>
                <w:color w:val="000000"/>
                <w:kern w:val="0"/>
                <w:sz w:val="24"/>
                <w:lang w:bidi="ar"/>
              </w:rPr>
              <w:t>90</w:t>
            </w:r>
            <w:r>
              <w:rPr>
                <w:color w:val="000000"/>
                <w:kern w:val="0"/>
                <w:sz w:val="24"/>
                <w:lang w:bidi="ar"/>
              </w:rPr>
              <w:t>dB（A），本次预测的声源主要为室内声源。主要噪声设备</w:t>
            </w:r>
            <w:r>
              <w:rPr>
                <w:rFonts w:hint="eastAsia"/>
                <w:color w:val="000000"/>
                <w:kern w:val="0"/>
                <w:sz w:val="24"/>
                <w:lang w:bidi="ar"/>
              </w:rPr>
              <w:t>源强</w:t>
            </w:r>
            <w:r>
              <w:rPr>
                <w:color w:val="000000"/>
                <w:kern w:val="0"/>
                <w:sz w:val="24"/>
                <w:lang w:bidi="ar"/>
              </w:rPr>
              <w:t xml:space="preserve">下表： </w:t>
            </w:r>
          </w:p>
          <w:p w14:paraId="02DB176F">
            <w:pPr>
              <w:jc w:val="center"/>
              <w:rPr>
                <w:b/>
                <w:bCs/>
                <w:szCs w:val="21"/>
              </w:rPr>
            </w:pPr>
            <w:r>
              <w:rPr>
                <w:rFonts w:hint="eastAsia"/>
                <w:b/>
                <w:bCs/>
                <w:szCs w:val="21"/>
              </w:rPr>
              <w:t>表4-17 本项目新增主要噪声设备产生源强一览表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42"/>
              <w:gridCol w:w="785"/>
              <w:gridCol w:w="1523"/>
              <w:gridCol w:w="2720"/>
              <w:gridCol w:w="1269"/>
            </w:tblGrid>
            <w:tr w14:paraId="6286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0" w:type="pct"/>
                  <w:vAlign w:val="center"/>
                </w:tcPr>
                <w:p w14:paraId="2A1EBC7E">
                  <w:pPr>
                    <w:widowControl/>
                    <w:ind w:left="-105" w:leftChars="-50" w:right="-105" w:rightChars="-50"/>
                    <w:jc w:val="center"/>
                    <w:rPr>
                      <w:b/>
                      <w:bCs/>
                      <w:kern w:val="0"/>
                      <w:szCs w:val="21"/>
                    </w:rPr>
                  </w:pPr>
                  <w:r>
                    <w:rPr>
                      <w:b/>
                      <w:bCs/>
                      <w:kern w:val="0"/>
                      <w:szCs w:val="21"/>
                    </w:rPr>
                    <w:t>序号</w:t>
                  </w:r>
                </w:p>
              </w:tc>
              <w:tc>
                <w:tcPr>
                  <w:tcW w:w="851" w:type="pct"/>
                  <w:vAlign w:val="center"/>
                </w:tcPr>
                <w:p w14:paraId="7831E5F8">
                  <w:pPr>
                    <w:widowControl/>
                    <w:ind w:left="-105" w:leftChars="-50" w:right="-105" w:rightChars="-50"/>
                    <w:jc w:val="center"/>
                    <w:rPr>
                      <w:b/>
                      <w:bCs/>
                      <w:kern w:val="0"/>
                      <w:szCs w:val="21"/>
                    </w:rPr>
                  </w:pPr>
                  <w:r>
                    <w:rPr>
                      <w:b/>
                      <w:bCs/>
                      <w:kern w:val="0"/>
                      <w:szCs w:val="21"/>
                    </w:rPr>
                    <w:t>设备名称</w:t>
                  </w:r>
                </w:p>
              </w:tc>
              <w:tc>
                <w:tcPr>
                  <w:tcW w:w="463" w:type="pct"/>
                  <w:vAlign w:val="center"/>
                </w:tcPr>
                <w:p w14:paraId="2D5054C7">
                  <w:pPr>
                    <w:widowControl/>
                    <w:ind w:left="-105" w:leftChars="-50" w:right="-105" w:rightChars="-50"/>
                    <w:jc w:val="center"/>
                    <w:rPr>
                      <w:b/>
                      <w:bCs/>
                      <w:kern w:val="0"/>
                      <w:szCs w:val="21"/>
                    </w:rPr>
                  </w:pPr>
                  <w:r>
                    <w:rPr>
                      <w:b/>
                      <w:bCs/>
                      <w:kern w:val="0"/>
                      <w:szCs w:val="21"/>
                    </w:rPr>
                    <w:t>数量（台）</w:t>
                  </w:r>
                </w:p>
              </w:tc>
              <w:tc>
                <w:tcPr>
                  <w:tcW w:w="899" w:type="pct"/>
                  <w:vAlign w:val="center"/>
                </w:tcPr>
                <w:p w14:paraId="7DD12F87">
                  <w:pPr>
                    <w:widowControl/>
                    <w:ind w:left="-105" w:leftChars="-50" w:right="-105" w:rightChars="-50"/>
                    <w:jc w:val="center"/>
                    <w:rPr>
                      <w:b/>
                      <w:bCs/>
                      <w:kern w:val="0"/>
                      <w:szCs w:val="21"/>
                    </w:rPr>
                  </w:pPr>
                  <w:r>
                    <w:rPr>
                      <w:rFonts w:hint="eastAsia"/>
                      <w:b/>
                      <w:bCs/>
                      <w:kern w:val="0"/>
                      <w:szCs w:val="21"/>
                    </w:rPr>
                    <w:t>声功率级</w:t>
                  </w:r>
                  <w:r>
                    <w:rPr>
                      <w:b/>
                      <w:bCs/>
                      <w:kern w:val="0"/>
                      <w:szCs w:val="21"/>
                    </w:rPr>
                    <w:t>dB（A）</w:t>
                  </w:r>
                </w:p>
              </w:tc>
              <w:tc>
                <w:tcPr>
                  <w:tcW w:w="1605" w:type="pct"/>
                  <w:vAlign w:val="center"/>
                </w:tcPr>
                <w:p w14:paraId="5D195B0E">
                  <w:pPr>
                    <w:widowControl/>
                    <w:ind w:left="-105" w:leftChars="-50" w:right="-105" w:rightChars="-50"/>
                    <w:jc w:val="center"/>
                    <w:rPr>
                      <w:b/>
                      <w:bCs/>
                      <w:kern w:val="0"/>
                      <w:szCs w:val="21"/>
                    </w:rPr>
                  </w:pPr>
                  <w:r>
                    <w:rPr>
                      <w:b/>
                      <w:bCs/>
                      <w:kern w:val="0"/>
                      <w:szCs w:val="21"/>
                    </w:rPr>
                    <w:t>治理措施</w:t>
                  </w:r>
                </w:p>
              </w:tc>
              <w:tc>
                <w:tcPr>
                  <w:tcW w:w="749" w:type="pct"/>
                  <w:vAlign w:val="center"/>
                </w:tcPr>
                <w:p w14:paraId="30C72298">
                  <w:pPr>
                    <w:widowControl/>
                    <w:ind w:left="-105" w:leftChars="-50" w:right="-105" w:rightChars="-50"/>
                    <w:jc w:val="center"/>
                    <w:rPr>
                      <w:b/>
                      <w:bCs/>
                      <w:kern w:val="0"/>
                      <w:szCs w:val="21"/>
                    </w:rPr>
                  </w:pPr>
                  <w:r>
                    <w:rPr>
                      <w:rFonts w:hint="eastAsia"/>
                      <w:b/>
                      <w:bCs/>
                      <w:kern w:val="0"/>
                      <w:szCs w:val="21"/>
                    </w:rPr>
                    <w:t>处理后声功率级</w:t>
                  </w:r>
                  <w:r>
                    <w:rPr>
                      <w:b/>
                      <w:bCs/>
                      <w:kern w:val="0"/>
                      <w:szCs w:val="21"/>
                    </w:rPr>
                    <w:t>dB（A）</w:t>
                  </w:r>
                </w:p>
              </w:tc>
            </w:tr>
            <w:tr w14:paraId="6172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0" w:type="pct"/>
                  <w:vAlign w:val="center"/>
                </w:tcPr>
                <w:p w14:paraId="6F406148">
                  <w:pPr>
                    <w:widowControl/>
                    <w:ind w:left="-105" w:leftChars="-50" w:right="-105" w:rightChars="-50"/>
                    <w:jc w:val="center"/>
                    <w:rPr>
                      <w:kern w:val="0"/>
                      <w:szCs w:val="21"/>
                    </w:rPr>
                  </w:pPr>
                  <w:r>
                    <w:rPr>
                      <w:rFonts w:hint="eastAsia"/>
                      <w:kern w:val="0"/>
                      <w:szCs w:val="21"/>
                    </w:rPr>
                    <w:t>1</w:t>
                  </w:r>
                </w:p>
              </w:tc>
              <w:tc>
                <w:tcPr>
                  <w:tcW w:w="851" w:type="pct"/>
                  <w:vAlign w:val="center"/>
                </w:tcPr>
                <w:p w14:paraId="13E105A3">
                  <w:pPr>
                    <w:widowControl/>
                    <w:ind w:left="-105" w:leftChars="-50" w:right="-105" w:rightChars="-50"/>
                    <w:jc w:val="center"/>
                    <w:rPr>
                      <w:kern w:val="0"/>
                      <w:szCs w:val="21"/>
                    </w:rPr>
                  </w:pPr>
                  <w:r>
                    <w:rPr>
                      <w:rFonts w:hint="eastAsia"/>
                      <w:kern w:val="0"/>
                      <w:szCs w:val="21"/>
                    </w:rPr>
                    <w:t>水平式压缩机</w:t>
                  </w:r>
                </w:p>
              </w:tc>
              <w:tc>
                <w:tcPr>
                  <w:tcW w:w="463" w:type="pct"/>
                  <w:vAlign w:val="center"/>
                </w:tcPr>
                <w:p w14:paraId="3AA20912">
                  <w:pPr>
                    <w:widowControl/>
                    <w:ind w:left="-105" w:leftChars="-50" w:right="-105" w:rightChars="-50"/>
                    <w:jc w:val="center"/>
                    <w:rPr>
                      <w:kern w:val="0"/>
                      <w:szCs w:val="21"/>
                    </w:rPr>
                  </w:pPr>
                  <w:r>
                    <w:rPr>
                      <w:rFonts w:hint="eastAsia"/>
                      <w:kern w:val="0"/>
                      <w:szCs w:val="21"/>
                    </w:rPr>
                    <w:t>3</w:t>
                  </w:r>
                </w:p>
              </w:tc>
              <w:tc>
                <w:tcPr>
                  <w:tcW w:w="899" w:type="pct"/>
                  <w:vAlign w:val="center"/>
                </w:tcPr>
                <w:p w14:paraId="7542BC9F">
                  <w:pPr>
                    <w:widowControl/>
                    <w:ind w:left="-105" w:leftChars="-50" w:right="-105" w:rightChars="-50"/>
                    <w:jc w:val="center"/>
                    <w:rPr>
                      <w:kern w:val="0"/>
                      <w:szCs w:val="21"/>
                    </w:rPr>
                  </w:pPr>
                  <w:r>
                    <w:rPr>
                      <w:rFonts w:hint="eastAsia"/>
                      <w:kern w:val="0"/>
                      <w:szCs w:val="21"/>
                    </w:rPr>
                    <w:t>90</w:t>
                  </w:r>
                </w:p>
              </w:tc>
              <w:tc>
                <w:tcPr>
                  <w:tcW w:w="1605" w:type="pct"/>
                  <w:vAlign w:val="center"/>
                </w:tcPr>
                <w:p w14:paraId="1C4B0BBC">
                  <w:pPr>
                    <w:widowControl/>
                    <w:ind w:left="-105" w:leftChars="-50" w:right="-105" w:rightChars="-50"/>
                    <w:jc w:val="center"/>
                    <w:rPr>
                      <w:kern w:val="0"/>
                      <w:szCs w:val="21"/>
                    </w:rPr>
                  </w:pPr>
                  <w:r>
                    <w:rPr>
                      <w:rFonts w:hint="eastAsia"/>
                      <w:szCs w:val="21"/>
                    </w:rPr>
                    <w:t>选用低噪声设备、基础减震</w:t>
                  </w:r>
                </w:p>
              </w:tc>
              <w:tc>
                <w:tcPr>
                  <w:tcW w:w="749" w:type="pct"/>
                  <w:vAlign w:val="center"/>
                </w:tcPr>
                <w:p w14:paraId="060DFB66">
                  <w:pPr>
                    <w:widowControl/>
                    <w:ind w:left="-105" w:leftChars="-50" w:right="-105" w:rightChars="-50"/>
                    <w:jc w:val="center"/>
                    <w:rPr>
                      <w:kern w:val="0"/>
                      <w:szCs w:val="21"/>
                    </w:rPr>
                  </w:pPr>
                  <w:r>
                    <w:rPr>
                      <w:rFonts w:hint="eastAsia"/>
                      <w:kern w:val="0"/>
                      <w:szCs w:val="21"/>
                    </w:rPr>
                    <w:t>85</w:t>
                  </w:r>
                </w:p>
              </w:tc>
            </w:tr>
            <w:tr w14:paraId="457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0" w:type="pct"/>
                  <w:vAlign w:val="center"/>
                </w:tcPr>
                <w:p w14:paraId="74FCA691">
                  <w:pPr>
                    <w:widowControl/>
                    <w:ind w:left="-105" w:leftChars="-50" w:right="-105" w:rightChars="-50"/>
                    <w:jc w:val="center"/>
                    <w:rPr>
                      <w:kern w:val="0"/>
                      <w:szCs w:val="21"/>
                    </w:rPr>
                  </w:pPr>
                  <w:r>
                    <w:rPr>
                      <w:kern w:val="0"/>
                      <w:szCs w:val="21"/>
                    </w:rPr>
                    <w:t>2</w:t>
                  </w:r>
                </w:p>
              </w:tc>
              <w:tc>
                <w:tcPr>
                  <w:tcW w:w="851" w:type="pct"/>
                  <w:vAlign w:val="center"/>
                </w:tcPr>
                <w:p w14:paraId="1B8EF2ED">
                  <w:pPr>
                    <w:widowControl/>
                    <w:ind w:left="-105" w:leftChars="-50" w:right="-105" w:rightChars="-50"/>
                    <w:jc w:val="center"/>
                    <w:textAlignment w:val="center"/>
                    <w:rPr>
                      <w:kern w:val="0"/>
                      <w:szCs w:val="21"/>
                    </w:rPr>
                  </w:pPr>
                  <w:r>
                    <w:rPr>
                      <w:rFonts w:hint="eastAsia"/>
                      <w:kern w:val="0"/>
                      <w:szCs w:val="21"/>
                    </w:rPr>
                    <w:t>风机</w:t>
                  </w:r>
                </w:p>
              </w:tc>
              <w:tc>
                <w:tcPr>
                  <w:tcW w:w="463" w:type="pct"/>
                  <w:vAlign w:val="center"/>
                </w:tcPr>
                <w:p w14:paraId="560A3774">
                  <w:pPr>
                    <w:widowControl/>
                    <w:ind w:left="-105" w:leftChars="-50" w:right="-105" w:rightChars="-50"/>
                    <w:jc w:val="center"/>
                    <w:rPr>
                      <w:szCs w:val="21"/>
                    </w:rPr>
                  </w:pPr>
                  <w:r>
                    <w:rPr>
                      <w:rFonts w:hint="eastAsia"/>
                      <w:szCs w:val="21"/>
                    </w:rPr>
                    <w:t>2</w:t>
                  </w:r>
                </w:p>
              </w:tc>
              <w:tc>
                <w:tcPr>
                  <w:tcW w:w="899" w:type="pct"/>
                  <w:vAlign w:val="center"/>
                </w:tcPr>
                <w:p w14:paraId="60FE304F">
                  <w:pPr>
                    <w:widowControl/>
                    <w:ind w:left="-105" w:leftChars="-50" w:right="-105" w:rightChars="-50"/>
                    <w:jc w:val="center"/>
                    <w:textAlignment w:val="center"/>
                    <w:rPr>
                      <w:kern w:val="0"/>
                      <w:szCs w:val="21"/>
                      <w:lang w:bidi="ar"/>
                    </w:rPr>
                  </w:pPr>
                  <w:r>
                    <w:rPr>
                      <w:rFonts w:hint="eastAsia"/>
                      <w:kern w:val="0"/>
                      <w:szCs w:val="21"/>
                      <w:lang w:bidi="ar"/>
                    </w:rPr>
                    <w:t>90</w:t>
                  </w:r>
                </w:p>
              </w:tc>
              <w:tc>
                <w:tcPr>
                  <w:tcW w:w="1605" w:type="pct"/>
                  <w:vAlign w:val="center"/>
                </w:tcPr>
                <w:p w14:paraId="1290385E">
                  <w:pPr>
                    <w:widowControl/>
                    <w:ind w:left="-105" w:leftChars="-50" w:right="-105" w:rightChars="-50"/>
                    <w:jc w:val="center"/>
                    <w:textAlignment w:val="center"/>
                    <w:rPr>
                      <w:kern w:val="0"/>
                      <w:szCs w:val="21"/>
                      <w:lang w:bidi="ar"/>
                    </w:rPr>
                  </w:pPr>
                  <w:r>
                    <w:rPr>
                      <w:rFonts w:hint="eastAsia"/>
                      <w:szCs w:val="21"/>
                    </w:rPr>
                    <w:t>选用低噪声设备、基础减震</w:t>
                  </w:r>
                </w:p>
              </w:tc>
              <w:tc>
                <w:tcPr>
                  <w:tcW w:w="749" w:type="pct"/>
                  <w:vAlign w:val="center"/>
                </w:tcPr>
                <w:p w14:paraId="41CF36AE">
                  <w:pPr>
                    <w:widowControl/>
                    <w:ind w:left="-105" w:leftChars="-50" w:right="-105" w:rightChars="-50"/>
                    <w:jc w:val="center"/>
                    <w:textAlignment w:val="center"/>
                    <w:rPr>
                      <w:szCs w:val="21"/>
                    </w:rPr>
                  </w:pPr>
                  <w:r>
                    <w:rPr>
                      <w:rFonts w:hint="eastAsia"/>
                      <w:szCs w:val="21"/>
                    </w:rPr>
                    <w:t>85</w:t>
                  </w:r>
                </w:p>
              </w:tc>
            </w:tr>
            <w:tr w14:paraId="528C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0" w:type="pct"/>
                  <w:vAlign w:val="center"/>
                </w:tcPr>
                <w:p w14:paraId="2EF34EC7">
                  <w:pPr>
                    <w:widowControl/>
                    <w:ind w:left="-105" w:leftChars="-50" w:right="-105" w:rightChars="-50"/>
                    <w:jc w:val="center"/>
                    <w:rPr>
                      <w:kern w:val="0"/>
                      <w:szCs w:val="21"/>
                    </w:rPr>
                  </w:pPr>
                  <w:r>
                    <w:rPr>
                      <w:kern w:val="0"/>
                      <w:szCs w:val="21"/>
                    </w:rPr>
                    <w:t>3</w:t>
                  </w:r>
                </w:p>
              </w:tc>
              <w:tc>
                <w:tcPr>
                  <w:tcW w:w="851" w:type="pct"/>
                  <w:vAlign w:val="center"/>
                </w:tcPr>
                <w:p w14:paraId="4721ECB4">
                  <w:pPr>
                    <w:widowControl/>
                    <w:ind w:left="-105" w:leftChars="-50" w:right="-105" w:rightChars="-50"/>
                    <w:jc w:val="center"/>
                    <w:textAlignment w:val="center"/>
                    <w:rPr>
                      <w:kern w:val="0"/>
                      <w:szCs w:val="21"/>
                    </w:rPr>
                  </w:pPr>
                  <w:r>
                    <w:rPr>
                      <w:rFonts w:hint="eastAsia"/>
                      <w:kern w:val="0"/>
                      <w:szCs w:val="21"/>
                    </w:rPr>
                    <w:t>泵</w:t>
                  </w:r>
                </w:p>
              </w:tc>
              <w:tc>
                <w:tcPr>
                  <w:tcW w:w="463" w:type="pct"/>
                  <w:vAlign w:val="center"/>
                </w:tcPr>
                <w:p w14:paraId="7B828902">
                  <w:pPr>
                    <w:widowControl/>
                    <w:ind w:left="-105" w:leftChars="-50" w:right="-105" w:rightChars="-50"/>
                    <w:jc w:val="center"/>
                    <w:rPr>
                      <w:szCs w:val="21"/>
                    </w:rPr>
                  </w:pPr>
                  <w:r>
                    <w:rPr>
                      <w:rFonts w:hint="eastAsia"/>
                      <w:szCs w:val="21"/>
                    </w:rPr>
                    <w:t>2</w:t>
                  </w:r>
                </w:p>
              </w:tc>
              <w:tc>
                <w:tcPr>
                  <w:tcW w:w="899" w:type="pct"/>
                  <w:vAlign w:val="center"/>
                </w:tcPr>
                <w:p w14:paraId="59CF06D7">
                  <w:pPr>
                    <w:widowControl/>
                    <w:ind w:left="-105" w:leftChars="-50" w:right="-105" w:rightChars="-50"/>
                    <w:jc w:val="center"/>
                    <w:textAlignment w:val="center"/>
                    <w:rPr>
                      <w:kern w:val="0"/>
                      <w:szCs w:val="21"/>
                      <w:lang w:bidi="ar"/>
                    </w:rPr>
                  </w:pPr>
                  <w:r>
                    <w:rPr>
                      <w:rFonts w:hint="eastAsia"/>
                      <w:kern w:val="0"/>
                      <w:szCs w:val="21"/>
                      <w:lang w:bidi="ar"/>
                    </w:rPr>
                    <w:t>85</w:t>
                  </w:r>
                </w:p>
              </w:tc>
              <w:tc>
                <w:tcPr>
                  <w:tcW w:w="1605" w:type="pct"/>
                  <w:vAlign w:val="center"/>
                </w:tcPr>
                <w:p w14:paraId="76463C58">
                  <w:pPr>
                    <w:widowControl/>
                    <w:ind w:left="-105" w:leftChars="-50" w:right="-105" w:rightChars="-50"/>
                    <w:jc w:val="center"/>
                    <w:textAlignment w:val="center"/>
                    <w:rPr>
                      <w:kern w:val="0"/>
                      <w:szCs w:val="21"/>
                      <w:lang w:bidi="ar"/>
                    </w:rPr>
                  </w:pPr>
                  <w:r>
                    <w:rPr>
                      <w:rFonts w:hint="eastAsia"/>
                      <w:szCs w:val="21"/>
                    </w:rPr>
                    <w:t>选用低噪声设备、基础减震</w:t>
                  </w:r>
                </w:p>
              </w:tc>
              <w:tc>
                <w:tcPr>
                  <w:tcW w:w="749" w:type="pct"/>
                  <w:vAlign w:val="center"/>
                </w:tcPr>
                <w:p w14:paraId="7F85FECA">
                  <w:pPr>
                    <w:widowControl/>
                    <w:ind w:left="-105" w:leftChars="-50" w:right="-105" w:rightChars="-50"/>
                    <w:jc w:val="center"/>
                    <w:textAlignment w:val="center"/>
                    <w:rPr>
                      <w:szCs w:val="21"/>
                    </w:rPr>
                  </w:pPr>
                  <w:r>
                    <w:rPr>
                      <w:rFonts w:hint="eastAsia"/>
                      <w:szCs w:val="21"/>
                    </w:rPr>
                    <w:t>75</w:t>
                  </w:r>
                </w:p>
              </w:tc>
            </w:tr>
          </w:tbl>
          <w:p w14:paraId="75AE4168">
            <w:pPr>
              <w:spacing w:line="360" w:lineRule="auto"/>
              <w:ind w:firstLine="482" w:firstLineChars="200"/>
              <w:rPr>
                <w:rFonts w:hint="eastAsia" w:ascii="宋体" w:hAnsi="宋体"/>
                <w:b/>
                <w:bCs/>
                <w:sz w:val="24"/>
              </w:rPr>
            </w:pPr>
            <w:r>
              <w:rPr>
                <w:rFonts w:hint="eastAsia" w:ascii="宋体" w:hAnsi="宋体"/>
                <w:b/>
                <w:bCs/>
                <w:sz w:val="24"/>
              </w:rPr>
              <w:t>治理措施：</w:t>
            </w:r>
          </w:p>
          <w:p w14:paraId="39103336">
            <w:pPr>
              <w:spacing w:line="360" w:lineRule="auto"/>
              <w:ind w:firstLine="480" w:firstLineChars="200"/>
              <w:rPr>
                <w:rFonts w:hint="eastAsia" w:ascii="宋体" w:hAnsi="宋体"/>
                <w:sz w:val="24"/>
              </w:rPr>
            </w:pPr>
            <w:r>
              <w:rPr>
                <w:rFonts w:ascii="宋体" w:hAnsi="宋体"/>
                <w:sz w:val="24"/>
              </w:rPr>
              <w:t>①源强控制：在设备选型时尽量选择噪声低的设备；</w:t>
            </w:r>
          </w:p>
          <w:p w14:paraId="3D895EFB">
            <w:pPr>
              <w:spacing w:line="360" w:lineRule="auto"/>
              <w:ind w:firstLine="480" w:firstLineChars="200"/>
              <w:rPr>
                <w:rFonts w:hint="eastAsia" w:ascii="宋体" w:hAnsi="宋体"/>
                <w:sz w:val="24"/>
              </w:rPr>
            </w:pPr>
            <w:r>
              <w:rPr>
                <w:rFonts w:ascii="宋体" w:hAnsi="宋体"/>
                <w:sz w:val="24"/>
              </w:rPr>
              <w:t>②基础减振，对振动性较强的设备，设置台基减震、橡胶减震接头及减震垫等减震设施，安装消声器，设备定期在加润滑油保养，从而减少摩擦噪声产生。</w:t>
            </w:r>
          </w:p>
          <w:p w14:paraId="5A0D9E25">
            <w:pPr>
              <w:spacing w:line="360" w:lineRule="auto"/>
              <w:ind w:firstLine="480" w:firstLineChars="200"/>
              <w:rPr>
                <w:rFonts w:hint="eastAsia" w:ascii="宋体" w:hAnsi="宋体"/>
                <w:sz w:val="24"/>
              </w:rPr>
            </w:pPr>
            <w:r>
              <w:rPr>
                <w:rFonts w:ascii="宋体" w:hAnsi="宋体"/>
                <w:sz w:val="24"/>
              </w:rPr>
              <w:t>③厂房隔声，主要是将一些机械动力性噪声设备设置于厂房内；厂房隔声是噪声控制中最常用、最有效的措施之一，其基本原理为：声波在通过空气的传播途径中，碰到匀质屏蔽物时，由于两分界面特性阻抗的改变，使部分声能被屏蔽物反射回去，一部分被屏蔽物吸收，只有一小部分声能可以透过屏蔽物传到另一端。显然，透射声能仅是入射声能的一部分，因此，通过设置适当的屏蔽物便可以使大部分声能反射回去，从而降低噪声的传播。</w:t>
            </w:r>
          </w:p>
          <w:p w14:paraId="5778DEE9">
            <w:pPr>
              <w:spacing w:line="360" w:lineRule="auto"/>
              <w:ind w:firstLine="480" w:firstLineChars="200"/>
              <w:rPr>
                <w:rFonts w:hint="eastAsia" w:ascii="宋体" w:hAnsi="宋体"/>
                <w:sz w:val="24"/>
              </w:rPr>
            </w:pPr>
            <w:r>
              <w:rPr>
                <w:rFonts w:ascii="宋体" w:hAnsi="宋体"/>
                <w:sz w:val="24"/>
              </w:rPr>
              <w:t>④加强管理：建立设备定期维护，保养的管理制度，以防止设备故障形成的非正常生产噪声，同时确保环保措施发挥最佳有效的功能；加强职工环保意识教育，提倡文明生产，防止人为噪声；强化管理制度，设置降噪标准，严禁鸣笛，进入厂区低速行驶，最大限度减少流动噪声源。</w:t>
            </w:r>
          </w:p>
          <w:p w14:paraId="530C78F2">
            <w:pPr>
              <w:spacing w:line="360" w:lineRule="auto"/>
              <w:ind w:firstLine="480" w:firstLineChars="200"/>
              <w:rPr>
                <w:rFonts w:hint="eastAsia" w:ascii="宋体" w:hAnsi="宋体"/>
                <w:sz w:val="24"/>
              </w:rPr>
            </w:pPr>
            <w:r>
              <w:rPr>
                <w:rFonts w:ascii="宋体" w:hAnsi="宋体"/>
                <w:sz w:val="24"/>
              </w:rPr>
              <w:t>⑤厂区绿化：在厂界四周种植常绿乔木构成隔声绿化带，并做好厂区绿化。</w:t>
            </w:r>
          </w:p>
          <w:p w14:paraId="2088AFC3">
            <w:pPr>
              <w:widowControl/>
              <w:spacing w:line="360" w:lineRule="auto"/>
              <w:jc w:val="left"/>
              <w:rPr>
                <w:b/>
                <w:bCs/>
                <w:sz w:val="24"/>
                <w:highlight w:val="cyan"/>
              </w:rPr>
            </w:pPr>
            <w:r>
              <w:rPr>
                <w:rFonts w:ascii="宋体" w:hAnsi="宋体"/>
                <w:sz w:val="24"/>
              </w:rPr>
              <w:t>经过以上措施处理，降噪量</w:t>
            </w:r>
            <w:r>
              <w:rPr>
                <w:rFonts w:hint="eastAsia" w:ascii="宋体" w:hAnsi="宋体"/>
                <w:sz w:val="24"/>
              </w:rPr>
              <w:t>可</w:t>
            </w:r>
            <w:r>
              <w:rPr>
                <w:rFonts w:ascii="宋体" w:hAnsi="宋体"/>
                <w:sz w:val="24"/>
              </w:rPr>
              <w:t>达</w:t>
            </w:r>
            <w:r>
              <w:rPr>
                <w:rFonts w:hint="eastAsia"/>
                <w:sz w:val="24"/>
              </w:rPr>
              <w:t>20~25</w:t>
            </w:r>
            <w:r>
              <w:rPr>
                <w:sz w:val="24"/>
              </w:rPr>
              <w:t>dB</w:t>
            </w:r>
            <w:r>
              <w:rPr>
                <w:rFonts w:ascii="宋体" w:hAnsi="宋体"/>
                <w:sz w:val="24"/>
              </w:rPr>
              <w:t>（</w:t>
            </w:r>
            <w:r>
              <w:rPr>
                <w:sz w:val="24"/>
              </w:rPr>
              <w:t>A</w:t>
            </w:r>
            <w:r>
              <w:rPr>
                <w:rFonts w:ascii="宋体" w:hAnsi="宋体"/>
                <w:sz w:val="24"/>
              </w:rPr>
              <w:t>）。</w:t>
            </w:r>
          </w:p>
          <w:p w14:paraId="36CB8922">
            <w:pPr>
              <w:widowControl/>
              <w:numPr>
                <w:ilvl w:val="0"/>
                <w:numId w:val="11"/>
              </w:numPr>
              <w:spacing w:line="360" w:lineRule="auto"/>
              <w:ind w:firstLine="482" w:firstLineChars="200"/>
              <w:jc w:val="left"/>
              <w:rPr>
                <w:b/>
                <w:bCs/>
                <w:sz w:val="24"/>
              </w:rPr>
            </w:pPr>
            <w:r>
              <w:rPr>
                <w:rFonts w:hint="eastAsia"/>
                <w:b/>
                <w:bCs/>
                <w:sz w:val="24"/>
              </w:rPr>
              <w:t>噪声预测模型</w:t>
            </w:r>
          </w:p>
          <w:p w14:paraId="3958A728">
            <w:pPr>
              <w:adjustRightInd w:val="0"/>
              <w:spacing w:line="360" w:lineRule="auto"/>
              <w:ind w:firstLine="480" w:firstLineChars="200"/>
              <w:rPr>
                <w:sz w:val="24"/>
              </w:rPr>
            </w:pPr>
            <w:r>
              <w:rPr>
                <w:rFonts w:hint="eastAsia" w:ascii="宋体" w:hAnsi="宋体"/>
                <w:sz w:val="24"/>
              </w:rPr>
              <w:t>本环评采用《环境影响评价技术导则-声环境》（HJ2.4-2021）附录A及附录B中工业噪声预测模式进行预测，工业噪声源有室外和室内两种声源，室内声源等效室外声源声功率级进行计算。</w:t>
            </w:r>
          </w:p>
          <w:p w14:paraId="19118027">
            <w:pPr>
              <w:adjustRightInd w:val="0"/>
              <w:spacing w:line="360" w:lineRule="auto"/>
              <w:ind w:firstLine="480" w:firstLineChars="200"/>
              <w:rPr>
                <w:sz w:val="24"/>
              </w:rPr>
            </w:pPr>
            <w:r>
              <w:rPr>
                <w:rFonts w:hint="eastAsia" w:ascii="宋体" w:hAnsi="宋体"/>
                <w:sz w:val="24"/>
              </w:rPr>
              <w:t>①</w:t>
            </w:r>
            <w:r>
              <w:rPr>
                <w:snapToGrid w:val="0"/>
                <w:sz w:val="24"/>
              </w:rPr>
              <w:t>计算某一室内声源靠近围护结构处产生的倍频带声压级或A声级</w:t>
            </w:r>
          </w:p>
          <w:p w14:paraId="4F6E0ABE">
            <w:pPr>
              <w:adjustRightInd w:val="0"/>
              <w:spacing w:line="360" w:lineRule="auto"/>
              <w:jc w:val="center"/>
              <w:rPr>
                <w:sz w:val="24"/>
              </w:rPr>
            </w:pPr>
            <w:r>
              <w:drawing>
                <wp:inline distT="0" distB="0" distL="0" distR="0">
                  <wp:extent cx="1428750" cy="390525"/>
                  <wp:effectExtent l="0" t="0" r="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0" cy="390525"/>
                          </a:xfrm>
                          <a:prstGeom prst="rect">
                            <a:avLst/>
                          </a:prstGeom>
                          <a:noFill/>
                          <a:ln>
                            <a:noFill/>
                          </a:ln>
                        </pic:spPr>
                      </pic:pic>
                    </a:graphicData>
                  </a:graphic>
                </wp:inline>
              </w:drawing>
            </w:r>
          </w:p>
          <w:p w14:paraId="4B9F0C2A">
            <w:pPr>
              <w:pStyle w:val="91"/>
              <w:spacing w:line="360" w:lineRule="auto"/>
              <w:ind w:firstLine="480"/>
              <w:textAlignment w:val="baseline"/>
              <w:rPr>
                <w:rFonts w:eastAsia="宋体"/>
                <w:snapToGrid w:val="0"/>
                <w:sz w:val="24"/>
              </w:rPr>
            </w:pPr>
            <w:r>
              <w:rPr>
                <w:rFonts w:hint="eastAsia" w:eastAsia="宋体"/>
                <w:snapToGrid w:val="0"/>
                <w:sz w:val="24"/>
              </w:rPr>
              <w:t>式中：</w:t>
            </w:r>
          </w:p>
          <w:p w14:paraId="2FA28BBD">
            <w:pPr>
              <w:pStyle w:val="91"/>
              <w:spacing w:line="360" w:lineRule="auto"/>
              <w:ind w:firstLine="480"/>
              <w:textAlignment w:val="baseline"/>
              <w:rPr>
                <w:rFonts w:eastAsia="宋体"/>
                <w:snapToGrid w:val="0"/>
                <w:sz w:val="24"/>
              </w:rPr>
            </w:pPr>
            <w:r>
              <w:rPr>
                <w:rFonts w:eastAsia="宋体"/>
                <w:snapToGrid w:val="0"/>
                <w:sz w:val="24"/>
              </w:rPr>
              <w:t>L</w:t>
            </w:r>
            <w:r>
              <w:rPr>
                <w:rFonts w:eastAsia="宋体"/>
                <w:snapToGrid w:val="0"/>
                <w:sz w:val="24"/>
                <w:vertAlign w:val="subscript"/>
              </w:rPr>
              <w:t>p1</w:t>
            </w:r>
            <w:r>
              <w:rPr>
                <w:rFonts w:eastAsia="宋体"/>
                <w:snapToGrid w:val="0"/>
                <w:sz w:val="24"/>
              </w:rPr>
              <w:t>—靠近开口处（或窗户）室内某倍频带的声压级或A声级，dB；</w:t>
            </w:r>
          </w:p>
          <w:p w14:paraId="09D79B65">
            <w:pPr>
              <w:pStyle w:val="91"/>
              <w:spacing w:line="360" w:lineRule="auto"/>
              <w:ind w:firstLine="480"/>
              <w:textAlignment w:val="baseline"/>
              <w:rPr>
                <w:rFonts w:eastAsia="宋体"/>
                <w:snapToGrid w:val="0"/>
                <w:sz w:val="24"/>
              </w:rPr>
            </w:pPr>
            <w:r>
              <w:rPr>
                <w:rFonts w:eastAsia="宋体"/>
                <w:snapToGrid w:val="0"/>
                <w:sz w:val="24"/>
              </w:rPr>
              <w:t>L</w:t>
            </w:r>
            <w:r>
              <w:rPr>
                <w:rFonts w:eastAsia="宋体"/>
                <w:snapToGrid w:val="0"/>
                <w:sz w:val="24"/>
                <w:vertAlign w:val="subscript"/>
              </w:rPr>
              <w:t>w</w:t>
            </w:r>
            <w:r>
              <w:rPr>
                <w:rFonts w:eastAsia="宋体"/>
                <w:snapToGrid w:val="0"/>
                <w:sz w:val="24"/>
              </w:rPr>
              <w:t>—点声源声功率级（A计权或倍频带），dB；</w:t>
            </w:r>
          </w:p>
          <w:p w14:paraId="2F711AFA">
            <w:pPr>
              <w:pStyle w:val="91"/>
              <w:spacing w:line="360" w:lineRule="auto"/>
              <w:ind w:firstLine="480"/>
              <w:textAlignment w:val="baseline"/>
              <w:rPr>
                <w:rFonts w:eastAsia="宋体"/>
                <w:snapToGrid w:val="0"/>
                <w:sz w:val="24"/>
              </w:rPr>
            </w:pPr>
            <w:r>
              <w:rPr>
                <w:rFonts w:eastAsia="宋体"/>
                <w:snapToGrid w:val="0"/>
                <w:sz w:val="24"/>
              </w:rPr>
              <w:t>Q—指向性因数；通常对无指向性声源，当声源放在房间中心时，Q=1；当放在一面墙的中心时，Q=2；当放在两面墙夹角处时，Q=4；当放在三面墙夹角处时，Q=8；</w:t>
            </w:r>
          </w:p>
          <w:p w14:paraId="2124C5E2">
            <w:pPr>
              <w:pStyle w:val="91"/>
              <w:spacing w:line="360" w:lineRule="auto"/>
              <w:ind w:firstLine="480"/>
              <w:textAlignment w:val="baseline"/>
              <w:rPr>
                <w:rFonts w:eastAsia="宋体"/>
                <w:snapToGrid w:val="0"/>
                <w:sz w:val="24"/>
              </w:rPr>
            </w:pPr>
            <w:r>
              <w:rPr>
                <w:rFonts w:eastAsia="宋体"/>
                <w:snapToGrid w:val="0"/>
                <w:sz w:val="24"/>
              </w:rPr>
              <w:t>R—房间常数；R=Sα/（1—</w:t>
            </w:r>
            <w:r>
              <w:rPr>
                <w:rFonts w:eastAsia="宋体"/>
                <w:i/>
                <w:iCs/>
                <w:kern w:val="0"/>
                <w:sz w:val="24"/>
                <w:lang w:bidi="ar"/>
              </w:rPr>
              <w:t>α</w:t>
            </w:r>
            <w:r>
              <w:rPr>
                <w:rFonts w:eastAsia="宋体"/>
                <w:snapToGrid w:val="0"/>
                <w:sz w:val="24"/>
              </w:rPr>
              <w:t>），S为房间内表面面积，m</w:t>
            </w:r>
            <w:r>
              <w:rPr>
                <w:rFonts w:eastAsia="宋体"/>
                <w:snapToGrid w:val="0"/>
                <w:sz w:val="24"/>
                <w:vertAlign w:val="superscript"/>
              </w:rPr>
              <w:t>2</w:t>
            </w:r>
            <w:r>
              <w:rPr>
                <w:rFonts w:eastAsia="宋体"/>
                <w:snapToGrid w:val="0"/>
                <w:sz w:val="24"/>
              </w:rPr>
              <w:t>；</w:t>
            </w:r>
            <w:r>
              <w:rPr>
                <w:rFonts w:eastAsia="宋体"/>
                <w:i/>
                <w:iCs/>
                <w:kern w:val="0"/>
                <w:sz w:val="24"/>
                <w:lang w:bidi="ar"/>
              </w:rPr>
              <w:t>α</w:t>
            </w:r>
            <w:r>
              <w:rPr>
                <w:rFonts w:eastAsia="宋体"/>
                <w:snapToGrid w:val="0"/>
                <w:sz w:val="24"/>
              </w:rPr>
              <w:t>为平均吸声系数；</w:t>
            </w:r>
          </w:p>
          <w:p w14:paraId="1AC83982">
            <w:pPr>
              <w:adjustRightInd w:val="0"/>
              <w:spacing w:line="360" w:lineRule="auto"/>
              <w:ind w:firstLine="480" w:firstLineChars="200"/>
              <w:rPr>
                <w:snapToGrid w:val="0"/>
                <w:sz w:val="24"/>
              </w:rPr>
            </w:pPr>
            <w:r>
              <w:rPr>
                <w:snapToGrid w:val="0"/>
                <w:sz w:val="24"/>
              </w:rPr>
              <w:t>r—声源到靠近围护结构某点处的距离，m</w:t>
            </w:r>
          </w:p>
          <w:p w14:paraId="0E52F1DE">
            <w:pPr>
              <w:wordWrap w:val="0"/>
              <w:adjustRightInd w:val="0"/>
              <w:spacing w:line="360" w:lineRule="auto"/>
              <w:ind w:firstLine="480" w:firstLineChars="200"/>
              <w:rPr>
                <w:rFonts w:hint="eastAsia" w:ascii="宋体" w:hAnsi="宋体"/>
                <w:sz w:val="24"/>
              </w:rPr>
            </w:pPr>
            <w:r>
              <w:rPr>
                <w:rFonts w:hint="eastAsia" w:ascii="宋体" w:hAnsi="宋体"/>
                <w:sz w:val="24"/>
                <w:lang w:val="de-DE"/>
              </w:rPr>
              <w:t>根据《环境影响评价技术导则－声环境》（</w:t>
            </w:r>
            <w:r>
              <w:rPr>
                <w:rFonts w:hint="eastAsia" w:ascii="宋体" w:hAnsi="宋体"/>
                <w:sz w:val="24"/>
              </w:rPr>
              <w:t>HJ2.4-2021</w:t>
            </w:r>
            <w:r>
              <w:rPr>
                <w:rFonts w:hint="eastAsia" w:ascii="宋体" w:hAnsi="宋体"/>
                <w:sz w:val="24"/>
                <w:lang w:val="de-DE"/>
              </w:rPr>
              <w:t>）中关于噪声源简化处理原则，以独立房间视为一个点声源，将房间内的主要噪声源分别进行声级叠加，一个叠加声源经房间墙体的隔声衰减，传至室外的声级值作为一个等效室外声源。</w:t>
            </w:r>
            <w:r>
              <w:rPr>
                <w:rFonts w:hint="eastAsia" w:ascii="宋体" w:hAnsi="宋体"/>
                <w:sz w:val="24"/>
              </w:rPr>
              <w:t>所有室内声</w:t>
            </w:r>
            <w:r>
              <w:rPr>
                <w:rFonts w:hint="eastAsia" w:ascii="宋体" w:hAnsi="宋体"/>
                <w:sz w:val="24"/>
                <w:lang w:val="de-DE"/>
              </w:rPr>
              <w:t>源</w:t>
            </w:r>
            <w:r>
              <w:rPr>
                <w:rFonts w:hint="eastAsia" w:ascii="宋体" w:hAnsi="宋体"/>
                <w:sz w:val="24"/>
              </w:rPr>
              <w:t>在围护结构处产生的i倍频带</w:t>
            </w:r>
            <w:r>
              <w:rPr>
                <w:rFonts w:hint="eastAsia" w:ascii="宋体" w:hAnsi="宋体"/>
                <w:sz w:val="24"/>
                <w:lang w:val="de-DE"/>
              </w:rPr>
              <w:t>叠加声级</w:t>
            </w:r>
            <w:r>
              <w:rPr>
                <w:rFonts w:hint="eastAsia" w:ascii="宋体" w:hAnsi="宋体"/>
                <w:sz w:val="24"/>
                <w:lang w:val="de-DE" w:eastAsia="zh-CN"/>
              </w:rPr>
              <w:t>；</w:t>
            </w:r>
          </w:p>
          <w:p w14:paraId="1F15899F">
            <w:pPr>
              <w:pStyle w:val="91"/>
              <w:spacing w:line="360" w:lineRule="auto"/>
              <w:ind w:firstLine="480"/>
              <w:jc w:val="center"/>
              <w:textAlignment w:val="baseline"/>
              <w:rPr>
                <w:rFonts w:eastAsia="宋体"/>
                <w:snapToGrid w:val="0"/>
                <w:sz w:val="24"/>
              </w:rPr>
            </w:pPr>
            <w:r>
              <w:rPr>
                <w:rFonts w:eastAsia="宋体"/>
                <w:snapToGrid w:val="0"/>
                <w:sz w:val="24"/>
              </w:rPr>
              <w:drawing>
                <wp:inline distT="0" distB="0" distL="114300" distR="114300">
                  <wp:extent cx="1905635" cy="565150"/>
                  <wp:effectExtent l="0" t="0" r="1841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1905635" cy="565150"/>
                          </a:xfrm>
                          <a:prstGeom prst="rect">
                            <a:avLst/>
                          </a:prstGeom>
                          <a:noFill/>
                          <a:ln>
                            <a:noFill/>
                          </a:ln>
                        </pic:spPr>
                      </pic:pic>
                    </a:graphicData>
                  </a:graphic>
                </wp:inline>
              </w:drawing>
            </w:r>
          </w:p>
          <w:p w14:paraId="184D668A">
            <w:pPr>
              <w:pStyle w:val="91"/>
              <w:spacing w:line="360" w:lineRule="auto"/>
              <w:ind w:firstLine="480"/>
              <w:textAlignment w:val="baseline"/>
              <w:rPr>
                <w:rFonts w:eastAsia="宋体"/>
                <w:snapToGrid w:val="0"/>
                <w:sz w:val="24"/>
                <w:lang w:val="de-DE"/>
              </w:rPr>
            </w:pPr>
            <w:r>
              <w:rPr>
                <w:rFonts w:eastAsia="宋体"/>
                <w:snapToGrid w:val="0"/>
                <w:sz w:val="24"/>
                <w:lang w:val="de-DE"/>
              </w:rPr>
              <w:t>式中：</w:t>
            </w:r>
          </w:p>
          <w:p w14:paraId="6C638470">
            <w:pPr>
              <w:pStyle w:val="91"/>
              <w:spacing w:line="360" w:lineRule="auto"/>
              <w:ind w:firstLine="480"/>
              <w:textAlignment w:val="baseline"/>
              <w:rPr>
                <w:rFonts w:eastAsia="宋体"/>
                <w:snapToGrid w:val="0"/>
                <w:sz w:val="24"/>
                <w:lang w:val="de-DE"/>
              </w:rPr>
            </w:pPr>
            <w:r>
              <w:rPr>
                <w:rFonts w:eastAsia="宋体"/>
                <w:snapToGrid w:val="0"/>
                <w:sz w:val="24"/>
                <w:lang w:val="de-DE"/>
              </w:rPr>
              <w:t>L</w:t>
            </w:r>
            <w:r>
              <w:rPr>
                <w:rFonts w:hint="eastAsia" w:eastAsia="宋体"/>
                <w:snapToGrid w:val="0"/>
                <w:sz w:val="24"/>
              </w:rPr>
              <w:t>pli（T）</w:t>
            </w:r>
            <w:r>
              <w:rPr>
                <w:rFonts w:eastAsia="宋体"/>
                <w:snapToGrid w:val="0"/>
                <w:sz w:val="24"/>
                <w:lang w:val="de-DE"/>
              </w:rPr>
              <w:t>——</w:t>
            </w:r>
            <w:r>
              <w:rPr>
                <w:rFonts w:hint="eastAsia" w:eastAsia="宋体"/>
                <w:snapToGrid w:val="0"/>
                <w:sz w:val="24"/>
              </w:rPr>
              <w:t>靠近围护结构处室内N个声源i倍频带的</w:t>
            </w:r>
            <w:r>
              <w:rPr>
                <w:rFonts w:eastAsia="宋体"/>
                <w:snapToGrid w:val="0"/>
                <w:sz w:val="24"/>
                <w:lang w:val="de-DE"/>
              </w:rPr>
              <w:t>叠加</w:t>
            </w:r>
            <w:r>
              <w:rPr>
                <w:rFonts w:hint="eastAsia" w:eastAsia="宋体"/>
                <w:snapToGrid w:val="0"/>
                <w:sz w:val="24"/>
              </w:rPr>
              <w:t>声压级</w:t>
            </w:r>
            <w:r>
              <w:rPr>
                <w:rFonts w:eastAsia="宋体"/>
                <w:snapToGrid w:val="0"/>
                <w:sz w:val="24"/>
                <w:lang w:val="de-DE"/>
              </w:rPr>
              <w:t>dB(A</w:t>
            </w:r>
            <w:r>
              <w:rPr>
                <w:rFonts w:hint="eastAsia" w:eastAsia="宋体"/>
                <w:snapToGrid w:val="0"/>
                <w:sz w:val="24"/>
                <w:lang w:val="de-DE" w:eastAsia="zh-CN"/>
              </w:rPr>
              <w:t>）</w:t>
            </w:r>
            <w:r>
              <w:rPr>
                <w:rFonts w:eastAsia="宋体"/>
                <w:snapToGrid w:val="0"/>
                <w:sz w:val="24"/>
                <w:lang w:val="de-DE"/>
              </w:rPr>
              <w:t>；</w:t>
            </w:r>
          </w:p>
          <w:p w14:paraId="40DCA164">
            <w:pPr>
              <w:pStyle w:val="91"/>
              <w:spacing w:line="360" w:lineRule="auto"/>
              <w:ind w:firstLine="480"/>
              <w:textAlignment w:val="baseline"/>
              <w:rPr>
                <w:rFonts w:eastAsia="宋体"/>
                <w:snapToGrid w:val="0"/>
                <w:sz w:val="24"/>
                <w:lang w:val="de-DE"/>
              </w:rPr>
            </w:pPr>
            <w:r>
              <w:rPr>
                <w:rFonts w:eastAsia="宋体"/>
                <w:snapToGrid w:val="0"/>
                <w:sz w:val="24"/>
                <w:lang w:val="de-DE"/>
              </w:rPr>
              <w:t>L</w:t>
            </w:r>
            <w:r>
              <w:rPr>
                <w:rFonts w:hint="eastAsia" w:eastAsia="宋体"/>
                <w:snapToGrid w:val="0"/>
                <w:sz w:val="24"/>
              </w:rPr>
              <w:t>pl</w:t>
            </w:r>
            <w:r>
              <w:rPr>
                <w:rFonts w:eastAsia="宋体"/>
                <w:snapToGrid w:val="0"/>
                <w:sz w:val="24"/>
                <w:lang w:val="de-DE"/>
              </w:rPr>
              <w:t>i</w:t>
            </w:r>
            <w:r>
              <w:rPr>
                <w:rFonts w:hint="eastAsia" w:eastAsia="宋体"/>
                <w:snapToGrid w:val="0"/>
                <w:sz w:val="24"/>
              </w:rPr>
              <w:t>j</w:t>
            </w:r>
            <w:r>
              <w:rPr>
                <w:rFonts w:eastAsia="宋体"/>
                <w:snapToGrid w:val="0"/>
                <w:sz w:val="24"/>
                <w:lang w:val="de-DE"/>
              </w:rPr>
              <w:t>——</w:t>
            </w:r>
            <w:r>
              <w:rPr>
                <w:rFonts w:hint="eastAsia" w:eastAsia="宋体"/>
                <w:snapToGrid w:val="0"/>
                <w:sz w:val="24"/>
              </w:rPr>
              <w:t>室内j声源</w:t>
            </w:r>
            <w:r>
              <w:rPr>
                <w:rFonts w:eastAsia="宋体"/>
                <w:snapToGrid w:val="0"/>
                <w:sz w:val="24"/>
                <w:lang w:val="de-DE"/>
              </w:rPr>
              <w:t>i</w:t>
            </w:r>
            <w:r>
              <w:rPr>
                <w:rFonts w:hint="eastAsia" w:eastAsia="宋体"/>
                <w:snapToGrid w:val="0"/>
                <w:sz w:val="24"/>
              </w:rPr>
              <w:t>倍频带的声压级，</w:t>
            </w:r>
            <w:r>
              <w:rPr>
                <w:rFonts w:eastAsia="宋体"/>
                <w:snapToGrid w:val="0"/>
                <w:sz w:val="24"/>
                <w:lang w:val="de-DE"/>
              </w:rPr>
              <w:t>dB(A</w:t>
            </w:r>
            <w:r>
              <w:rPr>
                <w:rFonts w:hint="eastAsia" w:eastAsia="宋体"/>
                <w:snapToGrid w:val="0"/>
                <w:sz w:val="24"/>
                <w:lang w:val="de-DE" w:eastAsia="zh-CN"/>
              </w:rPr>
              <w:t>）</w:t>
            </w:r>
            <w:r>
              <w:rPr>
                <w:rFonts w:eastAsia="宋体"/>
                <w:snapToGrid w:val="0"/>
                <w:sz w:val="24"/>
                <w:lang w:val="de-DE"/>
              </w:rPr>
              <w:t>；</w:t>
            </w:r>
          </w:p>
          <w:p w14:paraId="6B2857F6">
            <w:pPr>
              <w:pStyle w:val="91"/>
              <w:spacing w:line="360" w:lineRule="auto"/>
              <w:ind w:firstLine="480"/>
              <w:textAlignment w:val="baseline"/>
              <w:rPr>
                <w:rFonts w:eastAsia="宋体"/>
                <w:snapToGrid w:val="0"/>
                <w:sz w:val="24"/>
                <w:lang w:val="de-DE"/>
              </w:rPr>
            </w:pPr>
            <w:r>
              <w:rPr>
                <w:rFonts w:hint="eastAsia" w:eastAsia="宋体"/>
                <w:snapToGrid w:val="0"/>
                <w:sz w:val="24"/>
              </w:rPr>
              <w:t>N</w:t>
            </w:r>
            <w:r>
              <w:rPr>
                <w:rFonts w:eastAsia="宋体"/>
                <w:snapToGrid w:val="0"/>
                <w:sz w:val="24"/>
                <w:lang w:val="de-DE"/>
              </w:rPr>
              <w:t>——</w:t>
            </w:r>
            <w:r>
              <w:rPr>
                <w:rFonts w:hint="eastAsia" w:eastAsia="宋体"/>
                <w:snapToGrid w:val="0"/>
                <w:sz w:val="24"/>
              </w:rPr>
              <w:t>室内</w:t>
            </w:r>
            <w:r>
              <w:rPr>
                <w:rFonts w:eastAsia="宋体"/>
                <w:snapToGrid w:val="0"/>
                <w:sz w:val="24"/>
                <w:lang w:val="de-DE"/>
              </w:rPr>
              <w:t>声源</w:t>
            </w:r>
            <w:r>
              <w:rPr>
                <w:rFonts w:hint="eastAsia" w:eastAsia="宋体"/>
                <w:snapToGrid w:val="0"/>
                <w:sz w:val="24"/>
              </w:rPr>
              <w:t>总</w:t>
            </w:r>
            <w:r>
              <w:rPr>
                <w:rFonts w:eastAsia="宋体"/>
                <w:snapToGrid w:val="0"/>
                <w:sz w:val="24"/>
                <w:lang w:val="de-DE"/>
              </w:rPr>
              <w:t>数。</w:t>
            </w:r>
          </w:p>
          <w:p w14:paraId="05C36205">
            <w:pPr>
              <w:adjustRightInd w:val="0"/>
              <w:spacing w:line="360" w:lineRule="auto"/>
              <w:ind w:firstLine="480" w:firstLineChars="200"/>
              <w:rPr>
                <w:sz w:val="24"/>
              </w:rPr>
            </w:pPr>
            <w:r>
              <w:rPr>
                <w:rFonts w:hint="eastAsia" w:ascii="宋体" w:hAnsi="宋体"/>
                <w:sz w:val="24"/>
              </w:rPr>
              <w:t>③计算出室外靠近围护结构处的声压级：</w:t>
            </w:r>
          </w:p>
          <w:p w14:paraId="339411CA">
            <w:pPr>
              <w:adjustRightInd w:val="0"/>
              <w:snapToGrid w:val="0"/>
              <w:spacing w:before="48" w:beforeLines="20" w:after="48" w:afterLines="20"/>
              <w:ind w:firstLine="574"/>
              <w:jc w:val="center"/>
              <w:rPr>
                <w:iCs/>
                <w:w w:val="120"/>
              </w:rPr>
            </w:pPr>
            <w:r>
              <w:rPr>
                <w:iCs/>
                <w:w w:val="120"/>
              </w:rPr>
              <w:t>L</w:t>
            </w:r>
            <w:r>
              <w:rPr>
                <w:rFonts w:hint="eastAsia"/>
                <w:iCs/>
                <w:w w:val="120"/>
              </w:rPr>
              <w:t>p2i(T)=</w:t>
            </w:r>
            <w:r>
              <w:rPr>
                <w:iCs/>
                <w:w w:val="120"/>
              </w:rPr>
              <w:t>Lp</w:t>
            </w:r>
            <w:r>
              <w:rPr>
                <w:rFonts w:hint="eastAsia"/>
                <w:iCs/>
                <w:w w:val="120"/>
              </w:rPr>
              <w:t>1i</w:t>
            </w:r>
            <w:r>
              <w:rPr>
                <w:iCs/>
                <w:w w:val="120"/>
              </w:rPr>
              <w:t>(T)</w:t>
            </w:r>
            <w:r>
              <w:rPr>
                <w:rFonts w:hint="eastAsia"/>
                <w:iCs/>
                <w:w w:val="120"/>
              </w:rPr>
              <w:t>-</w:t>
            </w:r>
            <w:r>
              <w:rPr>
                <w:rFonts w:hint="eastAsia"/>
                <w:iCs/>
                <w:w w:val="120"/>
                <w:lang w:eastAsia="zh-CN"/>
              </w:rPr>
              <w:t>(</w:t>
            </w:r>
            <w:r>
              <w:rPr>
                <w:rFonts w:hint="eastAsia"/>
                <w:iCs/>
                <w:w w:val="120"/>
              </w:rPr>
              <w:t>TLi+6</w:t>
            </w:r>
            <w:r>
              <w:rPr>
                <w:rFonts w:hint="eastAsia"/>
                <w:iCs/>
                <w:w w:val="120"/>
                <w:lang w:eastAsia="zh-CN"/>
              </w:rPr>
              <w:t>)</w:t>
            </w:r>
          </w:p>
          <w:p w14:paraId="527B4028">
            <w:pPr>
              <w:pStyle w:val="91"/>
              <w:spacing w:line="360" w:lineRule="auto"/>
              <w:ind w:firstLine="480"/>
              <w:textAlignment w:val="baseline"/>
              <w:rPr>
                <w:rFonts w:eastAsia="宋体"/>
                <w:snapToGrid w:val="0"/>
                <w:sz w:val="24"/>
                <w:lang w:val="de-DE"/>
              </w:rPr>
            </w:pPr>
            <w:r>
              <w:rPr>
                <w:rFonts w:eastAsia="宋体"/>
                <w:snapToGrid w:val="0"/>
                <w:sz w:val="24"/>
                <w:lang w:val="de-DE"/>
              </w:rPr>
              <w:t>式中：</w:t>
            </w:r>
          </w:p>
          <w:p w14:paraId="5D592D33">
            <w:pPr>
              <w:pStyle w:val="91"/>
              <w:spacing w:line="360" w:lineRule="auto"/>
              <w:ind w:firstLine="480"/>
              <w:textAlignment w:val="baseline"/>
              <w:rPr>
                <w:rFonts w:eastAsia="宋体"/>
                <w:snapToGrid w:val="0"/>
                <w:sz w:val="24"/>
                <w:lang w:val="de-DE"/>
              </w:rPr>
            </w:pPr>
            <w:r>
              <w:rPr>
                <w:rFonts w:hint="eastAsia" w:eastAsia="宋体"/>
                <w:snapToGrid w:val="0"/>
                <w:sz w:val="24"/>
                <w:lang w:val="de-DE"/>
              </w:rPr>
              <w:t>Lp2i(T)</w:t>
            </w:r>
            <w:r>
              <w:rPr>
                <w:rFonts w:eastAsia="宋体"/>
                <w:snapToGrid w:val="0"/>
                <w:sz w:val="24"/>
                <w:lang w:val="de-DE"/>
              </w:rPr>
              <w:t>——</w:t>
            </w:r>
            <w:r>
              <w:rPr>
                <w:rFonts w:hint="eastAsia" w:eastAsia="宋体"/>
                <w:snapToGrid w:val="0"/>
                <w:sz w:val="24"/>
              </w:rPr>
              <w:t>靠近围护结构处室外N个声源i倍频带的</w:t>
            </w:r>
            <w:r>
              <w:rPr>
                <w:rFonts w:eastAsia="宋体"/>
                <w:snapToGrid w:val="0"/>
                <w:sz w:val="24"/>
                <w:lang w:val="de-DE"/>
              </w:rPr>
              <w:t>叠加</w:t>
            </w:r>
            <w:r>
              <w:rPr>
                <w:rFonts w:hint="eastAsia" w:eastAsia="宋体"/>
                <w:snapToGrid w:val="0"/>
                <w:sz w:val="24"/>
              </w:rPr>
              <w:t>声压级</w:t>
            </w:r>
            <w:r>
              <w:rPr>
                <w:rFonts w:eastAsia="宋体"/>
                <w:snapToGrid w:val="0"/>
                <w:sz w:val="24"/>
                <w:lang w:val="de-DE"/>
              </w:rPr>
              <w:t>dB(A</w:t>
            </w:r>
            <w:r>
              <w:rPr>
                <w:rFonts w:hint="eastAsia" w:eastAsia="宋体"/>
                <w:snapToGrid w:val="0"/>
                <w:sz w:val="24"/>
                <w:lang w:val="de-DE" w:eastAsia="zh-CN"/>
              </w:rPr>
              <w:t>）</w:t>
            </w:r>
            <w:r>
              <w:rPr>
                <w:rFonts w:eastAsia="宋体"/>
                <w:snapToGrid w:val="0"/>
                <w:sz w:val="24"/>
                <w:lang w:val="de-DE"/>
              </w:rPr>
              <w:t>；</w:t>
            </w:r>
          </w:p>
          <w:p w14:paraId="4127E23B">
            <w:pPr>
              <w:pStyle w:val="91"/>
              <w:spacing w:line="360" w:lineRule="auto"/>
              <w:ind w:firstLine="480"/>
              <w:textAlignment w:val="baseline"/>
              <w:rPr>
                <w:rFonts w:eastAsia="宋体"/>
                <w:snapToGrid w:val="0"/>
                <w:sz w:val="24"/>
                <w:lang w:val="de-DE"/>
              </w:rPr>
            </w:pPr>
            <w:r>
              <w:rPr>
                <w:rFonts w:eastAsia="宋体"/>
                <w:snapToGrid w:val="0"/>
                <w:sz w:val="24"/>
                <w:lang w:val="de-DE"/>
              </w:rPr>
              <w:t>Lp</w:t>
            </w:r>
            <w:r>
              <w:rPr>
                <w:rFonts w:hint="eastAsia" w:eastAsia="宋体"/>
                <w:snapToGrid w:val="0"/>
                <w:sz w:val="24"/>
              </w:rPr>
              <w:t>1i</w:t>
            </w:r>
            <w:r>
              <w:rPr>
                <w:rFonts w:eastAsia="宋体"/>
                <w:snapToGrid w:val="0"/>
                <w:sz w:val="24"/>
                <w:lang w:val="de-DE"/>
              </w:rPr>
              <w:t>(T)——</w:t>
            </w:r>
            <w:r>
              <w:rPr>
                <w:rFonts w:hint="eastAsia" w:eastAsia="宋体"/>
                <w:snapToGrid w:val="0"/>
                <w:sz w:val="24"/>
              </w:rPr>
              <w:t>靠近围护结构处室内N个声源i倍频带的</w:t>
            </w:r>
            <w:r>
              <w:rPr>
                <w:rFonts w:eastAsia="宋体"/>
                <w:snapToGrid w:val="0"/>
                <w:sz w:val="24"/>
                <w:lang w:val="de-DE"/>
              </w:rPr>
              <w:t>叠加</w:t>
            </w:r>
            <w:r>
              <w:rPr>
                <w:rFonts w:hint="eastAsia" w:eastAsia="宋体"/>
                <w:snapToGrid w:val="0"/>
                <w:sz w:val="24"/>
              </w:rPr>
              <w:t>声压级</w:t>
            </w:r>
            <w:r>
              <w:rPr>
                <w:rFonts w:eastAsia="宋体"/>
                <w:snapToGrid w:val="0"/>
                <w:sz w:val="24"/>
                <w:lang w:val="de-DE"/>
              </w:rPr>
              <w:t>dB(A</w:t>
            </w:r>
            <w:r>
              <w:rPr>
                <w:rFonts w:hint="eastAsia" w:eastAsia="宋体"/>
                <w:snapToGrid w:val="0"/>
                <w:sz w:val="24"/>
                <w:lang w:val="de-DE" w:eastAsia="zh-CN"/>
              </w:rPr>
              <w:t>）</w:t>
            </w:r>
            <w:r>
              <w:rPr>
                <w:rFonts w:hint="eastAsia" w:eastAsia="宋体"/>
                <w:snapToGrid w:val="0"/>
                <w:sz w:val="24"/>
                <w:lang w:val="de-DE"/>
              </w:rPr>
              <w:t>；</w:t>
            </w:r>
          </w:p>
          <w:p w14:paraId="321ED012">
            <w:pPr>
              <w:pStyle w:val="91"/>
              <w:spacing w:line="360" w:lineRule="auto"/>
              <w:ind w:firstLine="480"/>
              <w:textAlignment w:val="baseline"/>
              <w:rPr>
                <w:rFonts w:eastAsia="宋体"/>
                <w:snapToGrid w:val="0"/>
                <w:sz w:val="24"/>
                <w:lang w:val="de-DE"/>
              </w:rPr>
            </w:pPr>
            <w:r>
              <w:rPr>
                <w:rFonts w:hint="eastAsia" w:eastAsia="宋体"/>
                <w:snapToGrid w:val="0"/>
                <w:sz w:val="24"/>
              </w:rPr>
              <w:t>TLi</w:t>
            </w:r>
            <w:r>
              <w:rPr>
                <w:rFonts w:eastAsia="宋体"/>
                <w:snapToGrid w:val="0"/>
                <w:sz w:val="24"/>
                <w:lang w:val="de-DE"/>
              </w:rPr>
              <w:t>——</w:t>
            </w:r>
            <w:r>
              <w:rPr>
                <w:rFonts w:hint="eastAsia" w:eastAsia="宋体"/>
                <w:snapToGrid w:val="0"/>
                <w:sz w:val="24"/>
                <w:lang w:val="de-DE"/>
              </w:rPr>
              <w:t>围护结构</w:t>
            </w:r>
            <w:r>
              <w:rPr>
                <w:rFonts w:hint="eastAsia" w:eastAsia="宋体"/>
                <w:snapToGrid w:val="0"/>
                <w:sz w:val="24"/>
              </w:rPr>
              <w:t>i倍频带的隔声量</w:t>
            </w:r>
            <w:r>
              <w:rPr>
                <w:rFonts w:eastAsia="宋体"/>
                <w:snapToGrid w:val="0"/>
                <w:sz w:val="24"/>
                <w:lang w:val="de-DE"/>
              </w:rPr>
              <w:t>dB(A</w:t>
            </w:r>
            <w:r>
              <w:rPr>
                <w:rFonts w:hint="eastAsia" w:eastAsia="宋体"/>
                <w:snapToGrid w:val="0"/>
                <w:sz w:val="24"/>
                <w:lang w:val="de-DE" w:eastAsia="zh-CN"/>
              </w:rPr>
              <w:t>）</w:t>
            </w:r>
            <w:r>
              <w:rPr>
                <w:rFonts w:eastAsia="宋体"/>
                <w:snapToGrid w:val="0"/>
                <w:sz w:val="24"/>
                <w:lang w:val="de-DE"/>
              </w:rPr>
              <w:t>。</w:t>
            </w:r>
          </w:p>
          <w:p w14:paraId="632105D3">
            <w:pPr>
              <w:spacing w:line="336" w:lineRule="auto"/>
              <w:ind w:firstLine="480" w:firstLineChars="200"/>
              <w:rPr>
                <w:sz w:val="24"/>
              </w:rPr>
            </w:pPr>
            <w:r>
              <w:rPr>
                <w:rFonts w:hint="eastAsia"/>
                <w:sz w:val="24"/>
              </w:rPr>
              <w:t>项目垃圾站房混凝土框架结构，砖混墙体（双面抹灰），采用断桥铝合金窗及钢大门，参考《环境噪声控制工程》（洪宗辉，高等教育出版社），隔声量取值3</w:t>
            </w:r>
            <w:r>
              <w:rPr>
                <w:sz w:val="24"/>
              </w:rPr>
              <w:t>8.8</w:t>
            </w:r>
            <w:r>
              <w:rPr>
                <w:rFonts w:hint="eastAsia"/>
                <w:sz w:val="24"/>
              </w:rPr>
              <w:t>dB。本次评价保守取值东、西砖混墙体隔声量取值23dB，南、北方向隔声量取值20dB。本项目污水处理站墙体为砖混墙体，因此隔声量参考取值23dB。</w:t>
            </w:r>
          </w:p>
          <w:p w14:paraId="04E94DD7">
            <w:pPr>
              <w:adjustRightInd w:val="0"/>
              <w:snapToGrid w:val="0"/>
              <w:spacing w:line="360" w:lineRule="auto"/>
              <w:ind w:firstLine="480" w:firstLineChars="200"/>
              <w:rPr>
                <w:snapToGrid w:val="0"/>
                <w:sz w:val="24"/>
                <w:lang w:val="de-DE"/>
              </w:rPr>
            </w:pPr>
            <w:r>
              <w:rPr>
                <w:rFonts w:hint="eastAsia"/>
                <w:sz w:val="24"/>
              </w:rPr>
              <w:t>综上，根据上述计算公式，计算本项目各噪声源在各方位室内外噪声强度如下表所示。</w:t>
            </w:r>
          </w:p>
          <w:p w14:paraId="055BF0F3">
            <w:pPr>
              <w:jc w:val="center"/>
              <w:rPr>
                <w:b/>
                <w:bCs/>
                <w:szCs w:val="21"/>
              </w:rPr>
            </w:pPr>
            <w:r>
              <w:rPr>
                <w:b/>
                <w:bCs/>
                <w:szCs w:val="21"/>
              </w:rPr>
              <w:t>表4-</w:t>
            </w:r>
            <w:r>
              <w:rPr>
                <w:rFonts w:hint="eastAsia"/>
                <w:b/>
                <w:bCs/>
                <w:szCs w:val="21"/>
              </w:rPr>
              <w:t xml:space="preserve">18  </w:t>
            </w:r>
            <w:r>
              <w:rPr>
                <w:b/>
                <w:bCs/>
                <w:szCs w:val="21"/>
              </w:rPr>
              <w:t>工业企业噪声源强调查清单（室内声源）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394"/>
              <w:gridCol w:w="394"/>
              <w:gridCol w:w="394"/>
              <w:gridCol w:w="699"/>
              <w:gridCol w:w="570"/>
              <w:gridCol w:w="614"/>
              <w:gridCol w:w="585"/>
              <w:gridCol w:w="437"/>
              <w:gridCol w:w="394"/>
              <w:gridCol w:w="437"/>
              <w:gridCol w:w="699"/>
              <w:gridCol w:w="670"/>
              <w:gridCol w:w="700"/>
              <w:gridCol w:w="700"/>
              <w:gridCol w:w="395"/>
            </w:tblGrid>
            <w:tr w14:paraId="3A9F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4" w:type="dxa"/>
                  <w:vMerge w:val="restart"/>
                  <w:shd w:val="clear" w:color="auto" w:fill="auto"/>
                  <w:vAlign w:val="center"/>
                </w:tcPr>
                <w:p w14:paraId="33374477">
                  <w:pPr>
                    <w:widowControl/>
                    <w:adjustRightInd w:val="0"/>
                    <w:snapToGrid w:val="0"/>
                    <w:spacing w:line="320" w:lineRule="exact"/>
                    <w:jc w:val="center"/>
                    <w:rPr>
                      <w:b/>
                      <w:bCs/>
                      <w:sz w:val="20"/>
                      <w:szCs w:val="20"/>
                    </w:rPr>
                  </w:pPr>
                  <w:r>
                    <w:rPr>
                      <w:rFonts w:hint="eastAsia"/>
                      <w:b/>
                      <w:bCs/>
                      <w:sz w:val="20"/>
                      <w:szCs w:val="20"/>
                    </w:rPr>
                    <w:t>序号</w:t>
                  </w:r>
                </w:p>
              </w:tc>
              <w:tc>
                <w:tcPr>
                  <w:tcW w:w="394" w:type="dxa"/>
                  <w:vMerge w:val="restart"/>
                  <w:shd w:val="clear" w:color="auto" w:fill="auto"/>
                  <w:vAlign w:val="center"/>
                </w:tcPr>
                <w:p w14:paraId="6A4A46D2">
                  <w:pPr>
                    <w:widowControl/>
                    <w:adjustRightInd w:val="0"/>
                    <w:snapToGrid w:val="0"/>
                    <w:spacing w:line="320" w:lineRule="exact"/>
                    <w:jc w:val="center"/>
                    <w:rPr>
                      <w:b/>
                      <w:bCs/>
                      <w:sz w:val="20"/>
                      <w:szCs w:val="20"/>
                    </w:rPr>
                  </w:pPr>
                  <w:r>
                    <w:rPr>
                      <w:rFonts w:hint="eastAsia"/>
                      <w:b/>
                      <w:bCs/>
                      <w:sz w:val="20"/>
                      <w:szCs w:val="20"/>
                    </w:rPr>
                    <w:t>建筑物名称</w:t>
                  </w:r>
                </w:p>
              </w:tc>
              <w:tc>
                <w:tcPr>
                  <w:tcW w:w="394" w:type="dxa"/>
                  <w:vMerge w:val="restart"/>
                  <w:shd w:val="clear" w:color="auto" w:fill="auto"/>
                  <w:vAlign w:val="center"/>
                </w:tcPr>
                <w:p w14:paraId="3E8BCBF8">
                  <w:pPr>
                    <w:widowControl/>
                    <w:adjustRightInd w:val="0"/>
                    <w:snapToGrid w:val="0"/>
                    <w:spacing w:line="320" w:lineRule="exact"/>
                    <w:jc w:val="center"/>
                    <w:rPr>
                      <w:b/>
                      <w:bCs/>
                      <w:sz w:val="20"/>
                      <w:szCs w:val="20"/>
                    </w:rPr>
                  </w:pPr>
                  <w:r>
                    <w:rPr>
                      <w:rFonts w:hint="eastAsia"/>
                      <w:b/>
                      <w:bCs/>
                      <w:sz w:val="20"/>
                      <w:szCs w:val="20"/>
                    </w:rPr>
                    <w:t>声源名称</w:t>
                  </w:r>
                </w:p>
              </w:tc>
              <w:tc>
                <w:tcPr>
                  <w:tcW w:w="394" w:type="dxa"/>
                  <w:vMerge w:val="restart"/>
                  <w:shd w:val="clear" w:color="auto" w:fill="auto"/>
                  <w:vAlign w:val="center"/>
                </w:tcPr>
                <w:p w14:paraId="141CAF3B">
                  <w:pPr>
                    <w:widowControl/>
                    <w:adjustRightInd w:val="0"/>
                    <w:snapToGrid w:val="0"/>
                    <w:spacing w:line="320" w:lineRule="exact"/>
                    <w:jc w:val="center"/>
                    <w:rPr>
                      <w:b/>
                      <w:bCs/>
                      <w:sz w:val="20"/>
                      <w:szCs w:val="20"/>
                    </w:rPr>
                  </w:pPr>
                  <w:r>
                    <w:rPr>
                      <w:rFonts w:hint="eastAsia"/>
                      <w:b/>
                      <w:bCs/>
                      <w:sz w:val="20"/>
                      <w:szCs w:val="20"/>
                    </w:rPr>
                    <w:t>型号</w:t>
                  </w:r>
                </w:p>
              </w:tc>
              <w:tc>
                <w:tcPr>
                  <w:tcW w:w="699" w:type="dxa"/>
                  <w:shd w:val="clear" w:color="auto" w:fill="auto"/>
                  <w:vAlign w:val="center"/>
                </w:tcPr>
                <w:p w14:paraId="2B7B1E83">
                  <w:pPr>
                    <w:widowControl/>
                    <w:adjustRightInd w:val="0"/>
                    <w:snapToGrid w:val="0"/>
                    <w:spacing w:line="320" w:lineRule="exact"/>
                    <w:jc w:val="center"/>
                    <w:rPr>
                      <w:b/>
                      <w:bCs/>
                      <w:sz w:val="20"/>
                      <w:szCs w:val="20"/>
                    </w:rPr>
                  </w:pPr>
                  <w:r>
                    <w:rPr>
                      <w:rFonts w:hint="eastAsia"/>
                      <w:b/>
                      <w:bCs/>
                      <w:sz w:val="20"/>
                      <w:szCs w:val="20"/>
                    </w:rPr>
                    <w:t>声源源强</w:t>
                  </w:r>
                </w:p>
              </w:tc>
              <w:tc>
                <w:tcPr>
                  <w:tcW w:w="570" w:type="dxa"/>
                  <w:vMerge w:val="restart"/>
                  <w:shd w:val="clear" w:color="auto" w:fill="auto"/>
                  <w:vAlign w:val="center"/>
                </w:tcPr>
                <w:p w14:paraId="2D4E4449">
                  <w:pPr>
                    <w:widowControl/>
                    <w:adjustRightInd w:val="0"/>
                    <w:snapToGrid w:val="0"/>
                    <w:spacing w:line="320" w:lineRule="exact"/>
                    <w:jc w:val="center"/>
                    <w:rPr>
                      <w:b/>
                      <w:bCs/>
                      <w:sz w:val="20"/>
                      <w:szCs w:val="20"/>
                    </w:rPr>
                  </w:pPr>
                  <w:r>
                    <w:rPr>
                      <w:rFonts w:hint="eastAsia"/>
                      <w:b/>
                      <w:bCs/>
                      <w:sz w:val="20"/>
                      <w:szCs w:val="20"/>
                    </w:rPr>
                    <w:t>声源控制措施</w:t>
                  </w:r>
                </w:p>
              </w:tc>
              <w:tc>
                <w:tcPr>
                  <w:tcW w:w="1636" w:type="dxa"/>
                  <w:gridSpan w:val="3"/>
                  <w:shd w:val="clear" w:color="auto" w:fill="auto"/>
                  <w:vAlign w:val="center"/>
                </w:tcPr>
                <w:p w14:paraId="2E9E5CF1">
                  <w:pPr>
                    <w:widowControl/>
                    <w:adjustRightInd w:val="0"/>
                    <w:snapToGrid w:val="0"/>
                    <w:spacing w:line="320" w:lineRule="exact"/>
                    <w:jc w:val="center"/>
                    <w:rPr>
                      <w:b/>
                      <w:bCs/>
                      <w:sz w:val="20"/>
                      <w:szCs w:val="20"/>
                    </w:rPr>
                  </w:pPr>
                  <w:r>
                    <w:rPr>
                      <w:rFonts w:hint="eastAsia"/>
                      <w:b/>
                      <w:bCs/>
                      <w:sz w:val="20"/>
                      <w:szCs w:val="20"/>
                    </w:rPr>
                    <w:t>空间相对位置</w:t>
                  </w:r>
                </w:p>
              </w:tc>
              <w:tc>
                <w:tcPr>
                  <w:tcW w:w="394" w:type="dxa"/>
                  <w:vMerge w:val="restart"/>
                  <w:shd w:val="clear" w:color="auto" w:fill="auto"/>
                  <w:vAlign w:val="center"/>
                </w:tcPr>
                <w:p w14:paraId="0C605AC7">
                  <w:pPr>
                    <w:widowControl/>
                    <w:adjustRightInd w:val="0"/>
                    <w:snapToGrid w:val="0"/>
                    <w:spacing w:line="320" w:lineRule="exact"/>
                    <w:jc w:val="center"/>
                    <w:rPr>
                      <w:b/>
                      <w:bCs/>
                      <w:sz w:val="20"/>
                      <w:szCs w:val="20"/>
                    </w:rPr>
                  </w:pPr>
                  <w:r>
                    <w:rPr>
                      <w:rFonts w:hint="eastAsia"/>
                      <w:b/>
                      <w:bCs/>
                      <w:sz w:val="20"/>
                      <w:szCs w:val="20"/>
                    </w:rPr>
                    <w:t>方位</w:t>
                  </w:r>
                </w:p>
              </w:tc>
              <w:tc>
                <w:tcPr>
                  <w:tcW w:w="437" w:type="dxa"/>
                  <w:vMerge w:val="restart"/>
                  <w:shd w:val="clear" w:color="auto" w:fill="auto"/>
                  <w:vAlign w:val="center"/>
                </w:tcPr>
                <w:p w14:paraId="678733DF">
                  <w:pPr>
                    <w:widowControl/>
                    <w:adjustRightInd w:val="0"/>
                    <w:snapToGrid w:val="0"/>
                    <w:spacing w:line="320" w:lineRule="exact"/>
                    <w:jc w:val="center"/>
                    <w:rPr>
                      <w:b/>
                      <w:bCs/>
                      <w:sz w:val="20"/>
                      <w:szCs w:val="20"/>
                    </w:rPr>
                  </w:pPr>
                  <w:r>
                    <w:rPr>
                      <w:rFonts w:hint="eastAsia"/>
                      <w:b/>
                      <w:bCs/>
                      <w:sz w:val="20"/>
                      <w:szCs w:val="20"/>
                    </w:rPr>
                    <w:t>距室内边界距离</w:t>
                  </w:r>
                </w:p>
              </w:tc>
              <w:tc>
                <w:tcPr>
                  <w:tcW w:w="699" w:type="dxa"/>
                  <w:vMerge w:val="restart"/>
                  <w:shd w:val="clear" w:color="auto" w:fill="auto"/>
                  <w:vAlign w:val="center"/>
                </w:tcPr>
                <w:p w14:paraId="48DDD8F7">
                  <w:pPr>
                    <w:widowControl/>
                    <w:adjustRightInd w:val="0"/>
                    <w:snapToGrid w:val="0"/>
                    <w:spacing w:line="320" w:lineRule="exact"/>
                    <w:jc w:val="center"/>
                    <w:rPr>
                      <w:b/>
                      <w:bCs/>
                      <w:sz w:val="20"/>
                      <w:szCs w:val="20"/>
                    </w:rPr>
                  </w:pPr>
                  <w:r>
                    <w:rPr>
                      <w:rFonts w:hint="eastAsia"/>
                      <w:b/>
                      <w:bCs/>
                      <w:sz w:val="20"/>
                      <w:szCs w:val="20"/>
                    </w:rPr>
                    <w:t>距室内边界声级</w:t>
                  </w:r>
                  <w:r>
                    <w:rPr>
                      <w:b/>
                      <w:bCs/>
                      <w:sz w:val="20"/>
                      <w:szCs w:val="20"/>
                    </w:rPr>
                    <w:t>/dB</w:t>
                  </w:r>
                  <w:r>
                    <w:rPr>
                      <w:rFonts w:hint="eastAsia"/>
                      <w:b/>
                      <w:bCs/>
                      <w:sz w:val="20"/>
                      <w:szCs w:val="20"/>
                    </w:rPr>
                    <w:t>（</w:t>
                  </w:r>
                  <w:r>
                    <w:rPr>
                      <w:b/>
                      <w:bCs/>
                      <w:sz w:val="20"/>
                      <w:szCs w:val="20"/>
                    </w:rPr>
                    <w:t>A</w:t>
                  </w:r>
                  <w:r>
                    <w:rPr>
                      <w:rFonts w:hint="eastAsia"/>
                      <w:b/>
                      <w:bCs/>
                      <w:sz w:val="20"/>
                      <w:szCs w:val="20"/>
                    </w:rPr>
                    <w:t>）</w:t>
                  </w:r>
                </w:p>
              </w:tc>
              <w:tc>
                <w:tcPr>
                  <w:tcW w:w="670" w:type="dxa"/>
                  <w:vMerge w:val="restart"/>
                  <w:shd w:val="clear" w:color="auto" w:fill="auto"/>
                  <w:vAlign w:val="center"/>
                </w:tcPr>
                <w:p w14:paraId="01D9453D">
                  <w:pPr>
                    <w:widowControl/>
                    <w:adjustRightInd w:val="0"/>
                    <w:snapToGrid w:val="0"/>
                    <w:spacing w:line="320" w:lineRule="exact"/>
                    <w:jc w:val="center"/>
                    <w:rPr>
                      <w:b/>
                      <w:bCs/>
                      <w:sz w:val="20"/>
                      <w:szCs w:val="20"/>
                    </w:rPr>
                  </w:pPr>
                  <w:r>
                    <w:rPr>
                      <w:rFonts w:hint="eastAsia"/>
                      <w:b/>
                      <w:bCs/>
                      <w:sz w:val="20"/>
                      <w:szCs w:val="20"/>
                    </w:rPr>
                    <w:t>运行时段（h）</w:t>
                  </w:r>
                </w:p>
              </w:tc>
              <w:tc>
                <w:tcPr>
                  <w:tcW w:w="700" w:type="dxa"/>
                  <w:vMerge w:val="restart"/>
                  <w:shd w:val="clear" w:color="auto" w:fill="auto"/>
                  <w:vAlign w:val="center"/>
                </w:tcPr>
                <w:p w14:paraId="0741EFE8">
                  <w:pPr>
                    <w:widowControl/>
                    <w:adjustRightInd w:val="0"/>
                    <w:snapToGrid w:val="0"/>
                    <w:spacing w:line="320" w:lineRule="exact"/>
                    <w:jc w:val="center"/>
                    <w:rPr>
                      <w:b/>
                      <w:bCs/>
                      <w:sz w:val="20"/>
                      <w:szCs w:val="20"/>
                    </w:rPr>
                  </w:pPr>
                  <w:r>
                    <w:rPr>
                      <w:rFonts w:hint="eastAsia"/>
                      <w:b/>
                      <w:bCs/>
                      <w:sz w:val="20"/>
                      <w:szCs w:val="20"/>
                    </w:rPr>
                    <w:t>建筑物插入损失</w:t>
                  </w:r>
                  <w:r>
                    <w:rPr>
                      <w:b/>
                      <w:bCs/>
                      <w:sz w:val="20"/>
                      <w:szCs w:val="20"/>
                    </w:rPr>
                    <w:t>/dB</w:t>
                  </w:r>
                  <w:r>
                    <w:rPr>
                      <w:rFonts w:hint="eastAsia"/>
                      <w:b/>
                      <w:bCs/>
                      <w:sz w:val="20"/>
                      <w:szCs w:val="20"/>
                    </w:rPr>
                    <w:t>（</w:t>
                  </w:r>
                  <w:r>
                    <w:rPr>
                      <w:b/>
                      <w:bCs/>
                      <w:sz w:val="20"/>
                      <w:szCs w:val="20"/>
                    </w:rPr>
                    <w:t>A</w:t>
                  </w:r>
                  <w:r>
                    <w:rPr>
                      <w:rFonts w:hint="eastAsia"/>
                      <w:b/>
                      <w:bCs/>
                      <w:sz w:val="20"/>
                      <w:szCs w:val="20"/>
                    </w:rPr>
                    <w:t>）</w:t>
                  </w:r>
                </w:p>
              </w:tc>
              <w:tc>
                <w:tcPr>
                  <w:tcW w:w="1095" w:type="dxa"/>
                  <w:gridSpan w:val="2"/>
                  <w:shd w:val="clear" w:color="auto" w:fill="auto"/>
                  <w:vAlign w:val="center"/>
                </w:tcPr>
                <w:p w14:paraId="079D5A59">
                  <w:pPr>
                    <w:widowControl/>
                    <w:adjustRightInd w:val="0"/>
                    <w:snapToGrid w:val="0"/>
                    <w:spacing w:line="320" w:lineRule="exact"/>
                    <w:jc w:val="center"/>
                    <w:rPr>
                      <w:b/>
                      <w:bCs/>
                      <w:sz w:val="20"/>
                      <w:szCs w:val="20"/>
                    </w:rPr>
                  </w:pPr>
                  <w:r>
                    <w:rPr>
                      <w:rFonts w:hint="eastAsia"/>
                      <w:b/>
                      <w:bCs/>
                      <w:sz w:val="20"/>
                      <w:szCs w:val="20"/>
                    </w:rPr>
                    <w:t>建筑物外噪声</w:t>
                  </w:r>
                </w:p>
              </w:tc>
            </w:tr>
            <w:tr w14:paraId="290A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4" w:type="dxa"/>
                  <w:vMerge w:val="continue"/>
                  <w:shd w:val="clear" w:color="auto" w:fill="auto"/>
                  <w:vAlign w:val="center"/>
                </w:tcPr>
                <w:p w14:paraId="1DEB9EC5">
                  <w:pPr>
                    <w:widowControl/>
                    <w:adjustRightInd w:val="0"/>
                    <w:snapToGrid w:val="0"/>
                    <w:spacing w:line="320" w:lineRule="exact"/>
                    <w:jc w:val="center"/>
                    <w:rPr>
                      <w:b/>
                      <w:bCs/>
                      <w:sz w:val="20"/>
                      <w:szCs w:val="20"/>
                    </w:rPr>
                  </w:pPr>
                </w:p>
              </w:tc>
              <w:tc>
                <w:tcPr>
                  <w:tcW w:w="394" w:type="dxa"/>
                  <w:vMerge w:val="continue"/>
                  <w:shd w:val="clear" w:color="auto" w:fill="auto"/>
                  <w:vAlign w:val="center"/>
                </w:tcPr>
                <w:p w14:paraId="73369AC5">
                  <w:pPr>
                    <w:widowControl/>
                    <w:adjustRightInd w:val="0"/>
                    <w:snapToGrid w:val="0"/>
                    <w:spacing w:line="320" w:lineRule="exact"/>
                    <w:jc w:val="center"/>
                    <w:rPr>
                      <w:b/>
                      <w:bCs/>
                      <w:sz w:val="20"/>
                      <w:szCs w:val="20"/>
                    </w:rPr>
                  </w:pPr>
                </w:p>
              </w:tc>
              <w:tc>
                <w:tcPr>
                  <w:tcW w:w="394" w:type="dxa"/>
                  <w:vMerge w:val="continue"/>
                  <w:shd w:val="clear" w:color="auto" w:fill="auto"/>
                  <w:vAlign w:val="center"/>
                </w:tcPr>
                <w:p w14:paraId="10DC620B">
                  <w:pPr>
                    <w:widowControl/>
                    <w:adjustRightInd w:val="0"/>
                    <w:snapToGrid w:val="0"/>
                    <w:spacing w:line="320" w:lineRule="exact"/>
                    <w:jc w:val="center"/>
                    <w:rPr>
                      <w:b/>
                      <w:bCs/>
                      <w:sz w:val="20"/>
                      <w:szCs w:val="20"/>
                    </w:rPr>
                  </w:pPr>
                </w:p>
              </w:tc>
              <w:tc>
                <w:tcPr>
                  <w:tcW w:w="394" w:type="dxa"/>
                  <w:vMerge w:val="continue"/>
                  <w:shd w:val="clear" w:color="auto" w:fill="auto"/>
                  <w:vAlign w:val="center"/>
                </w:tcPr>
                <w:p w14:paraId="71A9F7D1">
                  <w:pPr>
                    <w:widowControl/>
                    <w:adjustRightInd w:val="0"/>
                    <w:snapToGrid w:val="0"/>
                    <w:spacing w:line="320" w:lineRule="exact"/>
                    <w:jc w:val="center"/>
                    <w:rPr>
                      <w:b/>
                      <w:bCs/>
                      <w:sz w:val="20"/>
                      <w:szCs w:val="20"/>
                    </w:rPr>
                  </w:pPr>
                </w:p>
              </w:tc>
              <w:tc>
                <w:tcPr>
                  <w:tcW w:w="699" w:type="dxa"/>
                  <w:shd w:val="clear" w:color="auto" w:fill="auto"/>
                  <w:vAlign w:val="center"/>
                </w:tcPr>
                <w:p w14:paraId="2094F321">
                  <w:pPr>
                    <w:widowControl/>
                    <w:adjustRightInd w:val="0"/>
                    <w:snapToGrid w:val="0"/>
                    <w:spacing w:line="320" w:lineRule="exact"/>
                    <w:jc w:val="center"/>
                    <w:rPr>
                      <w:b/>
                      <w:bCs/>
                      <w:sz w:val="20"/>
                      <w:szCs w:val="20"/>
                    </w:rPr>
                  </w:pPr>
                  <w:r>
                    <w:rPr>
                      <w:b/>
                      <w:bCs/>
                      <w:sz w:val="20"/>
                      <w:szCs w:val="20"/>
                    </w:rPr>
                    <w:t>声功率级/dB（A）</w:t>
                  </w:r>
                </w:p>
              </w:tc>
              <w:tc>
                <w:tcPr>
                  <w:tcW w:w="570" w:type="dxa"/>
                  <w:vMerge w:val="continue"/>
                  <w:shd w:val="clear" w:color="auto" w:fill="auto"/>
                  <w:vAlign w:val="center"/>
                </w:tcPr>
                <w:p w14:paraId="0D40098A">
                  <w:pPr>
                    <w:widowControl/>
                    <w:adjustRightInd w:val="0"/>
                    <w:snapToGrid w:val="0"/>
                    <w:spacing w:line="320" w:lineRule="exact"/>
                    <w:jc w:val="center"/>
                    <w:rPr>
                      <w:b/>
                      <w:bCs/>
                      <w:sz w:val="20"/>
                      <w:szCs w:val="20"/>
                    </w:rPr>
                  </w:pPr>
                </w:p>
              </w:tc>
              <w:tc>
                <w:tcPr>
                  <w:tcW w:w="614" w:type="dxa"/>
                  <w:shd w:val="clear" w:color="auto" w:fill="auto"/>
                  <w:vAlign w:val="center"/>
                </w:tcPr>
                <w:p w14:paraId="6CBAB0B9">
                  <w:pPr>
                    <w:widowControl/>
                    <w:adjustRightInd w:val="0"/>
                    <w:snapToGrid w:val="0"/>
                    <w:spacing w:line="320" w:lineRule="exact"/>
                    <w:jc w:val="center"/>
                    <w:rPr>
                      <w:b/>
                      <w:bCs/>
                      <w:sz w:val="20"/>
                      <w:szCs w:val="20"/>
                    </w:rPr>
                  </w:pPr>
                  <w:r>
                    <w:rPr>
                      <w:b/>
                      <w:bCs/>
                      <w:sz w:val="20"/>
                      <w:szCs w:val="20"/>
                    </w:rPr>
                    <w:t>X</w:t>
                  </w:r>
                </w:p>
              </w:tc>
              <w:tc>
                <w:tcPr>
                  <w:tcW w:w="585" w:type="dxa"/>
                  <w:shd w:val="clear" w:color="auto" w:fill="auto"/>
                  <w:vAlign w:val="center"/>
                </w:tcPr>
                <w:p w14:paraId="511A8EE2">
                  <w:pPr>
                    <w:widowControl/>
                    <w:adjustRightInd w:val="0"/>
                    <w:snapToGrid w:val="0"/>
                    <w:spacing w:line="320" w:lineRule="exact"/>
                    <w:jc w:val="center"/>
                    <w:rPr>
                      <w:b/>
                      <w:bCs/>
                      <w:sz w:val="20"/>
                      <w:szCs w:val="20"/>
                    </w:rPr>
                  </w:pPr>
                  <w:r>
                    <w:rPr>
                      <w:b/>
                      <w:bCs/>
                      <w:sz w:val="20"/>
                      <w:szCs w:val="20"/>
                    </w:rPr>
                    <w:t>Y</w:t>
                  </w:r>
                </w:p>
              </w:tc>
              <w:tc>
                <w:tcPr>
                  <w:tcW w:w="437" w:type="dxa"/>
                  <w:shd w:val="clear" w:color="auto" w:fill="auto"/>
                  <w:vAlign w:val="center"/>
                </w:tcPr>
                <w:p w14:paraId="02E860AD">
                  <w:pPr>
                    <w:widowControl/>
                    <w:adjustRightInd w:val="0"/>
                    <w:snapToGrid w:val="0"/>
                    <w:spacing w:line="320" w:lineRule="exact"/>
                    <w:jc w:val="center"/>
                    <w:rPr>
                      <w:b/>
                      <w:bCs/>
                      <w:sz w:val="20"/>
                      <w:szCs w:val="20"/>
                    </w:rPr>
                  </w:pPr>
                  <w:r>
                    <w:rPr>
                      <w:b/>
                      <w:bCs/>
                      <w:sz w:val="20"/>
                      <w:szCs w:val="20"/>
                    </w:rPr>
                    <w:t>Z</w:t>
                  </w:r>
                </w:p>
              </w:tc>
              <w:tc>
                <w:tcPr>
                  <w:tcW w:w="394" w:type="dxa"/>
                  <w:vMerge w:val="continue"/>
                  <w:shd w:val="clear" w:color="auto" w:fill="auto"/>
                  <w:vAlign w:val="center"/>
                </w:tcPr>
                <w:p w14:paraId="27D187E5">
                  <w:pPr>
                    <w:widowControl/>
                    <w:adjustRightInd w:val="0"/>
                    <w:snapToGrid w:val="0"/>
                    <w:spacing w:line="320" w:lineRule="exact"/>
                    <w:jc w:val="center"/>
                    <w:rPr>
                      <w:b/>
                      <w:bCs/>
                      <w:sz w:val="20"/>
                      <w:szCs w:val="20"/>
                    </w:rPr>
                  </w:pPr>
                </w:p>
              </w:tc>
              <w:tc>
                <w:tcPr>
                  <w:tcW w:w="437" w:type="dxa"/>
                  <w:vMerge w:val="continue"/>
                  <w:shd w:val="clear" w:color="auto" w:fill="auto"/>
                  <w:vAlign w:val="center"/>
                </w:tcPr>
                <w:p w14:paraId="2C5714C4">
                  <w:pPr>
                    <w:widowControl/>
                    <w:adjustRightInd w:val="0"/>
                    <w:snapToGrid w:val="0"/>
                    <w:spacing w:line="320" w:lineRule="exact"/>
                    <w:jc w:val="center"/>
                    <w:rPr>
                      <w:b/>
                      <w:bCs/>
                      <w:sz w:val="20"/>
                      <w:szCs w:val="20"/>
                    </w:rPr>
                  </w:pPr>
                </w:p>
              </w:tc>
              <w:tc>
                <w:tcPr>
                  <w:tcW w:w="699" w:type="dxa"/>
                  <w:vMerge w:val="continue"/>
                  <w:shd w:val="clear" w:color="auto" w:fill="auto"/>
                  <w:vAlign w:val="center"/>
                </w:tcPr>
                <w:p w14:paraId="23C47301">
                  <w:pPr>
                    <w:widowControl/>
                    <w:adjustRightInd w:val="0"/>
                    <w:snapToGrid w:val="0"/>
                    <w:spacing w:line="320" w:lineRule="exact"/>
                    <w:jc w:val="center"/>
                    <w:rPr>
                      <w:b/>
                      <w:bCs/>
                      <w:sz w:val="20"/>
                      <w:szCs w:val="20"/>
                    </w:rPr>
                  </w:pPr>
                </w:p>
              </w:tc>
              <w:tc>
                <w:tcPr>
                  <w:tcW w:w="670" w:type="dxa"/>
                  <w:vMerge w:val="continue"/>
                  <w:shd w:val="clear" w:color="auto" w:fill="auto"/>
                  <w:vAlign w:val="center"/>
                </w:tcPr>
                <w:p w14:paraId="427CB1FF">
                  <w:pPr>
                    <w:widowControl/>
                    <w:adjustRightInd w:val="0"/>
                    <w:snapToGrid w:val="0"/>
                    <w:spacing w:line="320" w:lineRule="exact"/>
                    <w:jc w:val="center"/>
                    <w:rPr>
                      <w:b/>
                      <w:bCs/>
                      <w:sz w:val="20"/>
                      <w:szCs w:val="20"/>
                    </w:rPr>
                  </w:pPr>
                </w:p>
              </w:tc>
              <w:tc>
                <w:tcPr>
                  <w:tcW w:w="700" w:type="dxa"/>
                  <w:vMerge w:val="continue"/>
                  <w:shd w:val="clear" w:color="auto" w:fill="auto"/>
                  <w:vAlign w:val="center"/>
                </w:tcPr>
                <w:p w14:paraId="44C56C29">
                  <w:pPr>
                    <w:widowControl/>
                    <w:adjustRightInd w:val="0"/>
                    <w:snapToGrid w:val="0"/>
                    <w:spacing w:line="320" w:lineRule="exact"/>
                    <w:jc w:val="center"/>
                    <w:rPr>
                      <w:b/>
                      <w:bCs/>
                      <w:sz w:val="20"/>
                      <w:szCs w:val="20"/>
                    </w:rPr>
                  </w:pPr>
                </w:p>
              </w:tc>
              <w:tc>
                <w:tcPr>
                  <w:tcW w:w="700" w:type="dxa"/>
                  <w:shd w:val="clear" w:color="auto" w:fill="auto"/>
                  <w:vAlign w:val="center"/>
                </w:tcPr>
                <w:p w14:paraId="64D349A4">
                  <w:pPr>
                    <w:widowControl/>
                    <w:adjustRightInd w:val="0"/>
                    <w:snapToGrid w:val="0"/>
                    <w:spacing w:line="320" w:lineRule="exact"/>
                    <w:jc w:val="center"/>
                    <w:rPr>
                      <w:b/>
                      <w:bCs/>
                      <w:sz w:val="20"/>
                      <w:szCs w:val="20"/>
                    </w:rPr>
                  </w:pPr>
                  <w:r>
                    <w:rPr>
                      <w:b/>
                      <w:bCs/>
                      <w:sz w:val="20"/>
                      <w:szCs w:val="20"/>
                    </w:rPr>
                    <w:t>声压级/dB（A）</w:t>
                  </w:r>
                </w:p>
              </w:tc>
              <w:tc>
                <w:tcPr>
                  <w:tcW w:w="395" w:type="dxa"/>
                  <w:shd w:val="clear" w:color="auto" w:fill="auto"/>
                  <w:vAlign w:val="center"/>
                </w:tcPr>
                <w:p w14:paraId="18BD163C">
                  <w:pPr>
                    <w:widowControl/>
                    <w:adjustRightInd w:val="0"/>
                    <w:snapToGrid w:val="0"/>
                    <w:spacing w:line="320" w:lineRule="exact"/>
                    <w:jc w:val="center"/>
                    <w:rPr>
                      <w:b/>
                      <w:bCs/>
                      <w:sz w:val="20"/>
                      <w:szCs w:val="20"/>
                    </w:rPr>
                  </w:pPr>
                  <w:r>
                    <w:rPr>
                      <w:rFonts w:hint="eastAsia"/>
                      <w:b/>
                      <w:bCs/>
                      <w:sz w:val="20"/>
                      <w:szCs w:val="20"/>
                    </w:rPr>
                    <w:t>建筑物外距离</w:t>
                  </w:r>
                </w:p>
              </w:tc>
            </w:tr>
            <w:tr w14:paraId="5731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1D7699A0">
                  <w:pPr>
                    <w:widowControl/>
                    <w:adjustRightInd w:val="0"/>
                    <w:snapToGrid w:val="0"/>
                    <w:spacing w:line="320" w:lineRule="exact"/>
                    <w:jc w:val="center"/>
                    <w:rPr>
                      <w:sz w:val="20"/>
                      <w:szCs w:val="20"/>
                    </w:rPr>
                  </w:pPr>
                  <w:r>
                    <w:rPr>
                      <w:sz w:val="20"/>
                      <w:szCs w:val="20"/>
                    </w:rPr>
                    <w:t xml:space="preserve">1 </w:t>
                  </w:r>
                </w:p>
              </w:tc>
              <w:tc>
                <w:tcPr>
                  <w:tcW w:w="394" w:type="dxa"/>
                  <w:vMerge w:val="restart"/>
                  <w:shd w:val="clear" w:color="auto" w:fill="auto"/>
                  <w:vAlign w:val="center"/>
                </w:tcPr>
                <w:p w14:paraId="69F0509C">
                  <w:pPr>
                    <w:widowControl/>
                    <w:adjustRightInd w:val="0"/>
                    <w:snapToGrid w:val="0"/>
                    <w:spacing w:line="320" w:lineRule="exact"/>
                    <w:jc w:val="center"/>
                    <w:rPr>
                      <w:sz w:val="20"/>
                      <w:szCs w:val="20"/>
                    </w:rPr>
                  </w:pPr>
                  <w:r>
                    <w:rPr>
                      <w:rFonts w:hint="eastAsia"/>
                      <w:sz w:val="20"/>
                      <w:szCs w:val="20"/>
                    </w:rPr>
                    <w:t>垃圾站房</w:t>
                  </w:r>
                </w:p>
              </w:tc>
              <w:tc>
                <w:tcPr>
                  <w:tcW w:w="394" w:type="dxa"/>
                  <w:vMerge w:val="restart"/>
                  <w:shd w:val="clear" w:color="auto" w:fill="auto"/>
                  <w:vAlign w:val="center"/>
                </w:tcPr>
                <w:p w14:paraId="4351676F">
                  <w:pPr>
                    <w:widowControl/>
                    <w:adjustRightInd w:val="0"/>
                    <w:snapToGrid w:val="0"/>
                    <w:spacing w:line="320" w:lineRule="exact"/>
                    <w:jc w:val="center"/>
                    <w:rPr>
                      <w:sz w:val="20"/>
                      <w:szCs w:val="20"/>
                    </w:rPr>
                  </w:pPr>
                  <w:r>
                    <w:rPr>
                      <w:rFonts w:hint="eastAsia"/>
                      <w:sz w:val="20"/>
                      <w:szCs w:val="20"/>
                    </w:rPr>
                    <w:t>压缩机1#</w:t>
                  </w:r>
                </w:p>
              </w:tc>
              <w:tc>
                <w:tcPr>
                  <w:tcW w:w="394" w:type="dxa"/>
                  <w:vMerge w:val="restart"/>
                  <w:shd w:val="clear" w:color="auto" w:fill="auto"/>
                  <w:vAlign w:val="center"/>
                </w:tcPr>
                <w:p w14:paraId="24F9E358">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21936E87">
                  <w:pPr>
                    <w:widowControl/>
                    <w:adjustRightInd w:val="0"/>
                    <w:snapToGrid w:val="0"/>
                    <w:spacing w:line="320" w:lineRule="exact"/>
                    <w:jc w:val="center"/>
                    <w:rPr>
                      <w:sz w:val="20"/>
                      <w:szCs w:val="20"/>
                    </w:rPr>
                  </w:pPr>
                  <w:r>
                    <w:rPr>
                      <w:sz w:val="20"/>
                      <w:szCs w:val="20"/>
                    </w:rPr>
                    <w:t>85</w:t>
                  </w:r>
                </w:p>
              </w:tc>
              <w:tc>
                <w:tcPr>
                  <w:tcW w:w="570" w:type="dxa"/>
                  <w:vMerge w:val="restart"/>
                  <w:shd w:val="clear" w:color="auto" w:fill="auto"/>
                  <w:vAlign w:val="center"/>
                </w:tcPr>
                <w:p w14:paraId="3003F66E">
                  <w:pPr>
                    <w:widowControl/>
                    <w:adjustRightInd w:val="0"/>
                    <w:snapToGrid w:val="0"/>
                    <w:spacing w:line="320" w:lineRule="exact"/>
                    <w:jc w:val="center"/>
                    <w:rPr>
                      <w:sz w:val="20"/>
                      <w:szCs w:val="20"/>
                    </w:rPr>
                  </w:pPr>
                  <w:r>
                    <w:rPr>
                      <w:sz w:val="20"/>
                      <w:szCs w:val="20"/>
                    </w:rPr>
                    <w:t>选用低噪声设备、基础减震，建筑隔音等</w:t>
                  </w:r>
                </w:p>
              </w:tc>
              <w:tc>
                <w:tcPr>
                  <w:tcW w:w="614" w:type="dxa"/>
                  <w:shd w:val="clear" w:color="auto" w:fill="FFFFFF"/>
                  <w:vAlign w:val="center"/>
                </w:tcPr>
                <w:p w14:paraId="23119515">
                  <w:pPr>
                    <w:widowControl/>
                    <w:adjustRightInd w:val="0"/>
                    <w:snapToGrid w:val="0"/>
                    <w:spacing w:line="320" w:lineRule="exact"/>
                    <w:jc w:val="center"/>
                    <w:rPr>
                      <w:sz w:val="20"/>
                      <w:szCs w:val="20"/>
                    </w:rPr>
                  </w:pPr>
                  <w:r>
                    <w:rPr>
                      <w:sz w:val="20"/>
                      <w:szCs w:val="20"/>
                    </w:rPr>
                    <w:t>9.47</w:t>
                  </w:r>
                </w:p>
              </w:tc>
              <w:tc>
                <w:tcPr>
                  <w:tcW w:w="585" w:type="dxa"/>
                  <w:shd w:val="clear" w:color="auto" w:fill="FFFFFF"/>
                  <w:vAlign w:val="center"/>
                </w:tcPr>
                <w:p w14:paraId="7491062A">
                  <w:pPr>
                    <w:widowControl/>
                    <w:adjustRightInd w:val="0"/>
                    <w:snapToGrid w:val="0"/>
                    <w:spacing w:line="320" w:lineRule="exact"/>
                    <w:jc w:val="center"/>
                    <w:rPr>
                      <w:sz w:val="20"/>
                      <w:szCs w:val="20"/>
                    </w:rPr>
                  </w:pPr>
                  <w:r>
                    <w:rPr>
                      <w:sz w:val="20"/>
                      <w:szCs w:val="20"/>
                    </w:rPr>
                    <w:t>-2.68</w:t>
                  </w:r>
                </w:p>
              </w:tc>
              <w:tc>
                <w:tcPr>
                  <w:tcW w:w="437" w:type="dxa"/>
                  <w:shd w:val="clear" w:color="auto" w:fill="FFFFFF"/>
                  <w:vAlign w:val="center"/>
                </w:tcPr>
                <w:p w14:paraId="7AA67AA8">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5FBC738B">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5BA986B8">
                  <w:pPr>
                    <w:widowControl/>
                    <w:adjustRightInd w:val="0"/>
                    <w:snapToGrid w:val="0"/>
                    <w:spacing w:line="320" w:lineRule="exact"/>
                    <w:jc w:val="center"/>
                    <w:rPr>
                      <w:sz w:val="20"/>
                      <w:szCs w:val="20"/>
                    </w:rPr>
                  </w:pPr>
                  <w:r>
                    <w:rPr>
                      <w:sz w:val="20"/>
                      <w:szCs w:val="20"/>
                    </w:rPr>
                    <w:t>17</w:t>
                  </w:r>
                </w:p>
              </w:tc>
              <w:tc>
                <w:tcPr>
                  <w:tcW w:w="699" w:type="dxa"/>
                  <w:shd w:val="clear" w:color="auto" w:fill="auto"/>
                  <w:vAlign w:val="center"/>
                </w:tcPr>
                <w:p w14:paraId="11A217EA">
                  <w:pPr>
                    <w:widowControl/>
                    <w:adjustRightInd w:val="0"/>
                    <w:snapToGrid w:val="0"/>
                    <w:spacing w:line="320" w:lineRule="exact"/>
                    <w:jc w:val="center"/>
                    <w:rPr>
                      <w:sz w:val="20"/>
                      <w:szCs w:val="20"/>
                    </w:rPr>
                  </w:pPr>
                  <w:r>
                    <w:rPr>
                      <w:rFonts w:hint="eastAsia"/>
                      <w:sz w:val="20"/>
                      <w:szCs w:val="20"/>
                    </w:rPr>
                    <w:t xml:space="preserve">73.81 </w:t>
                  </w:r>
                </w:p>
              </w:tc>
              <w:tc>
                <w:tcPr>
                  <w:tcW w:w="670" w:type="dxa"/>
                  <w:vMerge w:val="restart"/>
                  <w:shd w:val="clear" w:color="auto" w:fill="auto"/>
                  <w:vAlign w:val="center"/>
                </w:tcPr>
                <w:p w14:paraId="127C2209">
                  <w:pPr>
                    <w:widowControl/>
                    <w:adjustRightInd w:val="0"/>
                    <w:snapToGrid w:val="0"/>
                    <w:spacing w:line="320" w:lineRule="exact"/>
                    <w:jc w:val="center"/>
                    <w:rPr>
                      <w:sz w:val="20"/>
                      <w:szCs w:val="20"/>
                    </w:rPr>
                  </w:pPr>
                  <w:r>
                    <w:rPr>
                      <w:rFonts w:hint="eastAsia"/>
                      <w:sz w:val="20"/>
                      <w:szCs w:val="20"/>
                    </w:rPr>
                    <w:t>8</w:t>
                  </w:r>
                </w:p>
              </w:tc>
              <w:tc>
                <w:tcPr>
                  <w:tcW w:w="700" w:type="dxa"/>
                  <w:shd w:val="clear" w:color="auto" w:fill="auto"/>
                  <w:vAlign w:val="center"/>
                </w:tcPr>
                <w:p w14:paraId="3F326552">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0B65E185">
                  <w:pPr>
                    <w:widowControl/>
                    <w:adjustRightInd w:val="0"/>
                    <w:snapToGrid w:val="0"/>
                    <w:spacing w:line="320" w:lineRule="exact"/>
                    <w:jc w:val="center"/>
                    <w:rPr>
                      <w:sz w:val="20"/>
                      <w:szCs w:val="20"/>
                    </w:rPr>
                  </w:pPr>
                  <w:r>
                    <w:rPr>
                      <w:sz w:val="20"/>
                      <w:szCs w:val="20"/>
                    </w:rPr>
                    <w:t xml:space="preserve">44.81 </w:t>
                  </w:r>
                </w:p>
              </w:tc>
              <w:tc>
                <w:tcPr>
                  <w:tcW w:w="395" w:type="dxa"/>
                  <w:shd w:val="clear" w:color="auto" w:fill="auto"/>
                  <w:vAlign w:val="center"/>
                </w:tcPr>
                <w:p w14:paraId="5E895FEA">
                  <w:pPr>
                    <w:widowControl/>
                    <w:adjustRightInd w:val="0"/>
                    <w:snapToGrid w:val="0"/>
                    <w:spacing w:line="320" w:lineRule="exact"/>
                    <w:jc w:val="center"/>
                    <w:rPr>
                      <w:sz w:val="20"/>
                      <w:szCs w:val="20"/>
                    </w:rPr>
                  </w:pPr>
                  <w:r>
                    <w:rPr>
                      <w:sz w:val="20"/>
                      <w:szCs w:val="20"/>
                    </w:rPr>
                    <w:t>1</w:t>
                  </w:r>
                </w:p>
              </w:tc>
            </w:tr>
            <w:tr w14:paraId="465A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21410D9F">
                  <w:pPr>
                    <w:widowControl/>
                    <w:adjustRightInd w:val="0"/>
                    <w:snapToGrid w:val="0"/>
                    <w:spacing w:line="320" w:lineRule="exact"/>
                    <w:jc w:val="center"/>
                    <w:rPr>
                      <w:sz w:val="20"/>
                      <w:szCs w:val="20"/>
                    </w:rPr>
                  </w:pPr>
                </w:p>
              </w:tc>
              <w:tc>
                <w:tcPr>
                  <w:tcW w:w="394" w:type="dxa"/>
                  <w:vMerge w:val="continue"/>
                  <w:shd w:val="clear" w:color="auto" w:fill="auto"/>
                  <w:vAlign w:val="center"/>
                </w:tcPr>
                <w:p w14:paraId="57B4609B">
                  <w:pPr>
                    <w:widowControl/>
                    <w:adjustRightInd w:val="0"/>
                    <w:snapToGrid w:val="0"/>
                    <w:spacing w:line="320" w:lineRule="exact"/>
                    <w:jc w:val="center"/>
                    <w:rPr>
                      <w:sz w:val="20"/>
                      <w:szCs w:val="20"/>
                    </w:rPr>
                  </w:pPr>
                </w:p>
              </w:tc>
              <w:tc>
                <w:tcPr>
                  <w:tcW w:w="394" w:type="dxa"/>
                  <w:vMerge w:val="continue"/>
                  <w:shd w:val="clear" w:color="auto" w:fill="auto"/>
                  <w:vAlign w:val="center"/>
                </w:tcPr>
                <w:p w14:paraId="3DEAFDF7">
                  <w:pPr>
                    <w:widowControl/>
                    <w:adjustRightInd w:val="0"/>
                    <w:snapToGrid w:val="0"/>
                    <w:spacing w:line="320" w:lineRule="exact"/>
                    <w:jc w:val="center"/>
                    <w:rPr>
                      <w:sz w:val="20"/>
                      <w:szCs w:val="20"/>
                    </w:rPr>
                  </w:pPr>
                </w:p>
              </w:tc>
              <w:tc>
                <w:tcPr>
                  <w:tcW w:w="394" w:type="dxa"/>
                  <w:vMerge w:val="continue"/>
                  <w:shd w:val="clear" w:color="auto" w:fill="auto"/>
                  <w:vAlign w:val="center"/>
                </w:tcPr>
                <w:p w14:paraId="7B1DB688">
                  <w:pPr>
                    <w:widowControl/>
                    <w:adjustRightInd w:val="0"/>
                    <w:snapToGrid w:val="0"/>
                    <w:spacing w:line="320" w:lineRule="exact"/>
                    <w:jc w:val="center"/>
                    <w:rPr>
                      <w:sz w:val="20"/>
                      <w:szCs w:val="20"/>
                    </w:rPr>
                  </w:pPr>
                </w:p>
              </w:tc>
              <w:tc>
                <w:tcPr>
                  <w:tcW w:w="699" w:type="dxa"/>
                  <w:vMerge w:val="continue"/>
                  <w:shd w:val="clear" w:color="auto" w:fill="auto"/>
                  <w:vAlign w:val="center"/>
                </w:tcPr>
                <w:p w14:paraId="3DF07C63">
                  <w:pPr>
                    <w:widowControl/>
                    <w:adjustRightInd w:val="0"/>
                    <w:snapToGrid w:val="0"/>
                    <w:spacing w:line="320" w:lineRule="exact"/>
                    <w:jc w:val="center"/>
                    <w:rPr>
                      <w:sz w:val="20"/>
                      <w:szCs w:val="20"/>
                    </w:rPr>
                  </w:pPr>
                </w:p>
              </w:tc>
              <w:tc>
                <w:tcPr>
                  <w:tcW w:w="570" w:type="dxa"/>
                  <w:vMerge w:val="continue"/>
                  <w:shd w:val="clear" w:color="auto" w:fill="auto"/>
                  <w:vAlign w:val="center"/>
                </w:tcPr>
                <w:p w14:paraId="4DE0BAE7">
                  <w:pPr>
                    <w:widowControl/>
                    <w:adjustRightInd w:val="0"/>
                    <w:snapToGrid w:val="0"/>
                    <w:spacing w:line="320" w:lineRule="exact"/>
                    <w:jc w:val="center"/>
                    <w:rPr>
                      <w:sz w:val="20"/>
                      <w:szCs w:val="20"/>
                    </w:rPr>
                  </w:pPr>
                </w:p>
              </w:tc>
              <w:tc>
                <w:tcPr>
                  <w:tcW w:w="614" w:type="dxa"/>
                  <w:shd w:val="clear" w:color="auto" w:fill="FFFFFF"/>
                  <w:vAlign w:val="center"/>
                </w:tcPr>
                <w:p w14:paraId="416F210F">
                  <w:pPr>
                    <w:widowControl/>
                    <w:adjustRightInd w:val="0"/>
                    <w:snapToGrid w:val="0"/>
                    <w:spacing w:line="320" w:lineRule="exact"/>
                    <w:jc w:val="center"/>
                    <w:rPr>
                      <w:sz w:val="20"/>
                      <w:szCs w:val="20"/>
                    </w:rPr>
                  </w:pPr>
                  <w:r>
                    <w:rPr>
                      <w:sz w:val="20"/>
                      <w:szCs w:val="20"/>
                    </w:rPr>
                    <w:t>16</w:t>
                  </w:r>
                </w:p>
              </w:tc>
              <w:tc>
                <w:tcPr>
                  <w:tcW w:w="585" w:type="dxa"/>
                  <w:shd w:val="clear" w:color="auto" w:fill="FFFFFF"/>
                  <w:vAlign w:val="center"/>
                </w:tcPr>
                <w:p w14:paraId="5F5420ED">
                  <w:pPr>
                    <w:widowControl/>
                    <w:adjustRightInd w:val="0"/>
                    <w:snapToGrid w:val="0"/>
                    <w:spacing w:line="320" w:lineRule="exact"/>
                    <w:jc w:val="center"/>
                    <w:rPr>
                      <w:sz w:val="20"/>
                      <w:szCs w:val="20"/>
                    </w:rPr>
                  </w:pPr>
                  <w:r>
                    <w:rPr>
                      <w:sz w:val="20"/>
                      <w:szCs w:val="20"/>
                    </w:rPr>
                    <w:t>-5.33</w:t>
                  </w:r>
                </w:p>
              </w:tc>
              <w:tc>
                <w:tcPr>
                  <w:tcW w:w="437" w:type="dxa"/>
                  <w:shd w:val="clear" w:color="auto" w:fill="FFFFFF"/>
                  <w:vAlign w:val="center"/>
                </w:tcPr>
                <w:p w14:paraId="39801431">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01936B74">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0F8DF7D7">
                  <w:pPr>
                    <w:widowControl/>
                    <w:adjustRightInd w:val="0"/>
                    <w:snapToGrid w:val="0"/>
                    <w:spacing w:line="320" w:lineRule="exact"/>
                    <w:jc w:val="center"/>
                    <w:rPr>
                      <w:sz w:val="20"/>
                      <w:szCs w:val="20"/>
                    </w:rPr>
                  </w:pPr>
                  <w:r>
                    <w:rPr>
                      <w:rFonts w:hint="eastAsia"/>
                      <w:sz w:val="20"/>
                      <w:szCs w:val="20"/>
                    </w:rPr>
                    <w:t>2</w:t>
                  </w:r>
                </w:p>
              </w:tc>
              <w:tc>
                <w:tcPr>
                  <w:tcW w:w="699" w:type="dxa"/>
                  <w:shd w:val="clear" w:color="auto" w:fill="auto"/>
                  <w:vAlign w:val="center"/>
                </w:tcPr>
                <w:p w14:paraId="5469BD82">
                  <w:pPr>
                    <w:widowControl/>
                    <w:adjustRightInd w:val="0"/>
                    <w:snapToGrid w:val="0"/>
                    <w:spacing w:line="320" w:lineRule="exact"/>
                    <w:jc w:val="center"/>
                    <w:rPr>
                      <w:sz w:val="20"/>
                      <w:szCs w:val="20"/>
                    </w:rPr>
                  </w:pPr>
                  <w:r>
                    <w:rPr>
                      <w:rFonts w:hint="eastAsia"/>
                      <w:sz w:val="20"/>
                      <w:szCs w:val="20"/>
                    </w:rPr>
                    <w:t xml:space="preserve">75.66 </w:t>
                  </w:r>
                </w:p>
              </w:tc>
              <w:tc>
                <w:tcPr>
                  <w:tcW w:w="670" w:type="dxa"/>
                  <w:vMerge w:val="continue"/>
                  <w:shd w:val="clear" w:color="auto" w:fill="auto"/>
                  <w:vAlign w:val="center"/>
                </w:tcPr>
                <w:p w14:paraId="779817BA">
                  <w:pPr>
                    <w:widowControl/>
                    <w:adjustRightInd w:val="0"/>
                    <w:snapToGrid w:val="0"/>
                    <w:spacing w:line="320" w:lineRule="exact"/>
                    <w:jc w:val="center"/>
                    <w:rPr>
                      <w:sz w:val="20"/>
                      <w:szCs w:val="20"/>
                    </w:rPr>
                  </w:pPr>
                </w:p>
              </w:tc>
              <w:tc>
                <w:tcPr>
                  <w:tcW w:w="700" w:type="dxa"/>
                  <w:shd w:val="clear" w:color="auto" w:fill="auto"/>
                  <w:vAlign w:val="center"/>
                </w:tcPr>
                <w:p w14:paraId="20D32785">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5F9FD0FD">
                  <w:pPr>
                    <w:widowControl/>
                    <w:adjustRightInd w:val="0"/>
                    <w:snapToGrid w:val="0"/>
                    <w:spacing w:line="320" w:lineRule="exact"/>
                    <w:jc w:val="center"/>
                    <w:rPr>
                      <w:sz w:val="20"/>
                      <w:szCs w:val="20"/>
                    </w:rPr>
                  </w:pPr>
                  <w:r>
                    <w:rPr>
                      <w:sz w:val="20"/>
                      <w:szCs w:val="20"/>
                    </w:rPr>
                    <w:t xml:space="preserve">49.66 </w:t>
                  </w:r>
                </w:p>
              </w:tc>
              <w:tc>
                <w:tcPr>
                  <w:tcW w:w="395" w:type="dxa"/>
                  <w:shd w:val="clear" w:color="auto" w:fill="auto"/>
                  <w:vAlign w:val="center"/>
                </w:tcPr>
                <w:p w14:paraId="1121522E">
                  <w:pPr>
                    <w:widowControl/>
                    <w:adjustRightInd w:val="0"/>
                    <w:snapToGrid w:val="0"/>
                    <w:spacing w:line="320" w:lineRule="exact"/>
                    <w:jc w:val="center"/>
                    <w:rPr>
                      <w:sz w:val="20"/>
                      <w:szCs w:val="20"/>
                    </w:rPr>
                  </w:pPr>
                  <w:r>
                    <w:rPr>
                      <w:sz w:val="20"/>
                      <w:szCs w:val="20"/>
                    </w:rPr>
                    <w:t>1</w:t>
                  </w:r>
                </w:p>
              </w:tc>
            </w:tr>
            <w:tr w14:paraId="001E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144D5EEC">
                  <w:pPr>
                    <w:widowControl/>
                    <w:adjustRightInd w:val="0"/>
                    <w:snapToGrid w:val="0"/>
                    <w:spacing w:line="320" w:lineRule="exact"/>
                    <w:jc w:val="center"/>
                    <w:rPr>
                      <w:sz w:val="20"/>
                      <w:szCs w:val="20"/>
                    </w:rPr>
                  </w:pPr>
                </w:p>
              </w:tc>
              <w:tc>
                <w:tcPr>
                  <w:tcW w:w="394" w:type="dxa"/>
                  <w:vMerge w:val="continue"/>
                  <w:shd w:val="clear" w:color="auto" w:fill="auto"/>
                  <w:vAlign w:val="center"/>
                </w:tcPr>
                <w:p w14:paraId="773F4A17">
                  <w:pPr>
                    <w:widowControl/>
                    <w:adjustRightInd w:val="0"/>
                    <w:snapToGrid w:val="0"/>
                    <w:spacing w:line="320" w:lineRule="exact"/>
                    <w:jc w:val="center"/>
                    <w:rPr>
                      <w:sz w:val="20"/>
                      <w:szCs w:val="20"/>
                    </w:rPr>
                  </w:pPr>
                </w:p>
              </w:tc>
              <w:tc>
                <w:tcPr>
                  <w:tcW w:w="394" w:type="dxa"/>
                  <w:vMerge w:val="continue"/>
                  <w:shd w:val="clear" w:color="auto" w:fill="auto"/>
                  <w:vAlign w:val="center"/>
                </w:tcPr>
                <w:p w14:paraId="520A43B3">
                  <w:pPr>
                    <w:widowControl/>
                    <w:adjustRightInd w:val="0"/>
                    <w:snapToGrid w:val="0"/>
                    <w:spacing w:line="320" w:lineRule="exact"/>
                    <w:jc w:val="center"/>
                    <w:rPr>
                      <w:sz w:val="20"/>
                      <w:szCs w:val="20"/>
                    </w:rPr>
                  </w:pPr>
                </w:p>
              </w:tc>
              <w:tc>
                <w:tcPr>
                  <w:tcW w:w="394" w:type="dxa"/>
                  <w:vMerge w:val="continue"/>
                  <w:shd w:val="clear" w:color="auto" w:fill="auto"/>
                  <w:vAlign w:val="center"/>
                </w:tcPr>
                <w:p w14:paraId="6ED400DE">
                  <w:pPr>
                    <w:widowControl/>
                    <w:adjustRightInd w:val="0"/>
                    <w:snapToGrid w:val="0"/>
                    <w:spacing w:line="320" w:lineRule="exact"/>
                    <w:jc w:val="center"/>
                    <w:rPr>
                      <w:sz w:val="20"/>
                      <w:szCs w:val="20"/>
                    </w:rPr>
                  </w:pPr>
                </w:p>
              </w:tc>
              <w:tc>
                <w:tcPr>
                  <w:tcW w:w="699" w:type="dxa"/>
                  <w:vMerge w:val="continue"/>
                  <w:shd w:val="clear" w:color="auto" w:fill="auto"/>
                  <w:vAlign w:val="center"/>
                </w:tcPr>
                <w:p w14:paraId="5632327E">
                  <w:pPr>
                    <w:widowControl/>
                    <w:adjustRightInd w:val="0"/>
                    <w:snapToGrid w:val="0"/>
                    <w:spacing w:line="320" w:lineRule="exact"/>
                    <w:jc w:val="center"/>
                    <w:rPr>
                      <w:sz w:val="20"/>
                      <w:szCs w:val="20"/>
                    </w:rPr>
                  </w:pPr>
                </w:p>
              </w:tc>
              <w:tc>
                <w:tcPr>
                  <w:tcW w:w="570" w:type="dxa"/>
                  <w:vMerge w:val="continue"/>
                  <w:shd w:val="clear" w:color="auto" w:fill="auto"/>
                  <w:vAlign w:val="center"/>
                </w:tcPr>
                <w:p w14:paraId="5EC7F0B3">
                  <w:pPr>
                    <w:widowControl/>
                    <w:adjustRightInd w:val="0"/>
                    <w:snapToGrid w:val="0"/>
                    <w:spacing w:line="320" w:lineRule="exact"/>
                    <w:jc w:val="center"/>
                    <w:rPr>
                      <w:sz w:val="20"/>
                      <w:szCs w:val="20"/>
                    </w:rPr>
                  </w:pPr>
                </w:p>
              </w:tc>
              <w:tc>
                <w:tcPr>
                  <w:tcW w:w="614" w:type="dxa"/>
                  <w:shd w:val="clear" w:color="auto" w:fill="FFFFFF"/>
                  <w:vAlign w:val="center"/>
                </w:tcPr>
                <w:p w14:paraId="3769F691">
                  <w:pPr>
                    <w:widowControl/>
                    <w:adjustRightInd w:val="0"/>
                    <w:snapToGrid w:val="0"/>
                    <w:spacing w:line="320" w:lineRule="exact"/>
                    <w:jc w:val="center"/>
                    <w:rPr>
                      <w:sz w:val="20"/>
                      <w:szCs w:val="20"/>
                    </w:rPr>
                  </w:pPr>
                  <w:r>
                    <w:rPr>
                      <w:sz w:val="20"/>
                      <w:szCs w:val="20"/>
                    </w:rPr>
                    <w:t>23.36</w:t>
                  </w:r>
                </w:p>
              </w:tc>
              <w:tc>
                <w:tcPr>
                  <w:tcW w:w="585" w:type="dxa"/>
                  <w:shd w:val="clear" w:color="auto" w:fill="FFFFFF"/>
                  <w:vAlign w:val="center"/>
                </w:tcPr>
                <w:p w14:paraId="7724F5F5">
                  <w:pPr>
                    <w:widowControl/>
                    <w:adjustRightInd w:val="0"/>
                    <w:snapToGrid w:val="0"/>
                    <w:spacing w:line="320" w:lineRule="exact"/>
                    <w:jc w:val="center"/>
                    <w:rPr>
                      <w:sz w:val="20"/>
                      <w:szCs w:val="20"/>
                    </w:rPr>
                  </w:pPr>
                  <w:r>
                    <w:rPr>
                      <w:sz w:val="20"/>
                      <w:szCs w:val="20"/>
                    </w:rPr>
                    <w:t>-8.63</w:t>
                  </w:r>
                </w:p>
              </w:tc>
              <w:tc>
                <w:tcPr>
                  <w:tcW w:w="437" w:type="dxa"/>
                  <w:shd w:val="clear" w:color="auto" w:fill="FFFFFF"/>
                  <w:vAlign w:val="center"/>
                </w:tcPr>
                <w:p w14:paraId="5FFCBDAD">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7E05717B">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31DF8182">
                  <w:pPr>
                    <w:widowControl/>
                    <w:adjustRightInd w:val="0"/>
                    <w:snapToGrid w:val="0"/>
                    <w:spacing w:line="320" w:lineRule="exact"/>
                    <w:jc w:val="center"/>
                    <w:rPr>
                      <w:sz w:val="20"/>
                      <w:szCs w:val="20"/>
                    </w:rPr>
                  </w:pPr>
                  <w:r>
                    <w:rPr>
                      <w:rFonts w:hint="eastAsia"/>
                      <w:sz w:val="20"/>
                      <w:szCs w:val="20"/>
                    </w:rPr>
                    <w:t>9</w:t>
                  </w:r>
                </w:p>
              </w:tc>
              <w:tc>
                <w:tcPr>
                  <w:tcW w:w="699" w:type="dxa"/>
                  <w:shd w:val="clear" w:color="auto" w:fill="auto"/>
                  <w:vAlign w:val="center"/>
                </w:tcPr>
                <w:p w14:paraId="66781B96">
                  <w:pPr>
                    <w:widowControl/>
                    <w:adjustRightInd w:val="0"/>
                    <w:snapToGrid w:val="0"/>
                    <w:spacing w:line="320" w:lineRule="exact"/>
                    <w:jc w:val="center"/>
                    <w:rPr>
                      <w:sz w:val="20"/>
                      <w:szCs w:val="20"/>
                    </w:rPr>
                  </w:pPr>
                  <w:r>
                    <w:rPr>
                      <w:rFonts w:hint="eastAsia"/>
                      <w:sz w:val="20"/>
                      <w:szCs w:val="20"/>
                    </w:rPr>
                    <w:t xml:space="preserve">73.85 </w:t>
                  </w:r>
                </w:p>
              </w:tc>
              <w:tc>
                <w:tcPr>
                  <w:tcW w:w="670" w:type="dxa"/>
                  <w:vMerge w:val="continue"/>
                  <w:shd w:val="clear" w:color="auto" w:fill="auto"/>
                  <w:vAlign w:val="center"/>
                </w:tcPr>
                <w:p w14:paraId="28C72EA6">
                  <w:pPr>
                    <w:widowControl/>
                    <w:adjustRightInd w:val="0"/>
                    <w:snapToGrid w:val="0"/>
                    <w:spacing w:line="320" w:lineRule="exact"/>
                    <w:jc w:val="center"/>
                    <w:rPr>
                      <w:sz w:val="20"/>
                      <w:szCs w:val="20"/>
                    </w:rPr>
                  </w:pPr>
                </w:p>
              </w:tc>
              <w:tc>
                <w:tcPr>
                  <w:tcW w:w="700" w:type="dxa"/>
                  <w:shd w:val="clear" w:color="auto" w:fill="auto"/>
                  <w:vAlign w:val="center"/>
                </w:tcPr>
                <w:p w14:paraId="7C555205">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7038811A">
                  <w:pPr>
                    <w:widowControl/>
                    <w:adjustRightInd w:val="0"/>
                    <w:snapToGrid w:val="0"/>
                    <w:spacing w:line="320" w:lineRule="exact"/>
                    <w:jc w:val="center"/>
                    <w:rPr>
                      <w:sz w:val="20"/>
                      <w:szCs w:val="20"/>
                    </w:rPr>
                  </w:pPr>
                  <w:r>
                    <w:rPr>
                      <w:sz w:val="20"/>
                      <w:szCs w:val="20"/>
                    </w:rPr>
                    <w:t xml:space="preserve">44.85 </w:t>
                  </w:r>
                </w:p>
              </w:tc>
              <w:tc>
                <w:tcPr>
                  <w:tcW w:w="395" w:type="dxa"/>
                  <w:shd w:val="clear" w:color="auto" w:fill="auto"/>
                  <w:vAlign w:val="center"/>
                </w:tcPr>
                <w:p w14:paraId="42BDA2E1">
                  <w:pPr>
                    <w:widowControl/>
                    <w:adjustRightInd w:val="0"/>
                    <w:snapToGrid w:val="0"/>
                    <w:spacing w:line="320" w:lineRule="exact"/>
                    <w:jc w:val="center"/>
                    <w:rPr>
                      <w:sz w:val="20"/>
                      <w:szCs w:val="20"/>
                    </w:rPr>
                  </w:pPr>
                  <w:r>
                    <w:rPr>
                      <w:sz w:val="20"/>
                      <w:szCs w:val="20"/>
                    </w:rPr>
                    <w:t>1</w:t>
                  </w:r>
                </w:p>
              </w:tc>
            </w:tr>
            <w:tr w14:paraId="3CE0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28C46D71">
                  <w:pPr>
                    <w:widowControl/>
                    <w:adjustRightInd w:val="0"/>
                    <w:snapToGrid w:val="0"/>
                    <w:spacing w:line="320" w:lineRule="exact"/>
                    <w:jc w:val="center"/>
                    <w:rPr>
                      <w:sz w:val="20"/>
                      <w:szCs w:val="20"/>
                    </w:rPr>
                  </w:pPr>
                </w:p>
              </w:tc>
              <w:tc>
                <w:tcPr>
                  <w:tcW w:w="394" w:type="dxa"/>
                  <w:vMerge w:val="continue"/>
                  <w:shd w:val="clear" w:color="auto" w:fill="auto"/>
                  <w:vAlign w:val="center"/>
                </w:tcPr>
                <w:p w14:paraId="12A74CC4">
                  <w:pPr>
                    <w:widowControl/>
                    <w:adjustRightInd w:val="0"/>
                    <w:snapToGrid w:val="0"/>
                    <w:spacing w:line="320" w:lineRule="exact"/>
                    <w:jc w:val="center"/>
                    <w:rPr>
                      <w:sz w:val="20"/>
                      <w:szCs w:val="20"/>
                    </w:rPr>
                  </w:pPr>
                </w:p>
              </w:tc>
              <w:tc>
                <w:tcPr>
                  <w:tcW w:w="394" w:type="dxa"/>
                  <w:vMerge w:val="continue"/>
                  <w:shd w:val="clear" w:color="auto" w:fill="auto"/>
                  <w:vAlign w:val="center"/>
                </w:tcPr>
                <w:p w14:paraId="3738AC5B">
                  <w:pPr>
                    <w:widowControl/>
                    <w:adjustRightInd w:val="0"/>
                    <w:snapToGrid w:val="0"/>
                    <w:spacing w:line="320" w:lineRule="exact"/>
                    <w:jc w:val="center"/>
                    <w:rPr>
                      <w:sz w:val="20"/>
                      <w:szCs w:val="20"/>
                    </w:rPr>
                  </w:pPr>
                </w:p>
              </w:tc>
              <w:tc>
                <w:tcPr>
                  <w:tcW w:w="394" w:type="dxa"/>
                  <w:vMerge w:val="continue"/>
                  <w:shd w:val="clear" w:color="auto" w:fill="auto"/>
                  <w:vAlign w:val="center"/>
                </w:tcPr>
                <w:p w14:paraId="1438FEE5">
                  <w:pPr>
                    <w:widowControl/>
                    <w:adjustRightInd w:val="0"/>
                    <w:snapToGrid w:val="0"/>
                    <w:spacing w:line="320" w:lineRule="exact"/>
                    <w:jc w:val="center"/>
                    <w:rPr>
                      <w:sz w:val="20"/>
                      <w:szCs w:val="20"/>
                    </w:rPr>
                  </w:pPr>
                </w:p>
              </w:tc>
              <w:tc>
                <w:tcPr>
                  <w:tcW w:w="699" w:type="dxa"/>
                  <w:vMerge w:val="continue"/>
                  <w:shd w:val="clear" w:color="auto" w:fill="auto"/>
                  <w:vAlign w:val="center"/>
                </w:tcPr>
                <w:p w14:paraId="699756E1">
                  <w:pPr>
                    <w:widowControl/>
                    <w:adjustRightInd w:val="0"/>
                    <w:snapToGrid w:val="0"/>
                    <w:spacing w:line="320" w:lineRule="exact"/>
                    <w:jc w:val="center"/>
                    <w:rPr>
                      <w:sz w:val="20"/>
                      <w:szCs w:val="20"/>
                    </w:rPr>
                  </w:pPr>
                </w:p>
              </w:tc>
              <w:tc>
                <w:tcPr>
                  <w:tcW w:w="570" w:type="dxa"/>
                  <w:vMerge w:val="continue"/>
                  <w:shd w:val="clear" w:color="auto" w:fill="auto"/>
                  <w:vAlign w:val="center"/>
                </w:tcPr>
                <w:p w14:paraId="6DECDEB6">
                  <w:pPr>
                    <w:widowControl/>
                    <w:adjustRightInd w:val="0"/>
                    <w:snapToGrid w:val="0"/>
                    <w:spacing w:line="320" w:lineRule="exact"/>
                    <w:jc w:val="center"/>
                    <w:rPr>
                      <w:sz w:val="20"/>
                      <w:szCs w:val="20"/>
                    </w:rPr>
                  </w:pPr>
                </w:p>
              </w:tc>
              <w:tc>
                <w:tcPr>
                  <w:tcW w:w="614" w:type="dxa"/>
                  <w:shd w:val="clear" w:color="auto" w:fill="FFFFFF"/>
                  <w:vAlign w:val="center"/>
                </w:tcPr>
                <w:p w14:paraId="3328D851">
                  <w:pPr>
                    <w:widowControl/>
                    <w:adjustRightInd w:val="0"/>
                    <w:snapToGrid w:val="0"/>
                    <w:spacing w:line="320" w:lineRule="exact"/>
                    <w:jc w:val="center"/>
                    <w:rPr>
                      <w:sz w:val="20"/>
                      <w:szCs w:val="20"/>
                    </w:rPr>
                  </w:pPr>
                  <w:r>
                    <w:rPr>
                      <w:sz w:val="20"/>
                      <w:szCs w:val="20"/>
                    </w:rPr>
                    <w:t>26.98</w:t>
                  </w:r>
                </w:p>
              </w:tc>
              <w:tc>
                <w:tcPr>
                  <w:tcW w:w="585" w:type="dxa"/>
                  <w:shd w:val="clear" w:color="auto" w:fill="FFFFFF"/>
                  <w:vAlign w:val="center"/>
                </w:tcPr>
                <w:p w14:paraId="40FF59FE">
                  <w:pPr>
                    <w:widowControl/>
                    <w:adjustRightInd w:val="0"/>
                    <w:snapToGrid w:val="0"/>
                    <w:spacing w:line="320" w:lineRule="exact"/>
                    <w:jc w:val="center"/>
                    <w:rPr>
                      <w:sz w:val="20"/>
                      <w:szCs w:val="20"/>
                    </w:rPr>
                  </w:pPr>
                  <w:r>
                    <w:rPr>
                      <w:sz w:val="20"/>
                      <w:szCs w:val="20"/>
                    </w:rPr>
                    <w:t>-4.24</w:t>
                  </w:r>
                </w:p>
              </w:tc>
              <w:tc>
                <w:tcPr>
                  <w:tcW w:w="437" w:type="dxa"/>
                  <w:shd w:val="clear" w:color="auto" w:fill="FFFFFF"/>
                  <w:vAlign w:val="center"/>
                </w:tcPr>
                <w:p w14:paraId="1F2C3274">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7D98430F">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55519C1F">
                  <w:pPr>
                    <w:widowControl/>
                    <w:adjustRightInd w:val="0"/>
                    <w:snapToGrid w:val="0"/>
                    <w:spacing w:line="320" w:lineRule="exact"/>
                    <w:jc w:val="center"/>
                    <w:rPr>
                      <w:sz w:val="20"/>
                      <w:szCs w:val="20"/>
                    </w:rPr>
                  </w:pPr>
                  <w:r>
                    <w:rPr>
                      <w:rFonts w:hint="eastAsia"/>
                      <w:sz w:val="20"/>
                      <w:szCs w:val="20"/>
                    </w:rPr>
                    <w:t>17</w:t>
                  </w:r>
                </w:p>
              </w:tc>
              <w:tc>
                <w:tcPr>
                  <w:tcW w:w="699" w:type="dxa"/>
                  <w:shd w:val="clear" w:color="auto" w:fill="auto"/>
                  <w:vAlign w:val="center"/>
                </w:tcPr>
                <w:p w14:paraId="36DF2CE6">
                  <w:pPr>
                    <w:widowControl/>
                    <w:adjustRightInd w:val="0"/>
                    <w:snapToGrid w:val="0"/>
                    <w:spacing w:line="320" w:lineRule="exact"/>
                    <w:jc w:val="center"/>
                    <w:rPr>
                      <w:sz w:val="20"/>
                      <w:szCs w:val="20"/>
                    </w:rPr>
                  </w:pPr>
                  <w:r>
                    <w:rPr>
                      <w:rFonts w:hint="eastAsia"/>
                      <w:sz w:val="20"/>
                      <w:szCs w:val="20"/>
                    </w:rPr>
                    <w:t xml:space="preserve">73.81 </w:t>
                  </w:r>
                </w:p>
              </w:tc>
              <w:tc>
                <w:tcPr>
                  <w:tcW w:w="670" w:type="dxa"/>
                  <w:vMerge w:val="continue"/>
                  <w:shd w:val="clear" w:color="auto" w:fill="auto"/>
                  <w:vAlign w:val="center"/>
                </w:tcPr>
                <w:p w14:paraId="2ACA5304">
                  <w:pPr>
                    <w:widowControl/>
                    <w:adjustRightInd w:val="0"/>
                    <w:snapToGrid w:val="0"/>
                    <w:spacing w:line="320" w:lineRule="exact"/>
                    <w:jc w:val="center"/>
                    <w:rPr>
                      <w:sz w:val="20"/>
                      <w:szCs w:val="20"/>
                    </w:rPr>
                  </w:pPr>
                </w:p>
              </w:tc>
              <w:tc>
                <w:tcPr>
                  <w:tcW w:w="700" w:type="dxa"/>
                  <w:shd w:val="clear" w:color="auto" w:fill="auto"/>
                  <w:vAlign w:val="center"/>
                </w:tcPr>
                <w:p w14:paraId="2EDF83AA">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4FCAE7F9">
                  <w:pPr>
                    <w:widowControl/>
                    <w:adjustRightInd w:val="0"/>
                    <w:snapToGrid w:val="0"/>
                    <w:spacing w:line="320" w:lineRule="exact"/>
                    <w:jc w:val="center"/>
                    <w:rPr>
                      <w:sz w:val="20"/>
                      <w:szCs w:val="20"/>
                    </w:rPr>
                  </w:pPr>
                  <w:r>
                    <w:rPr>
                      <w:sz w:val="20"/>
                      <w:szCs w:val="20"/>
                    </w:rPr>
                    <w:t xml:space="preserve">47.81 </w:t>
                  </w:r>
                </w:p>
              </w:tc>
              <w:tc>
                <w:tcPr>
                  <w:tcW w:w="395" w:type="dxa"/>
                  <w:shd w:val="clear" w:color="auto" w:fill="auto"/>
                  <w:vAlign w:val="center"/>
                </w:tcPr>
                <w:p w14:paraId="363225C8">
                  <w:pPr>
                    <w:widowControl/>
                    <w:adjustRightInd w:val="0"/>
                    <w:snapToGrid w:val="0"/>
                    <w:spacing w:line="320" w:lineRule="exact"/>
                    <w:jc w:val="center"/>
                    <w:rPr>
                      <w:sz w:val="20"/>
                      <w:szCs w:val="20"/>
                    </w:rPr>
                  </w:pPr>
                  <w:r>
                    <w:rPr>
                      <w:sz w:val="20"/>
                      <w:szCs w:val="20"/>
                    </w:rPr>
                    <w:t>1</w:t>
                  </w:r>
                </w:p>
              </w:tc>
            </w:tr>
            <w:tr w14:paraId="187A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0117617F">
                  <w:pPr>
                    <w:widowControl/>
                    <w:adjustRightInd w:val="0"/>
                    <w:snapToGrid w:val="0"/>
                    <w:spacing w:line="320" w:lineRule="exact"/>
                    <w:jc w:val="center"/>
                    <w:rPr>
                      <w:sz w:val="20"/>
                      <w:szCs w:val="20"/>
                    </w:rPr>
                  </w:pPr>
                  <w:r>
                    <w:rPr>
                      <w:sz w:val="20"/>
                      <w:szCs w:val="20"/>
                    </w:rPr>
                    <w:t xml:space="preserve">2 </w:t>
                  </w:r>
                </w:p>
              </w:tc>
              <w:tc>
                <w:tcPr>
                  <w:tcW w:w="394" w:type="dxa"/>
                  <w:vMerge w:val="continue"/>
                  <w:shd w:val="clear" w:color="auto" w:fill="auto"/>
                  <w:vAlign w:val="center"/>
                </w:tcPr>
                <w:p w14:paraId="7903F2B1">
                  <w:pPr>
                    <w:widowControl/>
                    <w:adjustRightInd w:val="0"/>
                    <w:snapToGrid w:val="0"/>
                    <w:spacing w:line="320" w:lineRule="exact"/>
                    <w:jc w:val="center"/>
                    <w:rPr>
                      <w:sz w:val="20"/>
                      <w:szCs w:val="20"/>
                    </w:rPr>
                  </w:pPr>
                </w:p>
              </w:tc>
              <w:tc>
                <w:tcPr>
                  <w:tcW w:w="394" w:type="dxa"/>
                  <w:vMerge w:val="restart"/>
                  <w:shd w:val="clear" w:color="auto" w:fill="auto"/>
                  <w:vAlign w:val="center"/>
                </w:tcPr>
                <w:p w14:paraId="27825AED">
                  <w:pPr>
                    <w:widowControl/>
                    <w:adjustRightInd w:val="0"/>
                    <w:snapToGrid w:val="0"/>
                    <w:spacing w:line="320" w:lineRule="exact"/>
                    <w:jc w:val="center"/>
                    <w:rPr>
                      <w:sz w:val="20"/>
                      <w:szCs w:val="20"/>
                    </w:rPr>
                  </w:pPr>
                  <w:r>
                    <w:rPr>
                      <w:rFonts w:hint="eastAsia"/>
                      <w:sz w:val="20"/>
                      <w:szCs w:val="20"/>
                    </w:rPr>
                    <w:t>压缩机2#</w:t>
                  </w:r>
                </w:p>
              </w:tc>
              <w:tc>
                <w:tcPr>
                  <w:tcW w:w="394" w:type="dxa"/>
                  <w:vMerge w:val="restart"/>
                  <w:shd w:val="clear" w:color="auto" w:fill="auto"/>
                  <w:vAlign w:val="center"/>
                </w:tcPr>
                <w:p w14:paraId="4EE70765">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10138A9B">
                  <w:pPr>
                    <w:widowControl/>
                    <w:adjustRightInd w:val="0"/>
                    <w:snapToGrid w:val="0"/>
                    <w:spacing w:line="320" w:lineRule="exact"/>
                    <w:jc w:val="center"/>
                    <w:rPr>
                      <w:sz w:val="20"/>
                      <w:szCs w:val="20"/>
                    </w:rPr>
                  </w:pPr>
                  <w:r>
                    <w:rPr>
                      <w:sz w:val="20"/>
                      <w:szCs w:val="20"/>
                    </w:rPr>
                    <w:t>85</w:t>
                  </w:r>
                </w:p>
              </w:tc>
              <w:tc>
                <w:tcPr>
                  <w:tcW w:w="570" w:type="dxa"/>
                  <w:vMerge w:val="continue"/>
                  <w:shd w:val="clear" w:color="auto" w:fill="auto"/>
                  <w:vAlign w:val="center"/>
                </w:tcPr>
                <w:p w14:paraId="58B918C6">
                  <w:pPr>
                    <w:widowControl/>
                    <w:adjustRightInd w:val="0"/>
                    <w:snapToGrid w:val="0"/>
                    <w:spacing w:line="320" w:lineRule="exact"/>
                    <w:jc w:val="center"/>
                    <w:rPr>
                      <w:sz w:val="20"/>
                      <w:szCs w:val="20"/>
                    </w:rPr>
                  </w:pPr>
                </w:p>
              </w:tc>
              <w:tc>
                <w:tcPr>
                  <w:tcW w:w="614" w:type="dxa"/>
                  <w:shd w:val="clear" w:color="auto" w:fill="FFFFFF"/>
                  <w:vAlign w:val="center"/>
                </w:tcPr>
                <w:p w14:paraId="4FF8542C">
                  <w:pPr>
                    <w:widowControl/>
                    <w:adjustRightInd w:val="0"/>
                    <w:snapToGrid w:val="0"/>
                    <w:spacing w:line="320" w:lineRule="exact"/>
                    <w:jc w:val="center"/>
                    <w:rPr>
                      <w:sz w:val="20"/>
                      <w:szCs w:val="20"/>
                    </w:rPr>
                  </w:pPr>
                  <w:r>
                    <w:rPr>
                      <w:sz w:val="20"/>
                      <w:szCs w:val="20"/>
                    </w:rPr>
                    <w:t>26.07</w:t>
                  </w:r>
                </w:p>
              </w:tc>
              <w:tc>
                <w:tcPr>
                  <w:tcW w:w="585" w:type="dxa"/>
                  <w:shd w:val="clear" w:color="auto" w:fill="FFFFFF"/>
                  <w:vAlign w:val="center"/>
                </w:tcPr>
                <w:p w14:paraId="04C1F993">
                  <w:pPr>
                    <w:widowControl/>
                    <w:adjustRightInd w:val="0"/>
                    <w:snapToGrid w:val="0"/>
                    <w:spacing w:line="320" w:lineRule="exact"/>
                    <w:jc w:val="center"/>
                    <w:rPr>
                      <w:sz w:val="20"/>
                      <w:szCs w:val="20"/>
                    </w:rPr>
                  </w:pPr>
                  <w:r>
                    <w:rPr>
                      <w:sz w:val="20"/>
                      <w:szCs w:val="20"/>
                    </w:rPr>
                    <w:t>-6.58</w:t>
                  </w:r>
                </w:p>
              </w:tc>
              <w:tc>
                <w:tcPr>
                  <w:tcW w:w="437" w:type="dxa"/>
                  <w:shd w:val="clear" w:color="auto" w:fill="FFFFFF"/>
                  <w:vAlign w:val="center"/>
                </w:tcPr>
                <w:p w14:paraId="20902ADC">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55C90513">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1BD48ADD">
                  <w:pPr>
                    <w:widowControl/>
                    <w:adjustRightInd w:val="0"/>
                    <w:snapToGrid w:val="0"/>
                    <w:spacing w:line="320" w:lineRule="exact"/>
                    <w:jc w:val="center"/>
                    <w:rPr>
                      <w:sz w:val="20"/>
                      <w:szCs w:val="20"/>
                    </w:rPr>
                  </w:pPr>
                  <w:r>
                    <w:rPr>
                      <w:rFonts w:hint="eastAsia"/>
                      <w:sz w:val="20"/>
                      <w:szCs w:val="20"/>
                    </w:rPr>
                    <w:t>10</w:t>
                  </w:r>
                </w:p>
              </w:tc>
              <w:tc>
                <w:tcPr>
                  <w:tcW w:w="699" w:type="dxa"/>
                  <w:shd w:val="clear" w:color="auto" w:fill="auto"/>
                  <w:vAlign w:val="center"/>
                </w:tcPr>
                <w:p w14:paraId="43DFF569">
                  <w:pPr>
                    <w:widowControl/>
                    <w:adjustRightInd w:val="0"/>
                    <w:snapToGrid w:val="0"/>
                    <w:spacing w:line="320" w:lineRule="exact"/>
                    <w:jc w:val="center"/>
                    <w:rPr>
                      <w:sz w:val="20"/>
                      <w:szCs w:val="20"/>
                    </w:rPr>
                  </w:pPr>
                  <w:r>
                    <w:rPr>
                      <w:rFonts w:hint="eastAsia"/>
                      <w:sz w:val="20"/>
                      <w:szCs w:val="20"/>
                    </w:rPr>
                    <w:t xml:space="preserve">73.84 </w:t>
                  </w:r>
                </w:p>
              </w:tc>
              <w:tc>
                <w:tcPr>
                  <w:tcW w:w="670" w:type="dxa"/>
                  <w:vMerge w:val="continue"/>
                  <w:shd w:val="clear" w:color="auto" w:fill="auto"/>
                  <w:vAlign w:val="center"/>
                </w:tcPr>
                <w:p w14:paraId="01D68EAC">
                  <w:pPr>
                    <w:widowControl/>
                    <w:adjustRightInd w:val="0"/>
                    <w:snapToGrid w:val="0"/>
                    <w:spacing w:line="320" w:lineRule="exact"/>
                    <w:jc w:val="center"/>
                    <w:rPr>
                      <w:sz w:val="20"/>
                      <w:szCs w:val="20"/>
                    </w:rPr>
                  </w:pPr>
                </w:p>
              </w:tc>
              <w:tc>
                <w:tcPr>
                  <w:tcW w:w="700" w:type="dxa"/>
                  <w:shd w:val="clear" w:color="auto" w:fill="auto"/>
                  <w:vAlign w:val="center"/>
                </w:tcPr>
                <w:p w14:paraId="1F2C0194">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76453ADE">
                  <w:pPr>
                    <w:widowControl/>
                    <w:adjustRightInd w:val="0"/>
                    <w:snapToGrid w:val="0"/>
                    <w:spacing w:line="320" w:lineRule="exact"/>
                    <w:jc w:val="center"/>
                    <w:rPr>
                      <w:sz w:val="20"/>
                      <w:szCs w:val="20"/>
                    </w:rPr>
                  </w:pPr>
                  <w:r>
                    <w:rPr>
                      <w:sz w:val="20"/>
                      <w:szCs w:val="20"/>
                    </w:rPr>
                    <w:t xml:space="preserve">44.84 </w:t>
                  </w:r>
                </w:p>
              </w:tc>
              <w:tc>
                <w:tcPr>
                  <w:tcW w:w="395" w:type="dxa"/>
                  <w:shd w:val="clear" w:color="auto" w:fill="auto"/>
                  <w:vAlign w:val="center"/>
                </w:tcPr>
                <w:p w14:paraId="58F05F04">
                  <w:pPr>
                    <w:widowControl/>
                    <w:adjustRightInd w:val="0"/>
                    <w:snapToGrid w:val="0"/>
                    <w:spacing w:line="320" w:lineRule="exact"/>
                    <w:jc w:val="center"/>
                    <w:rPr>
                      <w:sz w:val="20"/>
                      <w:szCs w:val="20"/>
                    </w:rPr>
                  </w:pPr>
                  <w:r>
                    <w:rPr>
                      <w:sz w:val="20"/>
                      <w:szCs w:val="20"/>
                    </w:rPr>
                    <w:t>1</w:t>
                  </w:r>
                </w:p>
              </w:tc>
            </w:tr>
            <w:tr w14:paraId="2E85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1D48C61F">
                  <w:pPr>
                    <w:widowControl/>
                    <w:adjustRightInd w:val="0"/>
                    <w:snapToGrid w:val="0"/>
                    <w:spacing w:line="320" w:lineRule="exact"/>
                    <w:jc w:val="center"/>
                    <w:rPr>
                      <w:sz w:val="20"/>
                      <w:szCs w:val="20"/>
                    </w:rPr>
                  </w:pPr>
                </w:p>
              </w:tc>
              <w:tc>
                <w:tcPr>
                  <w:tcW w:w="394" w:type="dxa"/>
                  <w:vMerge w:val="continue"/>
                  <w:shd w:val="clear" w:color="auto" w:fill="auto"/>
                  <w:vAlign w:val="center"/>
                </w:tcPr>
                <w:p w14:paraId="0BE563F7">
                  <w:pPr>
                    <w:widowControl/>
                    <w:adjustRightInd w:val="0"/>
                    <w:snapToGrid w:val="0"/>
                    <w:spacing w:line="320" w:lineRule="exact"/>
                    <w:jc w:val="center"/>
                    <w:rPr>
                      <w:sz w:val="20"/>
                      <w:szCs w:val="20"/>
                    </w:rPr>
                  </w:pPr>
                </w:p>
              </w:tc>
              <w:tc>
                <w:tcPr>
                  <w:tcW w:w="394" w:type="dxa"/>
                  <w:vMerge w:val="continue"/>
                  <w:shd w:val="clear" w:color="auto" w:fill="auto"/>
                  <w:vAlign w:val="center"/>
                </w:tcPr>
                <w:p w14:paraId="7A389FE4">
                  <w:pPr>
                    <w:widowControl/>
                    <w:adjustRightInd w:val="0"/>
                    <w:snapToGrid w:val="0"/>
                    <w:spacing w:line="320" w:lineRule="exact"/>
                    <w:jc w:val="center"/>
                    <w:rPr>
                      <w:sz w:val="20"/>
                      <w:szCs w:val="20"/>
                    </w:rPr>
                  </w:pPr>
                </w:p>
              </w:tc>
              <w:tc>
                <w:tcPr>
                  <w:tcW w:w="394" w:type="dxa"/>
                  <w:vMerge w:val="continue"/>
                  <w:shd w:val="clear" w:color="auto" w:fill="auto"/>
                  <w:vAlign w:val="center"/>
                </w:tcPr>
                <w:p w14:paraId="695AF1A0">
                  <w:pPr>
                    <w:widowControl/>
                    <w:adjustRightInd w:val="0"/>
                    <w:snapToGrid w:val="0"/>
                    <w:spacing w:line="320" w:lineRule="exact"/>
                    <w:jc w:val="center"/>
                    <w:rPr>
                      <w:sz w:val="20"/>
                      <w:szCs w:val="20"/>
                    </w:rPr>
                  </w:pPr>
                </w:p>
              </w:tc>
              <w:tc>
                <w:tcPr>
                  <w:tcW w:w="699" w:type="dxa"/>
                  <w:vMerge w:val="continue"/>
                  <w:shd w:val="clear" w:color="auto" w:fill="auto"/>
                  <w:vAlign w:val="center"/>
                </w:tcPr>
                <w:p w14:paraId="60F47472">
                  <w:pPr>
                    <w:widowControl/>
                    <w:adjustRightInd w:val="0"/>
                    <w:snapToGrid w:val="0"/>
                    <w:spacing w:line="320" w:lineRule="exact"/>
                    <w:jc w:val="center"/>
                    <w:rPr>
                      <w:sz w:val="20"/>
                      <w:szCs w:val="20"/>
                    </w:rPr>
                  </w:pPr>
                </w:p>
              </w:tc>
              <w:tc>
                <w:tcPr>
                  <w:tcW w:w="570" w:type="dxa"/>
                  <w:vMerge w:val="continue"/>
                  <w:shd w:val="clear" w:color="auto" w:fill="auto"/>
                  <w:vAlign w:val="center"/>
                </w:tcPr>
                <w:p w14:paraId="1D2413C8">
                  <w:pPr>
                    <w:widowControl/>
                    <w:adjustRightInd w:val="0"/>
                    <w:snapToGrid w:val="0"/>
                    <w:spacing w:line="320" w:lineRule="exact"/>
                    <w:jc w:val="center"/>
                    <w:rPr>
                      <w:sz w:val="20"/>
                      <w:szCs w:val="20"/>
                    </w:rPr>
                  </w:pPr>
                </w:p>
              </w:tc>
              <w:tc>
                <w:tcPr>
                  <w:tcW w:w="614" w:type="dxa"/>
                  <w:shd w:val="clear" w:color="auto" w:fill="FFFFFF"/>
                  <w:vAlign w:val="center"/>
                </w:tcPr>
                <w:p w14:paraId="0C179562">
                  <w:pPr>
                    <w:widowControl/>
                    <w:adjustRightInd w:val="0"/>
                    <w:snapToGrid w:val="0"/>
                    <w:spacing w:line="320" w:lineRule="exact"/>
                    <w:jc w:val="center"/>
                    <w:rPr>
                      <w:sz w:val="20"/>
                      <w:szCs w:val="20"/>
                    </w:rPr>
                  </w:pPr>
                  <w:r>
                    <w:rPr>
                      <w:sz w:val="20"/>
                      <w:szCs w:val="20"/>
                    </w:rPr>
                    <w:t>34.82</w:t>
                  </w:r>
                </w:p>
              </w:tc>
              <w:tc>
                <w:tcPr>
                  <w:tcW w:w="585" w:type="dxa"/>
                  <w:shd w:val="clear" w:color="auto" w:fill="FFFFFF"/>
                  <w:vAlign w:val="center"/>
                </w:tcPr>
                <w:p w14:paraId="7FCA8D24">
                  <w:pPr>
                    <w:widowControl/>
                    <w:adjustRightInd w:val="0"/>
                    <w:snapToGrid w:val="0"/>
                    <w:spacing w:line="320" w:lineRule="exact"/>
                    <w:jc w:val="center"/>
                    <w:rPr>
                      <w:sz w:val="20"/>
                      <w:szCs w:val="20"/>
                    </w:rPr>
                  </w:pPr>
                  <w:r>
                    <w:rPr>
                      <w:sz w:val="20"/>
                      <w:szCs w:val="20"/>
                    </w:rPr>
                    <w:t>-2.49</w:t>
                  </w:r>
                </w:p>
              </w:tc>
              <w:tc>
                <w:tcPr>
                  <w:tcW w:w="437" w:type="dxa"/>
                  <w:shd w:val="clear" w:color="auto" w:fill="FFFFFF"/>
                  <w:vAlign w:val="center"/>
                </w:tcPr>
                <w:p w14:paraId="1895954B">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3D8D116C">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67E23865">
                  <w:pPr>
                    <w:widowControl/>
                    <w:adjustRightInd w:val="0"/>
                    <w:snapToGrid w:val="0"/>
                    <w:spacing w:line="320" w:lineRule="exact"/>
                    <w:jc w:val="center"/>
                    <w:rPr>
                      <w:sz w:val="20"/>
                      <w:szCs w:val="20"/>
                    </w:rPr>
                  </w:pPr>
                  <w:r>
                    <w:rPr>
                      <w:rFonts w:hint="eastAsia"/>
                      <w:sz w:val="20"/>
                      <w:szCs w:val="20"/>
                    </w:rPr>
                    <w:t>2</w:t>
                  </w:r>
                </w:p>
              </w:tc>
              <w:tc>
                <w:tcPr>
                  <w:tcW w:w="699" w:type="dxa"/>
                  <w:shd w:val="clear" w:color="auto" w:fill="auto"/>
                  <w:vAlign w:val="center"/>
                </w:tcPr>
                <w:p w14:paraId="6C9A6490">
                  <w:pPr>
                    <w:widowControl/>
                    <w:adjustRightInd w:val="0"/>
                    <w:snapToGrid w:val="0"/>
                    <w:spacing w:line="320" w:lineRule="exact"/>
                    <w:jc w:val="center"/>
                    <w:rPr>
                      <w:sz w:val="20"/>
                      <w:szCs w:val="20"/>
                    </w:rPr>
                  </w:pPr>
                  <w:r>
                    <w:rPr>
                      <w:rFonts w:hint="eastAsia"/>
                      <w:sz w:val="20"/>
                      <w:szCs w:val="20"/>
                    </w:rPr>
                    <w:t xml:space="preserve">75.66 </w:t>
                  </w:r>
                </w:p>
              </w:tc>
              <w:tc>
                <w:tcPr>
                  <w:tcW w:w="670" w:type="dxa"/>
                  <w:vMerge w:val="continue"/>
                  <w:shd w:val="clear" w:color="auto" w:fill="auto"/>
                  <w:vAlign w:val="center"/>
                </w:tcPr>
                <w:p w14:paraId="7A10DB66">
                  <w:pPr>
                    <w:widowControl/>
                    <w:adjustRightInd w:val="0"/>
                    <w:snapToGrid w:val="0"/>
                    <w:spacing w:line="320" w:lineRule="exact"/>
                    <w:jc w:val="center"/>
                    <w:rPr>
                      <w:sz w:val="20"/>
                      <w:szCs w:val="20"/>
                    </w:rPr>
                  </w:pPr>
                </w:p>
              </w:tc>
              <w:tc>
                <w:tcPr>
                  <w:tcW w:w="700" w:type="dxa"/>
                  <w:shd w:val="clear" w:color="auto" w:fill="auto"/>
                  <w:vAlign w:val="center"/>
                </w:tcPr>
                <w:p w14:paraId="73BDD841">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551E2DB9">
                  <w:pPr>
                    <w:widowControl/>
                    <w:adjustRightInd w:val="0"/>
                    <w:snapToGrid w:val="0"/>
                    <w:spacing w:line="320" w:lineRule="exact"/>
                    <w:jc w:val="center"/>
                    <w:rPr>
                      <w:sz w:val="20"/>
                      <w:szCs w:val="20"/>
                    </w:rPr>
                  </w:pPr>
                  <w:r>
                    <w:rPr>
                      <w:sz w:val="20"/>
                      <w:szCs w:val="20"/>
                    </w:rPr>
                    <w:t xml:space="preserve">49.66 </w:t>
                  </w:r>
                </w:p>
              </w:tc>
              <w:tc>
                <w:tcPr>
                  <w:tcW w:w="395" w:type="dxa"/>
                  <w:shd w:val="clear" w:color="auto" w:fill="auto"/>
                  <w:vAlign w:val="center"/>
                </w:tcPr>
                <w:p w14:paraId="01CCF2A5">
                  <w:pPr>
                    <w:widowControl/>
                    <w:adjustRightInd w:val="0"/>
                    <w:snapToGrid w:val="0"/>
                    <w:spacing w:line="320" w:lineRule="exact"/>
                    <w:jc w:val="center"/>
                    <w:rPr>
                      <w:sz w:val="20"/>
                      <w:szCs w:val="20"/>
                    </w:rPr>
                  </w:pPr>
                  <w:r>
                    <w:rPr>
                      <w:sz w:val="20"/>
                      <w:szCs w:val="20"/>
                    </w:rPr>
                    <w:t>1</w:t>
                  </w:r>
                </w:p>
              </w:tc>
            </w:tr>
            <w:tr w14:paraId="59EF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4B2724AD">
                  <w:pPr>
                    <w:widowControl/>
                    <w:adjustRightInd w:val="0"/>
                    <w:snapToGrid w:val="0"/>
                    <w:spacing w:line="320" w:lineRule="exact"/>
                    <w:jc w:val="center"/>
                    <w:rPr>
                      <w:sz w:val="20"/>
                      <w:szCs w:val="20"/>
                    </w:rPr>
                  </w:pPr>
                </w:p>
              </w:tc>
              <w:tc>
                <w:tcPr>
                  <w:tcW w:w="394" w:type="dxa"/>
                  <w:vMerge w:val="continue"/>
                  <w:shd w:val="clear" w:color="auto" w:fill="auto"/>
                  <w:vAlign w:val="center"/>
                </w:tcPr>
                <w:p w14:paraId="37B6E0AF">
                  <w:pPr>
                    <w:widowControl/>
                    <w:adjustRightInd w:val="0"/>
                    <w:snapToGrid w:val="0"/>
                    <w:spacing w:line="320" w:lineRule="exact"/>
                    <w:jc w:val="center"/>
                    <w:rPr>
                      <w:sz w:val="20"/>
                      <w:szCs w:val="20"/>
                    </w:rPr>
                  </w:pPr>
                </w:p>
              </w:tc>
              <w:tc>
                <w:tcPr>
                  <w:tcW w:w="394" w:type="dxa"/>
                  <w:vMerge w:val="continue"/>
                  <w:shd w:val="clear" w:color="auto" w:fill="auto"/>
                  <w:vAlign w:val="center"/>
                </w:tcPr>
                <w:p w14:paraId="7DD65943">
                  <w:pPr>
                    <w:widowControl/>
                    <w:adjustRightInd w:val="0"/>
                    <w:snapToGrid w:val="0"/>
                    <w:spacing w:line="320" w:lineRule="exact"/>
                    <w:jc w:val="center"/>
                    <w:rPr>
                      <w:sz w:val="20"/>
                      <w:szCs w:val="20"/>
                    </w:rPr>
                  </w:pPr>
                </w:p>
              </w:tc>
              <w:tc>
                <w:tcPr>
                  <w:tcW w:w="394" w:type="dxa"/>
                  <w:vMerge w:val="continue"/>
                  <w:shd w:val="clear" w:color="auto" w:fill="auto"/>
                  <w:vAlign w:val="center"/>
                </w:tcPr>
                <w:p w14:paraId="232B4851">
                  <w:pPr>
                    <w:widowControl/>
                    <w:adjustRightInd w:val="0"/>
                    <w:snapToGrid w:val="0"/>
                    <w:spacing w:line="320" w:lineRule="exact"/>
                    <w:jc w:val="center"/>
                    <w:rPr>
                      <w:sz w:val="20"/>
                      <w:szCs w:val="20"/>
                    </w:rPr>
                  </w:pPr>
                </w:p>
              </w:tc>
              <w:tc>
                <w:tcPr>
                  <w:tcW w:w="699" w:type="dxa"/>
                  <w:vMerge w:val="continue"/>
                  <w:shd w:val="clear" w:color="auto" w:fill="auto"/>
                  <w:vAlign w:val="center"/>
                </w:tcPr>
                <w:p w14:paraId="4E821155">
                  <w:pPr>
                    <w:widowControl/>
                    <w:adjustRightInd w:val="0"/>
                    <w:snapToGrid w:val="0"/>
                    <w:spacing w:line="320" w:lineRule="exact"/>
                    <w:jc w:val="center"/>
                    <w:rPr>
                      <w:sz w:val="20"/>
                      <w:szCs w:val="20"/>
                    </w:rPr>
                  </w:pPr>
                </w:p>
              </w:tc>
              <w:tc>
                <w:tcPr>
                  <w:tcW w:w="570" w:type="dxa"/>
                  <w:vMerge w:val="continue"/>
                  <w:shd w:val="clear" w:color="auto" w:fill="auto"/>
                  <w:vAlign w:val="center"/>
                </w:tcPr>
                <w:p w14:paraId="6EDFD5C6">
                  <w:pPr>
                    <w:widowControl/>
                    <w:adjustRightInd w:val="0"/>
                    <w:snapToGrid w:val="0"/>
                    <w:spacing w:line="320" w:lineRule="exact"/>
                    <w:jc w:val="center"/>
                    <w:rPr>
                      <w:sz w:val="20"/>
                      <w:szCs w:val="20"/>
                    </w:rPr>
                  </w:pPr>
                </w:p>
              </w:tc>
              <w:tc>
                <w:tcPr>
                  <w:tcW w:w="614" w:type="dxa"/>
                  <w:shd w:val="clear" w:color="auto" w:fill="FFFFFF"/>
                  <w:vAlign w:val="center"/>
                </w:tcPr>
                <w:p w14:paraId="1C18FC5A">
                  <w:pPr>
                    <w:widowControl/>
                    <w:adjustRightInd w:val="0"/>
                    <w:snapToGrid w:val="0"/>
                    <w:spacing w:line="320" w:lineRule="exact"/>
                    <w:jc w:val="center"/>
                    <w:rPr>
                      <w:sz w:val="20"/>
                      <w:szCs w:val="20"/>
                    </w:rPr>
                  </w:pPr>
                  <w:r>
                    <w:rPr>
                      <w:sz w:val="20"/>
                      <w:szCs w:val="20"/>
                    </w:rPr>
                    <w:t>40.86</w:t>
                  </w:r>
                </w:p>
              </w:tc>
              <w:tc>
                <w:tcPr>
                  <w:tcW w:w="585" w:type="dxa"/>
                  <w:shd w:val="clear" w:color="auto" w:fill="FFFFFF"/>
                  <w:vAlign w:val="center"/>
                </w:tcPr>
                <w:p w14:paraId="0595C012">
                  <w:pPr>
                    <w:widowControl/>
                    <w:adjustRightInd w:val="0"/>
                    <w:snapToGrid w:val="0"/>
                    <w:spacing w:line="320" w:lineRule="exact"/>
                    <w:jc w:val="center"/>
                    <w:rPr>
                      <w:sz w:val="20"/>
                      <w:szCs w:val="20"/>
                    </w:rPr>
                  </w:pPr>
                  <w:r>
                    <w:rPr>
                      <w:sz w:val="20"/>
                      <w:szCs w:val="20"/>
                    </w:rPr>
                    <w:t>3.25</w:t>
                  </w:r>
                </w:p>
              </w:tc>
              <w:tc>
                <w:tcPr>
                  <w:tcW w:w="437" w:type="dxa"/>
                  <w:shd w:val="clear" w:color="auto" w:fill="FFFFFF"/>
                  <w:vAlign w:val="center"/>
                </w:tcPr>
                <w:p w14:paraId="5CF62EEE">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6B7349BC">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40E09301">
                  <w:pPr>
                    <w:widowControl/>
                    <w:adjustRightInd w:val="0"/>
                    <w:snapToGrid w:val="0"/>
                    <w:spacing w:line="320" w:lineRule="exact"/>
                    <w:jc w:val="center"/>
                    <w:rPr>
                      <w:sz w:val="20"/>
                      <w:szCs w:val="20"/>
                    </w:rPr>
                  </w:pPr>
                  <w:r>
                    <w:rPr>
                      <w:rFonts w:hint="eastAsia"/>
                      <w:sz w:val="20"/>
                      <w:szCs w:val="20"/>
                    </w:rPr>
                    <w:t>16</w:t>
                  </w:r>
                </w:p>
              </w:tc>
              <w:tc>
                <w:tcPr>
                  <w:tcW w:w="699" w:type="dxa"/>
                  <w:shd w:val="clear" w:color="auto" w:fill="auto"/>
                  <w:vAlign w:val="center"/>
                </w:tcPr>
                <w:p w14:paraId="027461D0">
                  <w:pPr>
                    <w:widowControl/>
                    <w:adjustRightInd w:val="0"/>
                    <w:snapToGrid w:val="0"/>
                    <w:spacing w:line="320" w:lineRule="exact"/>
                    <w:jc w:val="center"/>
                    <w:rPr>
                      <w:sz w:val="20"/>
                      <w:szCs w:val="20"/>
                    </w:rPr>
                  </w:pPr>
                  <w:r>
                    <w:rPr>
                      <w:rFonts w:hint="eastAsia"/>
                      <w:sz w:val="20"/>
                      <w:szCs w:val="20"/>
                    </w:rPr>
                    <w:t xml:space="preserve">73.81 </w:t>
                  </w:r>
                </w:p>
              </w:tc>
              <w:tc>
                <w:tcPr>
                  <w:tcW w:w="670" w:type="dxa"/>
                  <w:vMerge w:val="continue"/>
                  <w:shd w:val="clear" w:color="auto" w:fill="auto"/>
                  <w:vAlign w:val="center"/>
                </w:tcPr>
                <w:p w14:paraId="45D910E0">
                  <w:pPr>
                    <w:widowControl/>
                    <w:adjustRightInd w:val="0"/>
                    <w:snapToGrid w:val="0"/>
                    <w:spacing w:line="320" w:lineRule="exact"/>
                    <w:jc w:val="center"/>
                    <w:rPr>
                      <w:sz w:val="20"/>
                      <w:szCs w:val="20"/>
                    </w:rPr>
                  </w:pPr>
                </w:p>
              </w:tc>
              <w:tc>
                <w:tcPr>
                  <w:tcW w:w="700" w:type="dxa"/>
                  <w:shd w:val="clear" w:color="auto" w:fill="auto"/>
                  <w:vAlign w:val="center"/>
                </w:tcPr>
                <w:p w14:paraId="33693094">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65796805">
                  <w:pPr>
                    <w:widowControl/>
                    <w:adjustRightInd w:val="0"/>
                    <w:snapToGrid w:val="0"/>
                    <w:spacing w:line="320" w:lineRule="exact"/>
                    <w:jc w:val="center"/>
                    <w:rPr>
                      <w:sz w:val="20"/>
                      <w:szCs w:val="20"/>
                    </w:rPr>
                  </w:pPr>
                  <w:r>
                    <w:rPr>
                      <w:sz w:val="20"/>
                      <w:szCs w:val="20"/>
                    </w:rPr>
                    <w:t xml:space="preserve">44.81 </w:t>
                  </w:r>
                </w:p>
              </w:tc>
              <w:tc>
                <w:tcPr>
                  <w:tcW w:w="395" w:type="dxa"/>
                  <w:shd w:val="clear" w:color="auto" w:fill="auto"/>
                  <w:vAlign w:val="center"/>
                </w:tcPr>
                <w:p w14:paraId="7D9861E0">
                  <w:pPr>
                    <w:widowControl/>
                    <w:adjustRightInd w:val="0"/>
                    <w:snapToGrid w:val="0"/>
                    <w:spacing w:line="320" w:lineRule="exact"/>
                    <w:jc w:val="center"/>
                    <w:rPr>
                      <w:sz w:val="20"/>
                      <w:szCs w:val="20"/>
                    </w:rPr>
                  </w:pPr>
                  <w:r>
                    <w:rPr>
                      <w:sz w:val="20"/>
                      <w:szCs w:val="20"/>
                    </w:rPr>
                    <w:t>1</w:t>
                  </w:r>
                </w:p>
              </w:tc>
            </w:tr>
            <w:tr w14:paraId="2ABF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61BD7F86">
                  <w:pPr>
                    <w:widowControl/>
                    <w:adjustRightInd w:val="0"/>
                    <w:snapToGrid w:val="0"/>
                    <w:spacing w:line="320" w:lineRule="exact"/>
                    <w:jc w:val="center"/>
                    <w:rPr>
                      <w:sz w:val="20"/>
                      <w:szCs w:val="20"/>
                    </w:rPr>
                  </w:pPr>
                </w:p>
              </w:tc>
              <w:tc>
                <w:tcPr>
                  <w:tcW w:w="394" w:type="dxa"/>
                  <w:vMerge w:val="continue"/>
                  <w:shd w:val="clear" w:color="auto" w:fill="auto"/>
                  <w:vAlign w:val="center"/>
                </w:tcPr>
                <w:p w14:paraId="3DD2345C">
                  <w:pPr>
                    <w:widowControl/>
                    <w:adjustRightInd w:val="0"/>
                    <w:snapToGrid w:val="0"/>
                    <w:spacing w:line="320" w:lineRule="exact"/>
                    <w:jc w:val="center"/>
                    <w:rPr>
                      <w:sz w:val="20"/>
                      <w:szCs w:val="20"/>
                    </w:rPr>
                  </w:pPr>
                </w:p>
              </w:tc>
              <w:tc>
                <w:tcPr>
                  <w:tcW w:w="394" w:type="dxa"/>
                  <w:vMerge w:val="continue"/>
                  <w:shd w:val="clear" w:color="auto" w:fill="auto"/>
                  <w:vAlign w:val="center"/>
                </w:tcPr>
                <w:p w14:paraId="442F90DA">
                  <w:pPr>
                    <w:widowControl/>
                    <w:adjustRightInd w:val="0"/>
                    <w:snapToGrid w:val="0"/>
                    <w:spacing w:line="320" w:lineRule="exact"/>
                    <w:jc w:val="center"/>
                    <w:rPr>
                      <w:sz w:val="20"/>
                      <w:szCs w:val="20"/>
                    </w:rPr>
                  </w:pPr>
                </w:p>
              </w:tc>
              <w:tc>
                <w:tcPr>
                  <w:tcW w:w="394" w:type="dxa"/>
                  <w:vMerge w:val="continue"/>
                  <w:shd w:val="clear" w:color="auto" w:fill="auto"/>
                  <w:vAlign w:val="center"/>
                </w:tcPr>
                <w:p w14:paraId="6FD4D675">
                  <w:pPr>
                    <w:widowControl/>
                    <w:adjustRightInd w:val="0"/>
                    <w:snapToGrid w:val="0"/>
                    <w:spacing w:line="320" w:lineRule="exact"/>
                    <w:jc w:val="center"/>
                    <w:rPr>
                      <w:sz w:val="20"/>
                      <w:szCs w:val="20"/>
                    </w:rPr>
                  </w:pPr>
                </w:p>
              </w:tc>
              <w:tc>
                <w:tcPr>
                  <w:tcW w:w="699" w:type="dxa"/>
                  <w:vMerge w:val="continue"/>
                  <w:shd w:val="clear" w:color="auto" w:fill="auto"/>
                  <w:vAlign w:val="center"/>
                </w:tcPr>
                <w:p w14:paraId="5334297C">
                  <w:pPr>
                    <w:widowControl/>
                    <w:adjustRightInd w:val="0"/>
                    <w:snapToGrid w:val="0"/>
                    <w:spacing w:line="320" w:lineRule="exact"/>
                    <w:jc w:val="center"/>
                    <w:rPr>
                      <w:sz w:val="20"/>
                      <w:szCs w:val="20"/>
                    </w:rPr>
                  </w:pPr>
                </w:p>
              </w:tc>
              <w:tc>
                <w:tcPr>
                  <w:tcW w:w="570" w:type="dxa"/>
                  <w:vMerge w:val="continue"/>
                  <w:shd w:val="clear" w:color="auto" w:fill="auto"/>
                  <w:vAlign w:val="center"/>
                </w:tcPr>
                <w:p w14:paraId="132851F1">
                  <w:pPr>
                    <w:widowControl/>
                    <w:adjustRightInd w:val="0"/>
                    <w:snapToGrid w:val="0"/>
                    <w:spacing w:line="320" w:lineRule="exact"/>
                    <w:jc w:val="center"/>
                    <w:rPr>
                      <w:sz w:val="20"/>
                      <w:szCs w:val="20"/>
                    </w:rPr>
                  </w:pPr>
                </w:p>
              </w:tc>
              <w:tc>
                <w:tcPr>
                  <w:tcW w:w="614" w:type="dxa"/>
                  <w:shd w:val="clear" w:color="auto" w:fill="FFFFFF"/>
                  <w:vAlign w:val="center"/>
                </w:tcPr>
                <w:p w14:paraId="0CDC4081">
                  <w:pPr>
                    <w:widowControl/>
                    <w:adjustRightInd w:val="0"/>
                    <w:snapToGrid w:val="0"/>
                    <w:spacing w:line="320" w:lineRule="exact"/>
                    <w:jc w:val="center"/>
                    <w:rPr>
                      <w:sz w:val="20"/>
                      <w:szCs w:val="20"/>
                    </w:rPr>
                  </w:pPr>
                  <w:r>
                    <w:rPr>
                      <w:sz w:val="20"/>
                      <w:szCs w:val="20"/>
                    </w:rPr>
                    <w:t>9.47</w:t>
                  </w:r>
                </w:p>
              </w:tc>
              <w:tc>
                <w:tcPr>
                  <w:tcW w:w="585" w:type="dxa"/>
                  <w:shd w:val="clear" w:color="auto" w:fill="FFFFFF"/>
                  <w:vAlign w:val="center"/>
                </w:tcPr>
                <w:p w14:paraId="78A33FF2">
                  <w:pPr>
                    <w:widowControl/>
                    <w:adjustRightInd w:val="0"/>
                    <w:snapToGrid w:val="0"/>
                    <w:spacing w:line="320" w:lineRule="exact"/>
                    <w:jc w:val="center"/>
                    <w:rPr>
                      <w:sz w:val="20"/>
                      <w:szCs w:val="20"/>
                    </w:rPr>
                  </w:pPr>
                  <w:r>
                    <w:rPr>
                      <w:sz w:val="20"/>
                      <w:szCs w:val="20"/>
                    </w:rPr>
                    <w:t>-2.68</w:t>
                  </w:r>
                </w:p>
              </w:tc>
              <w:tc>
                <w:tcPr>
                  <w:tcW w:w="437" w:type="dxa"/>
                  <w:shd w:val="clear" w:color="auto" w:fill="FFFFFF"/>
                  <w:vAlign w:val="center"/>
                </w:tcPr>
                <w:p w14:paraId="29D911C3">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078B4095">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04394656">
                  <w:pPr>
                    <w:widowControl/>
                    <w:adjustRightInd w:val="0"/>
                    <w:snapToGrid w:val="0"/>
                    <w:spacing w:line="320" w:lineRule="exact"/>
                    <w:jc w:val="center"/>
                    <w:rPr>
                      <w:sz w:val="20"/>
                      <w:szCs w:val="20"/>
                    </w:rPr>
                  </w:pPr>
                  <w:r>
                    <w:rPr>
                      <w:sz w:val="20"/>
                      <w:szCs w:val="20"/>
                    </w:rPr>
                    <w:t>17</w:t>
                  </w:r>
                </w:p>
              </w:tc>
              <w:tc>
                <w:tcPr>
                  <w:tcW w:w="699" w:type="dxa"/>
                  <w:shd w:val="clear" w:color="auto" w:fill="auto"/>
                  <w:vAlign w:val="center"/>
                </w:tcPr>
                <w:p w14:paraId="244BF92E">
                  <w:pPr>
                    <w:widowControl/>
                    <w:adjustRightInd w:val="0"/>
                    <w:snapToGrid w:val="0"/>
                    <w:spacing w:line="320" w:lineRule="exact"/>
                    <w:jc w:val="center"/>
                    <w:rPr>
                      <w:sz w:val="20"/>
                      <w:szCs w:val="20"/>
                    </w:rPr>
                  </w:pPr>
                  <w:r>
                    <w:rPr>
                      <w:rFonts w:hint="eastAsia"/>
                      <w:sz w:val="20"/>
                      <w:szCs w:val="20"/>
                    </w:rPr>
                    <w:t xml:space="preserve">73.81 </w:t>
                  </w:r>
                </w:p>
              </w:tc>
              <w:tc>
                <w:tcPr>
                  <w:tcW w:w="670" w:type="dxa"/>
                  <w:vMerge w:val="continue"/>
                  <w:shd w:val="clear" w:color="auto" w:fill="auto"/>
                  <w:vAlign w:val="center"/>
                </w:tcPr>
                <w:p w14:paraId="11A32C6F">
                  <w:pPr>
                    <w:widowControl/>
                    <w:adjustRightInd w:val="0"/>
                    <w:snapToGrid w:val="0"/>
                    <w:spacing w:line="320" w:lineRule="exact"/>
                    <w:jc w:val="center"/>
                    <w:rPr>
                      <w:sz w:val="20"/>
                      <w:szCs w:val="20"/>
                    </w:rPr>
                  </w:pPr>
                </w:p>
              </w:tc>
              <w:tc>
                <w:tcPr>
                  <w:tcW w:w="700" w:type="dxa"/>
                  <w:shd w:val="clear" w:color="auto" w:fill="auto"/>
                  <w:vAlign w:val="center"/>
                </w:tcPr>
                <w:p w14:paraId="3BEC662E">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7718D3F7">
                  <w:pPr>
                    <w:widowControl/>
                    <w:adjustRightInd w:val="0"/>
                    <w:snapToGrid w:val="0"/>
                    <w:spacing w:line="320" w:lineRule="exact"/>
                    <w:jc w:val="center"/>
                    <w:rPr>
                      <w:sz w:val="20"/>
                      <w:szCs w:val="20"/>
                    </w:rPr>
                  </w:pPr>
                  <w:r>
                    <w:rPr>
                      <w:sz w:val="20"/>
                      <w:szCs w:val="20"/>
                    </w:rPr>
                    <w:t xml:space="preserve">47.81 </w:t>
                  </w:r>
                </w:p>
              </w:tc>
              <w:tc>
                <w:tcPr>
                  <w:tcW w:w="395" w:type="dxa"/>
                  <w:shd w:val="clear" w:color="auto" w:fill="auto"/>
                  <w:vAlign w:val="center"/>
                </w:tcPr>
                <w:p w14:paraId="0E88A218">
                  <w:pPr>
                    <w:widowControl/>
                    <w:adjustRightInd w:val="0"/>
                    <w:snapToGrid w:val="0"/>
                    <w:spacing w:line="320" w:lineRule="exact"/>
                    <w:jc w:val="center"/>
                    <w:rPr>
                      <w:sz w:val="20"/>
                      <w:szCs w:val="20"/>
                    </w:rPr>
                  </w:pPr>
                  <w:r>
                    <w:rPr>
                      <w:sz w:val="20"/>
                      <w:szCs w:val="20"/>
                    </w:rPr>
                    <w:t>1</w:t>
                  </w:r>
                </w:p>
              </w:tc>
            </w:tr>
            <w:tr w14:paraId="4218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0434464D">
                  <w:pPr>
                    <w:widowControl/>
                    <w:adjustRightInd w:val="0"/>
                    <w:snapToGrid w:val="0"/>
                    <w:spacing w:line="320" w:lineRule="exact"/>
                    <w:jc w:val="center"/>
                    <w:rPr>
                      <w:sz w:val="20"/>
                      <w:szCs w:val="20"/>
                    </w:rPr>
                  </w:pPr>
                  <w:r>
                    <w:rPr>
                      <w:sz w:val="20"/>
                      <w:szCs w:val="20"/>
                    </w:rPr>
                    <w:t xml:space="preserve">3 </w:t>
                  </w:r>
                </w:p>
              </w:tc>
              <w:tc>
                <w:tcPr>
                  <w:tcW w:w="394" w:type="dxa"/>
                  <w:vMerge w:val="continue"/>
                  <w:shd w:val="clear" w:color="auto" w:fill="auto"/>
                  <w:vAlign w:val="center"/>
                </w:tcPr>
                <w:p w14:paraId="6479BC3B">
                  <w:pPr>
                    <w:widowControl/>
                    <w:adjustRightInd w:val="0"/>
                    <w:snapToGrid w:val="0"/>
                    <w:spacing w:line="320" w:lineRule="exact"/>
                    <w:jc w:val="center"/>
                    <w:rPr>
                      <w:sz w:val="20"/>
                      <w:szCs w:val="20"/>
                    </w:rPr>
                  </w:pPr>
                </w:p>
              </w:tc>
              <w:tc>
                <w:tcPr>
                  <w:tcW w:w="394" w:type="dxa"/>
                  <w:vMerge w:val="restart"/>
                  <w:shd w:val="clear" w:color="auto" w:fill="auto"/>
                  <w:vAlign w:val="center"/>
                </w:tcPr>
                <w:p w14:paraId="2D370F7B">
                  <w:pPr>
                    <w:widowControl/>
                    <w:adjustRightInd w:val="0"/>
                    <w:snapToGrid w:val="0"/>
                    <w:spacing w:line="320" w:lineRule="exact"/>
                    <w:jc w:val="center"/>
                    <w:rPr>
                      <w:sz w:val="20"/>
                      <w:szCs w:val="20"/>
                    </w:rPr>
                  </w:pPr>
                  <w:r>
                    <w:rPr>
                      <w:rFonts w:hint="eastAsia"/>
                      <w:sz w:val="20"/>
                      <w:szCs w:val="20"/>
                    </w:rPr>
                    <w:t>压缩机3#</w:t>
                  </w:r>
                </w:p>
              </w:tc>
              <w:tc>
                <w:tcPr>
                  <w:tcW w:w="394" w:type="dxa"/>
                  <w:vMerge w:val="restart"/>
                  <w:shd w:val="clear" w:color="auto" w:fill="auto"/>
                  <w:vAlign w:val="center"/>
                </w:tcPr>
                <w:p w14:paraId="3459B8AD">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710E9A43">
                  <w:pPr>
                    <w:widowControl/>
                    <w:adjustRightInd w:val="0"/>
                    <w:snapToGrid w:val="0"/>
                    <w:spacing w:line="320" w:lineRule="exact"/>
                    <w:jc w:val="center"/>
                    <w:rPr>
                      <w:sz w:val="20"/>
                      <w:szCs w:val="20"/>
                    </w:rPr>
                  </w:pPr>
                  <w:r>
                    <w:rPr>
                      <w:sz w:val="20"/>
                      <w:szCs w:val="20"/>
                    </w:rPr>
                    <w:t>85</w:t>
                  </w:r>
                </w:p>
              </w:tc>
              <w:tc>
                <w:tcPr>
                  <w:tcW w:w="570" w:type="dxa"/>
                  <w:vMerge w:val="continue"/>
                  <w:shd w:val="clear" w:color="auto" w:fill="auto"/>
                  <w:vAlign w:val="center"/>
                </w:tcPr>
                <w:p w14:paraId="5840FF3D">
                  <w:pPr>
                    <w:widowControl/>
                    <w:adjustRightInd w:val="0"/>
                    <w:snapToGrid w:val="0"/>
                    <w:spacing w:line="320" w:lineRule="exact"/>
                    <w:jc w:val="center"/>
                    <w:rPr>
                      <w:sz w:val="20"/>
                      <w:szCs w:val="20"/>
                    </w:rPr>
                  </w:pPr>
                </w:p>
              </w:tc>
              <w:tc>
                <w:tcPr>
                  <w:tcW w:w="614" w:type="dxa"/>
                  <w:shd w:val="clear" w:color="auto" w:fill="FFFFFF"/>
                  <w:vAlign w:val="center"/>
                </w:tcPr>
                <w:p w14:paraId="508CAD96">
                  <w:pPr>
                    <w:widowControl/>
                    <w:adjustRightInd w:val="0"/>
                    <w:snapToGrid w:val="0"/>
                    <w:spacing w:line="320" w:lineRule="exact"/>
                    <w:jc w:val="center"/>
                    <w:rPr>
                      <w:sz w:val="20"/>
                      <w:szCs w:val="20"/>
                    </w:rPr>
                  </w:pPr>
                  <w:r>
                    <w:rPr>
                      <w:sz w:val="20"/>
                      <w:szCs w:val="20"/>
                    </w:rPr>
                    <w:t>16</w:t>
                  </w:r>
                </w:p>
              </w:tc>
              <w:tc>
                <w:tcPr>
                  <w:tcW w:w="585" w:type="dxa"/>
                  <w:shd w:val="clear" w:color="auto" w:fill="FFFFFF"/>
                  <w:vAlign w:val="center"/>
                </w:tcPr>
                <w:p w14:paraId="3FEC38F2">
                  <w:pPr>
                    <w:widowControl/>
                    <w:adjustRightInd w:val="0"/>
                    <w:snapToGrid w:val="0"/>
                    <w:spacing w:line="320" w:lineRule="exact"/>
                    <w:jc w:val="center"/>
                    <w:rPr>
                      <w:sz w:val="20"/>
                      <w:szCs w:val="20"/>
                    </w:rPr>
                  </w:pPr>
                  <w:r>
                    <w:rPr>
                      <w:sz w:val="20"/>
                      <w:szCs w:val="20"/>
                    </w:rPr>
                    <w:t>-5.33</w:t>
                  </w:r>
                </w:p>
              </w:tc>
              <w:tc>
                <w:tcPr>
                  <w:tcW w:w="437" w:type="dxa"/>
                  <w:shd w:val="clear" w:color="auto" w:fill="FFFFFF"/>
                  <w:vAlign w:val="center"/>
                </w:tcPr>
                <w:p w14:paraId="64517381">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23C902AB">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717815B0">
                  <w:pPr>
                    <w:widowControl/>
                    <w:adjustRightInd w:val="0"/>
                    <w:snapToGrid w:val="0"/>
                    <w:spacing w:line="320" w:lineRule="exact"/>
                    <w:jc w:val="center"/>
                    <w:rPr>
                      <w:sz w:val="20"/>
                      <w:szCs w:val="20"/>
                    </w:rPr>
                  </w:pPr>
                  <w:r>
                    <w:rPr>
                      <w:sz w:val="20"/>
                      <w:szCs w:val="20"/>
                    </w:rPr>
                    <w:t>2.2</w:t>
                  </w:r>
                </w:p>
              </w:tc>
              <w:tc>
                <w:tcPr>
                  <w:tcW w:w="699" w:type="dxa"/>
                  <w:shd w:val="clear" w:color="auto" w:fill="auto"/>
                  <w:vAlign w:val="center"/>
                </w:tcPr>
                <w:p w14:paraId="26E4EA4A">
                  <w:pPr>
                    <w:widowControl/>
                    <w:adjustRightInd w:val="0"/>
                    <w:snapToGrid w:val="0"/>
                    <w:spacing w:line="320" w:lineRule="exact"/>
                    <w:jc w:val="center"/>
                    <w:rPr>
                      <w:sz w:val="20"/>
                      <w:szCs w:val="20"/>
                    </w:rPr>
                  </w:pPr>
                  <w:r>
                    <w:rPr>
                      <w:rFonts w:hint="eastAsia"/>
                      <w:sz w:val="20"/>
                      <w:szCs w:val="20"/>
                    </w:rPr>
                    <w:t xml:space="preserve">74.65 </w:t>
                  </w:r>
                </w:p>
              </w:tc>
              <w:tc>
                <w:tcPr>
                  <w:tcW w:w="670" w:type="dxa"/>
                  <w:vMerge w:val="continue"/>
                  <w:shd w:val="clear" w:color="auto" w:fill="auto"/>
                  <w:vAlign w:val="center"/>
                </w:tcPr>
                <w:p w14:paraId="36FCDB58">
                  <w:pPr>
                    <w:widowControl/>
                    <w:adjustRightInd w:val="0"/>
                    <w:snapToGrid w:val="0"/>
                    <w:spacing w:line="320" w:lineRule="exact"/>
                    <w:jc w:val="center"/>
                    <w:rPr>
                      <w:sz w:val="20"/>
                      <w:szCs w:val="20"/>
                    </w:rPr>
                  </w:pPr>
                </w:p>
              </w:tc>
              <w:tc>
                <w:tcPr>
                  <w:tcW w:w="700" w:type="dxa"/>
                  <w:shd w:val="clear" w:color="auto" w:fill="auto"/>
                  <w:vAlign w:val="center"/>
                </w:tcPr>
                <w:p w14:paraId="1D779D3B">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10D7A73E">
                  <w:pPr>
                    <w:widowControl/>
                    <w:adjustRightInd w:val="0"/>
                    <w:snapToGrid w:val="0"/>
                    <w:spacing w:line="320" w:lineRule="exact"/>
                    <w:jc w:val="center"/>
                    <w:rPr>
                      <w:sz w:val="20"/>
                      <w:szCs w:val="20"/>
                    </w:rPr>
                  </w:pPr>
                  <w:r>
                    <w:rPr>
                      <w:sz w:val="20"/>
                      <w:szCs w:val="20"/>
                    </w:rPr>
                    <w:t xml:space="preserve">45.65 </w:t>
                  </w:r>
                </w:p>
              </w:tc>
              <w:tc>
                <w:tcPr>
                  <w:tcW w:w="395" w:type="dxa"/>
                  <w:shd w:val="clear" w:color="auto" w:fill="auto"/>
                  <w:vAlign w:val="center"/>
                </w:tcPr>
                <w:p w14:paraId="3C37C1F3">
                  <w:pPr>
                    <w:widowControl/>
                    <w:adjustRightInd w:val="0"/>
                    <w:snapToGrid w:val="0"/>
                    <w:spacing w:line="320" w:lineRule="exact"/>
                    <w:jc w:val="center"/>
                    <w:rPr>
                      <w:sz w:val="20"/>
                      <w:szCs w:val="20"/>
                    </w:rPr>
                  </w:pPr>
                  <w:r>
                    <w:rPr>
                      <w:sz w:val="20"/>
                      <w:szCs w:val="20"/>
                    </w:rPr>
                    <w:t>1</w:t>
                  </w:r>
                </w:p>
              </w:tc>
            </w:tr>
            <w:tr w14:paraId="6E48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3DE4FB77">
                  <w:pPr>
                    <w:widowControl/>
                    <w:adjustRightInd w:val="0"/>
                    <w:snapToGrid w:val="0"/>
                    <w:spacing w:line="320" w:lineRule="exact"/>
                    <w:jc w:val="center"/>
                    <w:rPr>
                      <w:sz w:val="20"/>
                      <w:szCs w:val="20"/>
                    </w:rPr>
                  </w:pPr>
                </w:p>
              </w:tc>
              <w:tc>
                <w:tcPr>
                  <w:tcW w:w="394" w:type="dxa"/>
                  <w:vMerge w:val="continue"/>
                  <w:shd w:val="clear" w:color="auto" w:fill="auto"/>
                  <w:vAlign w:val="center"/>
                </w:tcPr>
                <w:p w14:paraId="148FDC20">
                  <w:pPr>
                    <w:widowControl/>
                    <w:adjustRightInd w:val="0"/>
                    <w:snapToGrid w:val="0"/>
                    <w:spacing w:line="320" w:lineRule="exact"/>
                    <w:jc w:val="center"/>
                    <w:rPr>
                      <w:sz w:val="20"/>
                      <w:szCs w:val="20"/>
                    </w:rPr>
                  </w:pPr>
                </w:p>
              </w:tc>
              <w:tc>
                <w:tcPr>
                  <w:tcW w:w="394" w:type="dxa"/>
                  <w:vMerge w:val="continue"/>
                  <w:shd w:val="clear" w:color="auto" w:fill="auto"/>
                  <w:vAlign w:val="center"/>
                </w:tcPr>
                <w:p w14:paraId="6DFC6D92">
                  <w:pPr>
                    <w:widowControl/>
                    <w:adjustRightInd w:val="0"/>
                    <w:snapToGrid w:val="0"/>
                    <w:spacing w:line="320" w:lineRule="exact"/>
                    <w:jc w:val="center"/>
                    <w:rPr>
                      <w:sz w:val="20"/>
                      <w:szCs w:val="20"/>
                    </w:rPr>
                  </w:pPr>
                </w:p>
              </w:tc>
              <w:tc>
                <w:tcPr>
                  <w:tcW w:w="394" w:type="dxa"/>
                  <w:vMerge w:val="continue"/>
                  <w:shd w:val="clear" w:color="auto" w:fill="auto"/>
                  <w:vAlign w:val="center"/>
                </w:tcPr>
                <w:p w14:paraId="080471DA">
                  <w:pPr>
                    <w:widowControl/>
                    <w:adjustRightInd w:val="0"/>
                    <w:snapToGrid w:val="0"/>
                    <w:spacing w:line="320" w:lineRule="exact"/>
                    <w:jc w:val="center"/>
                    <w:rPr>
                      <w:sz w:val="20"/>
                      <w:szCs w:val="20"/>
                    </w:rPr>
                  </w:pPr>
                </w:p>
              </w:tc>
              <w:tc>
                <w:tcPr>
                  <w:tcW w:w="699" w:type="dxa"/>
                  <w:vMerge w:val="continue"/>
                  <w:shd w:val="clear" w:color="auto" w:fill="auto"/>
                  <w:vAlign w:val="center"/>
                </w:tcPr>
                <w:p w14:paraId="2D907CC2">
                  <w:pPr>
                    <w:widowControl/>
                    <w:adjustRightInd w:val="0"/>
                    <w:snapToGrid w:val="0"/>
                    <w:spacing w:line="320" w:lineRule="exact"/>
                    <w:jc w:val="center"/>
                    <w:rPr>
                      <w:sz w:val="20"/>
                      <w:szCs w:val="20"/>
                    </w:rPr>
                  </w:pPr>
                </w:p>
              </w:tc>
              <w:tc>
                <w:tcPr>
                  <w:tcW w:w="570" w:type="dxa"/>
                  <w:vMerge w:val="continue"/>
                  <w:shd w:val="clear" w:color="auto" w:fill="auto"/>
                  <w:vAlign w:val="center"/>
                </w:tcPr>
                <w:p w14:paraId="1B0ED9AC">
                  <w:pPr>
                    <w:widowControl/>
                    <w:adjustRightInd w:val="0"/>
                    <w:snapToGrid w:val="0"/>
                    <w:spacing w:line="320" w:lineRule="exact"/>
                    <w:jc w:val="center"/>
                    <w:rPr>
                      <w:sz w:val="20"/>
                      <w:szCs w:val="20"/>
                    </w:rPr>
                  </w:pPr>
                </w:p>
              </w:tc>
              <w:tc>
                <w:tcPr>
                  <w:tcW w:w="614" w:type="dxa"/>
                  <w:shd w:val="clear" w:color="auto" w:fill="FFFFFF"/>
                  <w:vAlign w:val="center"/>
                </w:tcPr>
                <w:p w14:paraId="23C161FE">
                  <w:pPr>
                    <w:widowControl/>
                    <w:adjustRightInd w:val="0"/>
                    <w:snapToGrid w:val="0"/>
                    <w:spacing w:line="320" w:lineRule="exact"/>
                    <w:jc w:val="center"/>
                    <w:rPr>
                      <w:sz w:val="20"/>
                      <w:szCs w:val="20"/>
                    </w:rPr>
                  </w:pPr>
                  <w:r>
                    <w:rPr>
                      <w:sz w:val="20"/>
                      <w:szCs w:val="20"/>
                    </w:rPr>
                    <w:t>23.36</w:t>
                  </w:r>
                </w:p>
              </w:tc>
              <w:tc>
                <w:tcPr>
                  <w:tcW w:w="585" w:type="dxa"/>
                  <w:shd w:val="clear" w:color="auto" w:fill="FFFFFF"/>
                  <w:vAlign w:val="center"/>
                </w:tcPr>
                <w:p w14:paraId="4CD92431">
                  <w:pPr>
                    <w:widowControl/>
                    <w:adjustRightInd w:val="0"/>
                    <w:snapToGrid w:val="0"/>
                    <w:spacing w:line="320" w:lineRule="exact"/>
                    <w:jc w:val="center"/>
                    <w:rPr>
                      <w:sz w:val="20"/>
                      <w:szCs w:val="20"/>
                    </w:rPr>
                  </w:pPr>
                  <w:r>
                    <w:rPr>
                      <w:sz w:val="20"/>
                      <w:szCs w:val="20"/>
                    </w:rPr>
                    <w:t>-8.63</w:t>
                  </w:r>
                </w:p>
              </w:tc>
              <w:tc>
                <w:tcPr>
                  <w:tcW w:w="437" w:type="dxa"/>
                  <w:shd w:val="clear" w:color="auto" w:fill="FFFFFF"/>
                  <w:vAlign w:val="center"/>
                </w:tcPr>
                <w:p w14:paraId="414E3A40">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711D89E8">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15406F43">
                  <w:pPr>
                    <w:widowControl/>
                    <w:adjustRightInd w:val="0"/>
                    <w:snapToGrid w:val="0"/>
                    <w:spacing w:line="320" w:lineRule="exact"/>
                    <w:jc w:val="center"/>
                    <w:rPr>
                      <w:sz w:val="20"/>
                      <w:szCs w:val="20"/>
                    </w:rPr>
                  </w:pPr>
                  <w:r>
                    <w:rPr>
                      <w:rFonts w:hint="eastAsia"/>
                      <w:sz w:val="20"/>
                      <w:szCs w:val="20"/>
                    </w:rPr>
                    <w:t>2</w:t>
                  </w:r>
                </w:p>
              </w:tc>
              <w:tc>
                <w:tcPr>
                  <w:tcW w:w="699" w:type="dxa"/>
                  <w:shd w:val="clear" w:color="auto" w:fill="auto"/>
                  <w:vAlign w:val="center"/>
                </w:tcPr>
                <w:p w14:paraId="63F9190E">
                  <w:pPr>
                    <w:widowControl/>
                    <w:adjustRightInd w:val="0"/>
                    <w:snapToGrid w:val="0"/>
                    <w:spacing w:line="320" w:lineRule="exact"/>
                    <w:jc w:val="center"/>
                    <w:rPr>
                      <w:sz w:val="20"/>
                      <w:szCs w:val="20"/>
                    </w:rPr>
                  </w:pPr>
                  <w:r>
                    <w:rPr>
                      <w:rFonts w:hint="eastAsia"/>
                      <w:sz w:val="20"/>
                      <w:szCs w:val="20"/>
                    </w:rPr>
                    <w:t xml:space="preserve">75.66 </w:t>
                  </w:r>
                </w:p>
              </w:tc>
              <w:tc>
                <w:tcPr>
                  <w:tcW w:w="670" w:type="dxa"/>
                  <w:vMerge w:val="continue"/>
                  <w:shd w:val="clear" w:color="auto" w:fill="auto"/>
                  <w:vAlign w:val="center"/>
                </w:tcPr>
                <w:p w14:paraId="6643255F">
                  <w:pPr>
                    <w:widowControl/>
                    <w:adjustRightInd w:val="0"/>
                    <w:snapToGrid w:val="0"/>
                    <w:spacing w:line="320" w:lineRule="exact"/>
                    <w:jc w:val="center"/>
                    <w:rPr>
                      <w:sz w:val="20"/>
                      <w:szCs w:val="20"/>
                    </w:rPr>
                  </w:pPr>
                </w:p>
              </w:tc>
              <w:tc>
                <w:tcPr>
                  <w:tcW w:w="700" w:type="dxa"/>
                  <w:shd w:val="clear" w:color="auto" w:fill="auto"/>
                  <w:vAlign w:val="center"/>
                </w:tcPr>
                <w:p w14:paraId="38FD8DF2">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723B4DFC">
                  <w:pPr>
                    <w:widowControl/>
                    <w:adjustRightInd w:val="0"/>
                    <w:snapToGrid w:val="0"/>
                    <w:spacing w:line="320" w:lineRule="exact"/>
                    <w:jc w:val="center"/>
                    <w:rPr>
                      <w:sz w:val="20"/>
                      <w:szCs w:val="20"/>
                    </w:rPr>
                  </w:pPr>
                  <w:r>
                    <w:rPr>
                      <w:sz w:val="20"/>
                      <w:szCs w:val="20"/>
                    </w:rPr>
                    <w:t xml:space="preserve">49.66 </w:t>
                  </w:r>
                </w:p>
              </w:tc>
              <w:tc>
                <w:tcPr>
                  <w:tcW w:w="395" w:type="dxa"/>
                  <w:shd w:val="clear" w:color="auto" w:fill="auto"/>
                  <w:vAlign w:val="center"/>
                </w:tcPr>
                <w:p w14:paraId="682BAAEA">
                  <w:pPr>
                    <w:widowControl/>
                    <w:adjustRightInd w:val="0"/>
                    <w:snapToGrid w:val="0"/>
                    <w:spacing w:line="320" w:lineRule="exact"/>
                    <w:jc w:val="center"/>
                    <w:rPr>
                      <w:sz w:val="20"/>
                      <w:szCs w:val="20"/>
                    </w:rPr>
                  </w:pPr>
                  <w:r>
                    <w:rPr>
                      <w:sz w:val="20"/>
                      <w:szCs w:val="20"/>
                    </w:rPr>
                    <w:t>1</w:t>
                  </w:r>
                </w:p>
              </w:tc>
            </w:tr>
            <w:tr w14:paraId="71B8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7851ED83">
                  <w:pPr>
                    <w:widowControl/>
                    <w:adjustRightInd w:val="0"/>
                    <w:snapToGrid w:val="0"/>
                    <w:spacing w:line="320" w:lineRule="exact"/>
                    <w:jc w:val="center"/>
                    <w:rPr>
                      <w:sz w:val="20"/>
                      <w:szCs w:val="20"/>
                    </w:rPr>
                  </w:pPr>
                </w:p>
              </w:tc>
              <w:tc>
                <w:tcPr>
                  <w:tcW w:w="394" w:type="dxa"/>
                  <w:vMerge w:val="continue"/>
                  <w:shd w:val="clear" w:color="auto" w:fill="auto"/>
                  <w:vAlign w:val="center"/>
                </w:tcPr>
                <w:p w14:paraId="7A11C4FB">
                  <w:pPr>
                    <w:widowControl/>
                    <w:adjustRightInd w:val="0"/>
                    <w:snapToGrid w:val="0"/>
                    <w:spacing w:line="320" w:lineRule="exact"/>
                    <w:jc w:val="center"/>
                    <w:rPr>
                      <w:sz w:val="20"/>
                      <w:szCs w:val="20"/>
                    </w:rPr>
                  </w:pPr>
                </w:p>
              </w:tc>
              <w:tc>
                <w:tcPr>
                  <w:tcW w:w="394" w:type="dxa"/>
                  <w:vMerge w:val="continue"/>
                  <w:shd w:val="clear" w:color="auto" w:fill="auto"/>
                  <w:vAlign w:val="center"/>
                </w:tcPr>
                <w:p w14:paraId="16BEBDE8">
                  <w:pPr>
                    <w:widowControl/>
                    <w:adjustRightInd w:val="0"/>
                    <w:snapToGrid w:val="0"/>
                    <w:spacing w:line="320" w:lineRule="exact"/>
                    <w:jc w:val="center"/>
                    <w:rPr>
                      <w:sz w:val="20"/>
                      <w:szCs w:val="20"/>
                    </w:rPr>
                  </w:pPr>
                </w:p>
              </w:tc>
              <w:tc>
                <w:tcPr>
                  <w:tcW w:w="394" w:type="dxa"/>
                  <w:vMerge w:val="continue"/>
                  <w:shd w:val="clear" w:color="auto" w:fill="auto"/>
                  <w:vAlign w:val="center"/>
                </w:tcPr>
                <w:p w14:paraId="2E883656">
                  <w:pPr>
                    <w:widowControl/>
                    <w:adjustRightInd w:val="0"/>
                    <w:snapToGrid w:val="0"/>
                    <w:spacing w:line="320" w:lineRule="exact"/>
                    <w:jc w:val="center"/>
                    <w:rPr>
                      <w:sz w:val="20"/>
                      <w:szCs w:val="20"/>
                    </w:rPr>
                  </w:pPr>
                </w:p>
              </w:tc>
              <w:tc>
                <w:tcPr>
                  <w:tcW w:w="699" w:type="dxa"/>
                  <w:vMerge w:val="continue"/>
                  <w:shd w:val="clear" w:color="auto" w:fill="auto"/>
                  <w:vAlign w:val="center"/>
                </w:tcPr>
                <w:p w14:paraId="3A995EE7">
                  <w:pPr>
                    <w:widowControl/>
                    <w:adjustRightInd w:val="0"/>
                    <w:snapToGrid w:val="0"/>
                    <w:spacing w:line="320" w:lineRule="exact"/>
                    <w:jc w:val="center"/>
                    <w:rPr>
                      <w:sz w:val="20"/>
                      <w:szCs w:val="20"/>
                    </w:rPr>
                  </w:pPr>
                </w:p>
              </w:tc>
              <w:tc>
                <w:tcPr>
                  <w:tcW w:w="570" w:type="dxa"/>
                  <w:vMerge w:val="continue"/>
                  <w:shd w:val="clear" w:color="auto" w:fill="auto"/>
                  <w:vAlign w:val="center"/>
                </w:tcPr>
                <w:p w14:paraId="28DA9FB5">
                  <w:pPr>
                    <w:widowControl/>
                    <w:adjustRightInd w:val="0"/>
                    <w:snapToGrid w:val="0"/>
                    <w:spacing w:line="320" w:lineRule="exact"/>
                    <w:jc w:val="center"/>
                    <w:rPr>
                      <w:sz w:val="20"/>
                      <w:szCs w:val="20"/>
                    </w:rPr>
                  </w:pPr>
                </w:p>
              </w:tc>
              <w:tc>
                <w:tcPr>
                  <w:tcW w:w="614" w:type="dxa"/>
                  <w:shd w:val="clear" w:color="auto" w:fill="FFFFFF"/>
                  <w:vAlign w:val="center"/>
                </w:tcPr>
                <w:p w14:paraId="662DA9C9">
                  <w:pPr>
                    <w:widowControl/>
                    <w:adjustRightInd w:val="0"/>
                    <w:snapToGrid w:val="0"/>
                    <w:spacing w:line="320" w:lineRule="exact"/>
                    <w:jc w:val="center"/>
                    <w:rPr>
                      <w:sz w:val="20"/>
                      <w:szCs w:val="20"/>
                    </w:rPr>
                  </w:pPr>
                  <w:r>
                    <w:rPr>
                      <w:sz w:val="20"/>
                      <w:szCs w:val="20"/>
                    </w:rPr>
                    <w:t>26.98</w:t>
                  </w:r>
                </w:p>
              </w:tc>
              <w:tc>
                <w:tcPr>
                  <w:tcW w:w="585" w:type="dxa"/>
                  <w:shd w:val="clear" w:color="auto" w:fill="FFFFFF"/>
                  <w:vAlign w:val="center"/>
                </w:tcPr>
                <w:p w14:paraId="00D7655B">
                  <w:pPr>
                    <w:widowControl/>
                    <w:adjustRightInd w:val="0"/>
                    <w:snapToGrid w:val="0"/>
                    <w:spacing w:line="320" w:lineRule="exact"/>
                    <w:jc w:val="center"/>
                    <w:rPr>
                      <w:sz w:val="20"/>
                      <w:szCs w:val="20"/>
                    </w:rPr>
                  </w:pPr>
                  <w:r>
                    <w:rPr>
                      <w:sz w:val="20"/>
                      <w:szCs w:val="20"/>
                    </w:rPr>
                    <w:t>-4.24</w:t>
                  </w:r>
                </w:p>
              </w:tc>
              <w:tc>
                <w:tcPr>
                  <w:tcW w:w="437" w:type="dxa"/>
                  <w:shd w:val="clear" w:color="auto" w:fill="FFFFFF"/>
                  <w:vAlign w:val="center"/>
                </w:tcPr>
                <w:p w14:paraId="625805A9">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65DE07AC">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11D950A4">
                  <w:pPr>
                    <w:widowControl/>
                    <w:adjustRightInd w:val="0"/>
                    <w:snapToGrid w:val="0"/>
                    <w:spacing w:line="320" w:lineRule="exact"/>
                    <w:jc w:val="center"/>
                    <w:rPr>
                      <w:sz w:val="20"/>
                      <w:szCs w:val="20"/>
                    </w:rPr>
                  </w:pPr>
                  <w:r>
                    <w:rPr>
                      <w:sz w:val="20"/>
                      <w:szCs w:val="20"/>
                    </w:rPr>
                    <w:t>24</w:t>
                  </w:r>
                </w:p>
              </w:tc>
              <w:tc>
                <w:tcPr>
                  <w:tcW w:w="699" w:type="dxa"/>
                  <w:shd w:val="clear" w:color="auto" w:fill="auto"/>
                  <w:vAlign w:val="center"/>
                </w:tcPr>
                <w:p w14:paraId="58F7606B">
                  <w:pPr>
                    <w:widowControl/>
                    <w:adjustRightInd w:val="0"/>
                    <w:snapToGrid w:val="0"/>
                    <w:spacing w:line="320" w:lineRule="exact"/>
                    <w:jc w:val="center"/>
                    <w:rPr>
                      <w:sz w:val="20"/>
                      <w:szCs w:val="20"/>
                    </w:rPr>
                  </w:pPr>
                  <w:r>
                    <w:rPr>
                      <w:rFonts w:hint="eastAsia"/>
                      <w:sz w:val="20"/>
                      <w:szCs w:val="20"/>
                    </w:rPr>
                    <w:t xml:space="preserve">73.80 </w:t>
                  </w:r>
                </w:p>
              </w:tc>
              <w:tc>
                <w:tcPr>
                  <w:tcW w:w="670" w:type="dxa"/>
                  <w:vMerge w:val="continue"/>
                  <w:shd w:val="clear" w:color="auto" w:fill="auto"/>
                  <w:vAlign w:val="center"/>
                </w:tcPr>
                <w:p w14:paraId="253AD598">
                  <w:pPr>
                    <w:widowControl/>
                    <w:adjustRightInd w:val="0"/>
                    <w:snapToGrid w:val="0"/>
                    <w:spacing w:line="320" w:lineRule="exact"/>
                    <w:jc w:val="center"/>
                    <w:rPr>
                      <w:sz w:val="20"/>
                      <w:szCs w:val="20"/>
                    </w:rPr>
                  </w:pPr>
                </w:p>
              </w:tc>
              <w:tc>
                <w:tcPr>
                  <w:tcW w:w="700" w:type="dxa"/>
                  <w:shd w:val="clear" w:color="auto" w:fill="auto"/>
                  <w:vAlign w:val="center"/>
                </w:tcPr>
                <w:p w14:paraId="5D20F133">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53D20838">
                  <w:pPr>
                    <w:widowControl/>
                    <w:adjustRightInd w:val="0"/>
                    <w:snapToGrid w:val="0"/>
                    <w:spacing w:line="320" w:lineRule="exact"/>
                    <w:jc w:val="center"/>
                    <w:rPr>
                      <w:sz w:val="20"/>
                      <w:szCs w:val="20"/>
                    </w:rPr>
                  </w:pPr>
                  <w:r>
                    <w:rPr>
                      <w:sz w:val="20"/>
                      <w:szCs w:val="20"/>
                    </w:rPr>
                    <w:t xml:space="preserve">44.80 </w:t>
                  </w:r>
                </w:p>
              </w:tc>
              <w:tc>
                <w:tcPr>
                  <w:tcW w:w="395" w:type="dxa"/>
                  <w:shd w:val="clear" w:color="auto" w:fill="auto"/>
                  <w:vAlign w:val="center"/>
                </w:tcPr>
                <w:p w14:paraId="3B922C41">
                  <w:pPr>
                    <w:widowControl/>
                    <w:adjustRightInd w:val="0"/>
                    <w:snapToGrid w:val="0"/>
                    <w:spacing w:line="320" w:lineRule="exact"/>
                    <w:jc w:val="center"/>
                    <w:rPr>
                      <w:sz w:val="20"/>
                      <w:szCs w:val="20"/>
                    </w:rPr>
                  </w:pPr>
                  <w:r>
                    <w:rPr>
                      <w:sz w:val="20"/>
                      <w:szCs w:val="20"/>
                    </w:rPr>
                    <w:t>1</w:t>
                  </w:r>
                </w:p>
              </w:tc>
            </w:tr>
            <w:tr w14:paraId="61C4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4E1DBBEB">
                  <w:pPr>
                    <w:widowControl/>
                    <w:adjustRightInd w:val="0"/>
                    <w:snapToGrid w:val="0"/>
                    <w:spacing w:line="320" w:lineRule="exact"/>
                    <w:jc w:val="center"/>
                    <w:rPr>
                      <w:sz w:val="20"/>
                      <w:szCs w:val="20"/>
                    </w:rPr>
                  </w:pPr>
                </w:p>
              </w:tc>
              <w:tc>
                <w:tcPr>
                  <w:tcW w:w="394" w:type="dxa"/>
                  <w:vMerge w:val="continue"/>
                  <w:shd w:val="clear" w:color="auto" w:fill="auto"/>
                  <w:vAlign w:val="center"/>
                </w:tcPr>
                <w:p w14:paraId="65BF1317">
                  <w:pPr>
                    <w:widowControl/>
                    <w:adjustRightInd w:val="0"/>
                    <w:snapToGrid w:val="0"/>
                    <w:spacing w:line="320" w:lineRule="exact"/>
                    <w:jc w:val="center"/>
                    <w:rPr>
                      <w:sz w:val="20"/>
                      <w:szCs w:val="20"/>
                    </w:rPr>
                  </w:pPr>
                </w:p>
              </w:tc>
              <w:tc>
                <w:tcPr>
                  <w:tcW w:w="394" w:type="dxa"/>
                  <w:vMerge w:val="continue"/>
                  <w:shd w:val="clear" w:color="auto" w:fill="auto"/>
                  <w:vAlign w:val="center"/>
                </w:tcPr>
                <w:p w14:paraId="6E4C48B2">
                  <w:pPr>
                    <w:widowControl/>
                    <w:adjustRightInd w:val="0"/>
                    <w:snapToGrid w:val="0"/>
                    <w:spacing w:line="320" w:lineRule="exact"/>
                    <w:jc w:val="center"/>
                    <w:rPr>
                      <w:sz w:val="20"/>
                      <w:szCs w:val="20"/>
                    </w:rPr>
                  </w:pPr>
                </w:p>
              </w:tc>
              <w:tc>
                <w:tcPr>
                  <w:tcW w:w="394" w:type="dxa"/>
                  <w:vMerge w:val="continue"/>
                  <w:shd w:val="clear" w:color="auto" w:fill="auto"/>
                  <w:vAlign w:val="center"/>
                </w:tcPr>
                <w:p w14:paraId="7F8DD1B7">
                  <w:pPr>
                    <w:widowControl/>
                    <w:adjustRightInd w:val="0"/>
                    <w:snapToGrid w:val="0"/>
                    <w:spacing w:line="320" w:lineRule="exact"/>
                    <w:jc w:val="center"/>
                    <w:rPr>
                      <w:sz w:val="20"/>
                      <w:szCs w:val="20"/>
                    </w:rPr>
                  </w:pPr>
                </w:p>
              </w:tc>
              <w:tc>
                <w:tcPr>
                  <w:tcW w:w="699" w:type="dxa"/>
                  <w:vMerge w:val="continue"/>
                  <w:shd w:val="clear" w:color="auto" w:fill="auto"/>
                  <w:vAlign w:val="center"/>
                </w:tcPr>
                <w:p w14:paraId="7EB35FD3">
                  <w:pPr>
                    <w:widowControl/>
                    <w:adjustRightInd w:val="0"/>
                    <w:snapToGrid w:val="0"/>
                    <w:spacing w:line="320" w:lineRule="exact"/>
                    <w:jc w:val="center"/>
                    <w:rPr>
                      <w:sz w:val="20"/>
                      <w:szCs w:val="20"/>
                    </w:rPr>
                  </w:pPr>
                </w:p>
              </w:tc>
              <w:tc>
                <w:tcPr>
                  <w:tcW w:w="570" w:type="dxa"/>
                  <w:vMerge w:val="continue"/>
                  <w:shd w:val="clear" w:color="auto" w:fill="auto"/>
                  <w:vAlign w:val="center"/>
                </w:tcPr>
                <w:p w14:paraId="427015B7">
                  <w:pPr>
                    <w:widowControl/>
                    <w:adjustRightInd w:val="0"/>
                    <w:snapToGrid w:val="0"/>
                    <w:spacing w:line="320" w:lineRule="exact"/>
                    <w:jc w:val="center"/>
                    <w:rPr>
                      <w:sz w:val="20"/>
                      <w:szCs w:val="20"/>
                    </w:rPr>
                  </w:pPr>
                </w:p>
              </w:tc>
              <w:tc>
                <w:tcPr>
                  <w:tcW w:w="614" w:type="dxa"/>
                  <w:shd w:val="clear" w:color="auto" w:fill="FFFFFF"/>
                  <w:vAlign w:val="center"/>
                </w:tcPr>
                <w:p w14:paraId="60FDF541">
                  <w:pPr>
                    <w:widowControl/>
                    <w:adjustRightInd w:val="0"/>
                    <w:snapToGrid w:val="0"/>
                    <w:spacing w:line="320" w:lineRule="exact"/>
                    <w:jc w:val="center"/>
                    <w:rPr>
                      <w:sz w:val="20"/>
                      <w:szCs w:val="20"/>
                    </w:rPr>
                  </w:pPr>
                  <w:r>
                    <w:rPr>
                      <w:sz w:val="20"/>
                      <w:szCs w:val="20"/>
                    </w:rPr>
                    <w:t>26.07</w:t>
                  </w:r>
                </w:p>
              </w:tc>
              <w:tc>
                <w:tcPr>
                  <w:tcW w:w="585" w:type="dxa"/>
                  <w:shd w:val="clear" w:color="auto" w:fill="FFFFFF"/>
                  <w:vAlign w:val="center"/>
                </w:tcPr>
                <w:p w14:paraId="09B6AE69">
                  <w:pPr>
                    <w:widowControl/>
                    <w:adjustRightInd w:val="0"/>
                    <w:snapToGrid w:val="0"/>
                    <w:spacing w:line="320" w:lineRule="exact"/>
                    <w:jc w:val="center"/>
                    <w:rPr>
                      <w:sz w:val="20"/>
                      <w:szCs w:val="20"/>
                    </w:rPr>
                  </w:pPr>
                  <w:r>
                    <w:rPr>
                      <w:sz w:val="20"/>
                      <w:szCs w:val="20"/>
                    </w:rPr>
                    <w:t>-6.58</w:t>
                  </w:r>
                </w:p>
              </w:tc>
              <w:tc>
                <w:tcPr>
                  <w:tcW w:w="437" w:type="dxa"/>
                  <w:shd w:val="clear" w:color="auto" w:fill="FFFFFF"/>
                  <w:vAlign w:val="center"/>
                </w:tcPr>
                <w:p w14:paraId="404DA5EC">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7DE315EA">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0BCCA148">
                  <w:pPr>
                    <w:widowControl/>
                    <w:adjustRightInd w:val="0"/>
                    <w:snapToGrid w:val="0"/>
                    <w:spacing w:line="320" w:lineRule="exact"/>
                    <w:jc w:val="center"/>
                    <w:rPr>
                      <w:sz w:val="20"/>
                      <w:szCs w:val="20"/>
                    </w:rPr>
                  </w:pPr>
                  <w:r>
                    <w:rPr>
                      <w:sz w:val="20"/>
                      <w:szCs w:val="20"/>
                    </w:rPr>
                    <w:t>17</w:t>
                  </w:r>
                </w:p>
              </w:tc>
              <w:tc>
                <w:tcPr>
                  <w:tcW w:w="699" w:type="dxa"/>
                  <w:shd w:val="clear" w:color="auto" w:fill="auto"/>
                  <w:vAlign w:val="center"/>
                </w:tcPr>
                <w:p w14:paraId="4453F097">
                  <w:pPr>
                    <w:widowControl/>
                    <w:adjustRightInd w:val="0"/>
                    <w:snapToGrid w:val="0"/>
                    <w:spacing w:line="320" w:lineRule="exact"/>
                    <w:jc w:val="center"/>
                    <w:rPr>
                      <w:sz w:val="20"/>
                      <w:szCs w:val="20"/>
                    </w:rPr>
                  </w:pPr>
                  <w:r>
                    <w:rPr>
                      <w:rFonts w:hint="eastAsia"/>
                      <w:sz w:val="20"/>
                      <w:szCs w:val="20"/>
                    </w:rPr>
                    <w:t xml:space="preserve">73.81 </w:t>
                  </w:r>
                </w:p>
              </w:tc>
              <w:tc>
                <w:tcPr>
                  <w:tcW w:w="670" w:type="dxa"/>
                  <w:vMerge w:val="continue"/>
                  <w:shd w:val="clear" w:color="auto" w:fill="auto"/>
                  <w:vAlign w:val="center"/>
                </w:tcPr>
                <w:p w14:paraId="6341BBDA">
                  <w:pPr>
                    <w:widowControl/>
                    <w:adjustRightInd w:val="0"/>
                    <w:snapToGrid w:val="0"/>
                    <w:spacing w:line="320" w:lineRule="exact"/>
                    <w:jc w:val="center"/>
                    <w:rPr>
                      <w:sz w:val="20"/>
                      <w:szCs w:val="20"/>
                    </w:rPr>
                  </w:pPr>
                </w:p>
              </w:tc>
              <w:tc>
                <w:tcPr>
                  <w:tcW w:w="700" w:type="dxa"/>
                  <w:shd w:val="clear" w:color="auto" w:fill="auto"/>
                  <w:vAlign w:val="center"/>
                </w:tcPr>
                <w:p w14:paraId="6BD082B8">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3933B598">
                  <w:pPr>
                    <w:widowControl/>
                    <w:adjustRightInd w:val="0"/>
                    <w:snapToGrid w:val="0"/>
                    <w:spacing w:line="320" w:lineRule="exact"/>
                    <w:jc w:val="center"/>
                    <w:rPr>
                      <w:sz w:val="20"/>
                      <w:szCs w:val="20"/>
                    </w:rPr>
                  </w:pPr>
                  <w:r>
                    <w:rPr>
                      <w:sz w:val="20"/>
                      <w:szCs w:val="20"/>
                    </w:rPr>
                    <w:t xml:space="preserve">47.81 </w:t>
                  </w:r>
                </w:p>
              </w:tc>
              <w:tc>
                <w:tcPr>
                  <w:tcW w:w="395" w:type="dxa"/>
                  <w:shd w:val="clear" w:color="auto" w:fill="auto"/>
                  <w:vAlign w:val="center"/>
                </w:tcPr>
                <w:p w14:paraId="0FCA5FAA">
                  <w:pPr>
                    <w:widowControl/>
                    <w:adjustRightInd w:val="0"/>
                    <w:snapToGrid w:val="0"/>
                    <w:spacing w:line="320" w:lineRule="exact"/>
                    <w:jc w:val="center"/>
                    <w:rPr>
                      <w:sz w:val="20"/>
                      <w:szCs w:val="20"/>
                    </w:rPr>
                  </w:pPr>
                  <w:r>
                    <w:rPr>
                      <w:sz w:val="20"/>
                      <w:szCs w:val="20"/>
                    </w:rPr>
                    <w:t>1</w:t>
                  </w:r>
                </w:p>
              </w:tc>
            </w:tr>
            <w:tr w14:paraId="2D46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51846126">
                  <w:pPr>
                    <w:widowControl/>
                    <w:adjustRightInd w:val="0"/>
                    <w:snapToGrid w:val="0"/>
                    <w:spacing w:line="320" w:lineRule="exact"/>
                    <w:jc w:val="center"/>
                    <w:rPr>
                      <w:sz w:val="20"/>
                      <w:szCs w:val="20"/>
                    </w:rPr>
                  </w:pPr>
                  <w:r>
                    <w:rPr>
                      <w:sz w:val="20"/>
                      <w:szCs w:val="20"/>
                    </w:rPr>
                    <w:t xml:space="preserve">4 </w:t>
                  </w:r>
                </w:p>
              </w:tc>
              <w:tc>
                <w:tcPr>
                  <w:tcW w:w="394" w:type="dxa"/>
                  <w:vMerge w:val="continue"/>
                  <w:shd w:val="clear" w:color="auto" w:fill="auto"/>
                  <w:vAlign w:val="center"/>
                </w:tcPr>
                <w:p w14:paraId="5E8FD767">
                  <w:pPr>
                    <w:widowControl/>
                    <w:adjustRightInd w:val="0"/>
                    <w:snapToGrid w:val="0"/>
                    <w:spacing w:line="320" w:lineRule="exact"/>
                    <w:jc w:val="center"/>
                    <w:rPr>
                      <w:sz w:val="20"/>
                      <w:szCs w:val="20"/>
                    </w:rPr>
                  </w:pPr>
                </w:p>
              </w:tc>
              <w:tc>
                <w:tcPr>
                  <w:tcW w:w="394" w:type="dxa"/>
                  <w:vMerge w:val="restart"/>
                  <w:shd w:val="clear" w:color="auto" w:fill="auto"/>
                  <w:vAlign w:val="center"/>
                </w:tcPr>
                <w:p w14:paraId="4F477A23">
                  <w:pPr>
                    <w:widowControl/>
                    <w:adjustRightInd w:val="0"/>
                    <w:snapToGrid w:val="0"/>
                    <w:spacing w:line="320" w:lineRule="exact"/>
                    <w:jc w:val="center"/>
                    <w:rPr>
                      <w:sz w:val="20"/>
                      <w:szCs w:val="20"/>
                    </w:rPr>
                  </w:pPr>
                  <w:r>
                    <w:rPr>
                      <w:rFonts w:hint="eastAsia"/>
                      <w:sz w:val="20"/>
                      <w:szCs w:val="20"/>
                    </w:rPr>
                    <w:t>风机1</w:t>
                  </w:r>
                </w:p>
              </w:tc>
              <w:tc>
                <w:tcPr>
                  <w:tcW w:w="394" w:type="dxa"/>
                  <w:vMerge w:val="restart"/>
                  <w:shd w:val="clear" w:color="auto" w:fill="auto"/>
                  <w:vAlign w:val="center"/>
                </w:tcPr>
                <w:p w14:paraId="042563E4">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2975C6C5">
                  <w:pPr>
                    <w:widowControl/>
                    <w:adjustRightInd w:val="0"/>
                    <w:snapToGrid w:val="0"/>
                    <w:spacing w:line="320" w:lineRule="exact"/>
                    <w:jc w:val="center"/>
                    <w:rPr>
                      <w:sz w:val="20"/>
                      <w:szCs w:val="20"/>
                    </w:rPr>
                  </w:pPr>
                  <w:r>
                    <w:rPr>
                      <w:sz w:val="20"/>
                      <w:szCs w:val="20"/>
                    </w:rPr>
                    <w:t>85</w:t>
                  </w:r>
                </w:p>
              </w:tc>
              <w:tc>
                <w:tcPr>
                  <w:tcW w:w="570" w:type="dxa"/>
                  <w:vMerge w:val="continue"/>
                  <w:shd w:val="clear" w:color="auto" w:fill="auto"/>
                  <w:vAlign w:val="center"/>
                </w:tcPr>
                <w:p w14:paraId="26573C19">
                  <w:pPr>
                    <w:widowControl/>
                    <w:adjustRightInd w:val="0"/>
                    <w:snapToGrid w:val="0"/>
                    <w:spacing w:line="320" w:lineRule="exact"/>
                    <w:jc w:val="center"/>
                    <w:rPr>
                      <w:sz w:val="20"/>
                      <w:szCs w:val="20"/>
                    </w:rPr>
                  </w:pPr>
                </w:p>
              </w:tc>
              <w:tc>
                <w:tcPr>
                  <w:tcW w:w="614" w:type="dxa"/>
                  <w:shd w:val="clear" w:color="auto" w:fill="FFFFFF"/>
                  <w:vAlign w:val="center"/>
                </w:tcPr>
                <w:p w14:paraId="7BA95E53">
                  <w:pPr>
                    <w:widowControl/>
                    <w:adjustRightInd w:val="0"/>
                    <w:snapToGrid w:val="0"/>
                    <w:spacing w:line="320" w:lineRule="exact"/>
                    <w:jc w:val="center"/>
                    <w:rPr>
                      <w:sz w:val="20"/>
                      <w:szCs w:val="20"/>
                    </w:rPr>
                  </w:pPr>
                  <w:r>
                    <w:rPr>
                      <w:sz w:val="20"/>
                      <w:szCs w:val="20"/>
                    </w:rPr>
                    <w:t>34.82</w:t>
                  </w:r>
                </w:p>
              </w:tc>
              <w:tc>
                <w:tcPr>
                  <w:tcW w:w="585" w:type="dxa"/>
                  <w:shd w:val="clear" w:color="auto" w:fill="FFFFFF"/>
                  <w:vAlign w:val="center"/>
                </w:tcPr>
                <w:p w14:paraId="2B948ECA">
                  <w:pPr>
                    <w:widowControl/>
                    <w:adjustRightInd w:val="0"/>
                    <w:snapToGrid w:val="0"/>
                    <w:spacing w:line="320" w:lineRule="exact"/>
                    <w:jc w:val="center"/>
                    <w:rPr>
                      <w:sz w:val="20"/>
                      <w:szCs w:val="20"/>
                    </w:rPr>
                  </w:pPr>
                  <w:r>
                    <w:rPr>
                      <w:sz w:val="20"/>
                      <w:szCs w:val="20"/>
                    </w:rPr>
                    <w:t>-2.49</w:t>
                  </w:r>
                </w:p>
              </w:tc>
              <w:tc>
                <w:tcPr>
                  <w:tcW w:w="437" w:type="dxa"/>
                  <w:shd w:val="clear" w:color="auto" w:fill="FFFFFF"/>
                  <w:vAlign w:val="center"/>
                </w:tcPr>
                <w:p w14:paraId="7D369FF0">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33A2C21C">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05FD72D5">
                  <w:pPr>
                    <w:widowControl/>
                    <w:adjustRightInd w:val="0"/>
                    <w:snapToGrid w:val="0"/>
                    <w:spacing w:line="320" w:lineRule="exact"/>
                    <w:jc w:val="center"/>
                    <w:rPr>
                      <w:sz w:val="20"/>
                      <w:szCs w:val="20"/>
                    </w:rPr>
                  </w:pPr>
                  <w:r>
                    <w:rPr>
                      <w:sz w:val="20"/>
                      <w:szCs w:val="20"/>
                    </w:rPr>
                    <w:t>1</w:t>
                  </w:r>
                </w:p>
              </w:tc>
              <w:tc>
                <w:tcPr>
                  <w:tcW w:w="699" w:type="dxa"/>
                  <w:shd w:val="clear" w:color="auto" w:fill="auto"/>
                  <w:vAlign w:val="center"/>
                </w:tcPr>
                <w:p w14:paraId="672B13DE">
                  <w:pPr>
                    <w:widowControl/>
                    <w:adjustRightInd w:val="0"/>
                    <w:snapToGrid w:val="0"/>
                    <w:spacing w:line="320" w:lineRule="exact"/>
                    <w:jc w:val="center"/>
                    <w:rPr>
                      <w:sz w:val="20"/>
                      <w:szCs w:val="20"/>
                    </w:rPr>
                  </w:pPr>
                  <w:r>
                    <w:rPr>
                      <w:rFonts w:hint="eastAsia"/>
                      <w:sz w:val="20"/>
                      <w:szCs w:val="20"/>
                    </w:rPr>
                    <w:t xml:space="preserve">76.91 </w:t>
                  </w:r>
                </w:p>
              </w:tc>
              <w:tc>
                <w:tcPr>
                  <w:tcW w:w="670" w:type="dxa"/>
                  <w:vMerge w:val="continue"/>
                  <w:shd w:val="clear" w:color="auto" w:fill="auto"/>
                  <w:vAlign w:val="center"/>
                </w:tcPr>
                <w:p w14:paraId="7AA61837">
                  <w:pPr>
                    <w:widowControl/>
                    <w:adjustRightInd w:val="0"/>
                    <w:snapToGrid w:val="0"/>
                    <w:spacing w:line="320" w:lineRule="exact"/>
                    <w:jc w:val="center"/>
                    <w:rPr>
                      <w:sz w:val="20"/>
                      <w:szCs w:val="20"/>
                    </w:rPr>
                  </w:pPr>
                </w:p>
              </w:tc>
              <w:tc>
                <w:tcPr>
                  <w:tcW w:w="700" w:type="dxa"/>
                  <w:shd w:val="clear" w:color="auto" w:fill="auto"/>
                  <w:vAlign w:val="center"/>
                </w:tcPr>
                <w:p w14:paraId="50FBFDC0">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6E428DAF">
                  <w:pPr>
                    <w:widowControl/>
                    <w:adjustRightInd w:val="0"/>
                    <w:snapToGrid w:val="0"/>
                    <w:spacing w:line="320" w:lineRule="exact"/>
                    <w:jc w:val="center"/>
                    <w:rPr>
                      <w:sz w:val="20"/>
                      <w:szCs w:val="20"/>
                    </w:rPr>
                  </w:pPr>
                  <w:r>
                    <w:rPr>
                      <w:sz w:val="20"/>
                      <w:szCs w:val="20"/>
                    </w:rPr>
                    <w:t xml:space="preserve">47.91 </w:t>
                  </w:r>
                </w:p>
              </w:tc>
              <w:tc>
                <w:tcPr>
                  <w:tcW w:w="395" w:type="dxa"/>
                  <w:shd w:val="clear" w:color="auto" w:fill="auto"/>
                  <w:vAlign w:val="center"/>
                </w:tcPr>
                <w:p w14:paraId="0A4251BD">
                  <w:pPr>
                    <w:widowControl/>
                    <w:adjustRightInd w:val="0"/>
                    <w:snapToGrid w:val="0"/>
                    <w:spacing w:line="320" w:lineRule="exact"/>
                    <w:jc w:val="center"/>
                    <w:rPr>
                      <w:sz w:val="20"/>
                      <w:szCs w:val="20"/>
                    </w:rPr>
                  </w:pPr>
                  <w:r>
                    <w:rPr>
                      <w:sz w:val="20"/>
                      <w:szCs w:val="20"/>
                    </w:rPr>
                    <w:t>1</w:t>
                  </w:r>
                </w:p>
              </w:tc>
            </w:tr>
            <w:tr w14:paraId="7898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00EFEC15">
                  <w:pPr>
                    <w:widowControl/>
                    <w:adjustRightInd w:val="0"/>
                    <w:snapToGrid w:val="0"/>
                    <w:spacing w:line="320" w:lineRule="exact"/>
                    <w:jc w:val="center"/>
                    <w:rPr>
                      <w:sz w:val="20"/>
                      <w:szCs w:val="20"/>
                    </w:rPr>
                  </w:pPr>
                </w:p>
              </w:tc>
              <w:tc>
                <w:tcPr>
                  <w:tcW w:w="394" w:type="dxa"/>
                  <w:vMerge w:val="continue"/>
                  <w:shd w:val="clear" w:color="auto" w:fill="auto"/>
                  <w:vAlign w:val="center"/>
                </w:tcPr>
                <w:p w14:paraId="0F409BDA">
                  <w:pPr>
                    <w:widowControl/>
                    <w:adjustRightInd w:val="0"/>
                    <w:snapToGrid w:val="0"/>
                    <w:spacing w:line="320" w:lineRule="exact"/>
                    <w:jc w:val="center"/>
                    <w:rPr>
                      <w:sz w:val="20"/>
                      <w:szCs w:val="20"/>
                    </w:rPr>
                  </w:pPr>
                </w:p>
              </w:tc>
              <w:tc>
                <w:tcPr>
                  <w:tcW w:w="394" w:type="dxa"/>
                  <w:vMerge w:val="continue"/>
                  <w:shd w:val="clear" w:color="auto" w:fill="auto"/>
                  <w:vAlign w:val="center"/>
                </w:tcPr>
                <w:p w14:paraId="3CA7B2D8">
                  <w:pPr>
                    <w:widowControl/>
                    <w:adjustRightInd w:val="0"/>
                    <w:snapToGrid w:val="0"/>
                    <w:spacing w:line="320" w:lineRule="exact"/>
                    <w:jc w:val="center"/>
                    <w:rPr>
                      <w:sz w:val="20"/>
                      <w:szCs w:val="20"/>
                    </w:rPr>
                  </w:pPr>
                </w:p>
              </w:tc>
              <w:tc>
                <w:tcPr>
                  <w:tcW w:w="394" w:type="dxa"/>
                  <w:vMerge w:val="continue"/>
                  <w:shd w:val="clear" w:color="auto" w:fill="auto"/>
                  <w:vAlign w:val="center"/>
                </w:tcPr>
                <w:p w14:paraId="0884D3BD">
                  <w:pPr>
                    <w:widowControl/>
                    <w:adjustRightInd w:val="0"/>
                    <w:snapToGrid w:val="0"/>
                    <w:spacing w:line="320" w:lineRule="exact"/>
                    <w:jc w:val="center"/>
                    <w:rPr>
                      <w:sz w:val="20"/>
                      <w:szCs w:val="20"/>
                    </w:rPr>
                  </w:pPr>
                </w:p>
              </w:tc>
              <w:tc>
                <w:tcPr>
                  <w:tcW w:w="699" w:type="dxa"/>
                  <w:vMerge w:val="continue"/>
                  <w:shd w:val="clear" w:color="auto" w:fill="auto"/>
                  <w:vAlign w:val="center"/>
                </w:tcPr>
                <w:p w14:paraId="6ABBAB8F">
                  <w:pPr>
                    <w:widowControl/>
                    <w:adjustRightInd w:val="0"/>
                    <w:snapToGrid w:val="0"/>
                    <w:spacing w:line="320" w:lineRule="exact"/>
                    <w:jc w:val="center"/>
                    <w:rPr>
                      <w:sz w:val="20"/>
                      <w:szCs w:val="20"/>
                    </w:rPr>
                  </w:pPr>
                </w:p>
              </w:tc>
              <w:tc>
                <w:tcPr>
                  <w:tcW w:w="570" w:type="dxa"/>
                  <w:vMerge w:val="continue"/>
                  <w:shd w:val="clear" w:color="auto" w:fill="auto"/>
                  <w:vAlign w:val="center"/>
                </w:tcPr>
                <w:p w14:paraId="3CB18C1A">
                  <w:pPr>
                    <w:widowControl/>
                    <w:adjustRightInd w:val="0"/>
                    <w:snapToGrid w:val="0"/>
                    <w:spacing w:line="320" w:lineRule="exact"/>
                    <w:jc w:val="center"/>
                    <w:rPr>
                      <w:sz w:val="20"/>
                      <w:szCs w:val="20"/>
                    </w:rPr>
                  </w:pPr>
                </w:p>
              </w:tc>
              <w:tc>
                <w:tcPr>
                  <w:tcW w:w="614" w:type="dxa"/>
                  <w:shd w:val="clear" w:color="auto" w:fill="FFFFFF"/>
                  <w:vAlign w:val="center"/>
                </w:tcPr>
                <w:p w14:paraId="0258A4A8">
                  <w:pPr>
                    <w:widowControl/>
                    <w:adjustRightInd w:val="0"/>
                    <w:snapToGrid w:val="0"/>
                    <w:spacing w:line="320" w:lineRule="exact"/>
                    <w:jc w:val="center"/>
                    <w:rPr>
                      <w:sz w:val="20"/>
                      <w:szCs w:val="20"/>
                    </w:rPr>
                  </w:pPr>
                  <w:r>
                    <w:rPr>
                      <w:sz w:val="20"/>
                      <w:szCs w:val="20"/>
                    </w:rPr>
                    <w:t>40.86</w:t>
                  </w:r>
                </w:p>
              </w:tc>
              <w:tc>
                <w:tcPr>
                  <w:tcW w:w="585" w:type="dxa"/>
                  <w:shd w:val="clear" w:color="auto" w:fill="FFFFFF"/>
                  <w:vAlign w:val="center"/>
                </w:tcPr>
                <w:p w14:paraId="1DB16107">
                  <w:pPr>
                    <w:widowControl/>
                    <w:adjustRightInd w:val="0"/>
                    <w:snapToGrid w:val="0"/>
                    <w:spacing w:line="320" w:lineRule="exact"/>
                    <w:jc w:val="center"/>
                    <w:rPr>
                      <w:sz w:val="20"/>
                      <w:szCs w:val="20"/>
                    </w:rPr>
                  </w:pPr>
                  <w:r>
                    <w:rPr>
                      <w:sz w:val="20"/>
                      <w:szCs w:val="20"/>
                    </w:rPr>
                    <w:t>3.25</w:t>
                  </w:r>
                </w:p>
              </w:tc>
              <w:tc>
                <w:tcPr>
                  <w:tcW w:w="437" w:type="dxa"/>
                  <w:shd w:val="clear" w:color="auto" w:fill="FFFFFF"/>
                  <w:vAlign w:val="center"/>
                </w:tcPr>
                <w:p w14:paraId="38E41287">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20A78C60">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56C115B7">
                  <w:pPr>
                    <w:widowControl/>
                    <w:adjustRightInd w:val="0"/>
                    <w:snapToGrid w:val="0"/>
                    <w:spacing w:line="320" w:lineRule="exact"/>
                    <w:jc w:val="center"/>
                    <w:rPr>
                      <w:sz w:val="20"/>
                      <w:szCs w:val="20"/>
                    </w:rPr>
                  </w:pPr>
                  <w:r>
                    <w:rPr>
                      <w:sz w:val="20"/>
                      <w:szCs w:val="20"/>
                    </w:rPr>
                    <w:t>5.2</w:t>
                  </w:r>
                </w:p>
              </w:tc>
              <w:tc>
                <w:tcPr>
                  <w:tcW w:w="699" w:type="dxa"/>
                  <w:shd w:val="clear" w:color="auto" w:fill="auto"/>
                  <w:vAlign w:val="center"/>
                </w:tcPr>
                <w:p w14:paraId="486AFB53">
                  <w:pPr>
                    <w:widowControl/>
                    <w:adjustRightInd w:val="0"/>
                    <w:snapToGrid w:val="0"/>
                    <w:spacing w:line="320" w:lineRule="exact"/>
                    <w:jc w:val="center"/>
                    <w:rPr>
                      <w:sz w:val="20"/>
                      <w:szCs w:val="20"/>
                    </w:rPr>
                  </w:pPr>
                  <w:r>
                    <w:rPr>
                      <w:rFonts w:hint="eastAsia"/>
                      <w:sz w:val="20"/>
                      <w:szCs w:val="20"/>
                    </w:rPr>
                    <w:t xml:space="preserve">73.96 </w:t>
                  </w:r>
                </w:p>
              </w:tc>
              <w:tc>
                <w:tcPr>
                  <w:tcW w:w="670" w:type="dxa"/>
                  <w:vMerge w:val="continue"/>
                  <w:shd w:val="clear" w:color="auto" w:fill="auto"/>
                  <w:vAlign w:val="center"/>
                </w:tcPr>
                <w:p w14:paraId="4B3883EE">
                  <w:pPr>
                    <w:widowControl/>
                    <w:adjustRightInd w:val="0"/>
                    <w:snapToGrid w:val="0"/>
                    <w:spacing w:line="320" w:lineRule="exact"/>
                    <w:jc w:val="center"/>
                    <w:rPr>
                      <w:sz w:val="20"/>
                      <w:szCs w:val="20"/>
                    </w:rPr>
                  </w:pPr>
                </w:p>
              </w:tc>
              <w:tc>
                <w:tcPr>
                  <w:tcW w:w="700" w:type="dxa"/>
                  <w:shd w:val="clear" w:color="auto" w:fill="auto"/>
                  <w:vAlign w:val="center"/>
                </w:tcPr>
                <w:p w14:paraId="522A2710">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36297657">
                  <w:pPr>
                    <w:widowControl/>
                    <w:adjustRightInd w:val="0"/>
                    <w:snapToGrid w:val="0"/>
                    <w:spacing w:line="320" w:lineRule="exact"/>
                    <w:jc w:val="center"/>
                    <w:rPr>
                      <w:sz w:val="20"/>
                      <w:szCs w:val="20"/>
                    </w:rPr>
                  </w:pPr>
                  <w:r>
                    <w:rPr>
                      <w:sz w:val="20"/>
                      <w:szCs w:val="20"/>
                    </w:rPr>
                    <w:t xml:space="preserve">47.96 </w:t>
                  </w:r>
                </w:p>
              </w:tc>
              <w:tc>
                <w:tcPr>
                  <w:tcW w:w="395" w:type="dxa"/>
                  <w:shd w:val="clear" w:color="auto" w:fill="auto"/>
                  <w:vAlign w:val="center"/>
                </w:tcPr>
                <w:p w14:paraId="6FADC62A">
                  <w:pPr>
                    <w:widowControl/>
                    <w:adjustRightInd w:val="0"/>
                    <w:snapToGrid w:val="0"/>
                    <w:spacing w:line="320" w:lineRule="exact"/>
                    <w:jc w:val="center"/>
                    <w:rPr>
                      <w:sz w:val="20"/>
                      <w:szCs w:val="20"/>
                    </w:rPr>
                  </w:pPr>
                  <w:r>
                    <w:rPr>
                      <w:sz w:val="20"/>
                      <w:szCs w:val="20"/>
                    </w:rPr>
                    <w:t>1</w:t>
                  </w:r>
                </w:p>
              </w:tc>
            </w:tr>
            <w:tr w14:paraId="1017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7E74A891">
                  <w:pPr>
                    <w:widowControl/>
                    <w:adjustRightInd w:val="0"/>
                    <w:snapToGrid w:val="0"/>
                    <w:spacing w:line="320" w:lineRule="exact"/>
                    <w:jc w:val="center"/>
                    <w:rPr>
                      <w:sz w:val="20"/>
                      <w:szCs w:val="20"/>
                    </w:rPr>
                  </w:pPr>
                </w:p>
              </w:tc>
              <w:tc>
                <w:tcPr>
                  <w:tcW w:w="394" w:type="dxa"/>
                  <w:vMerge w:val="continue"/>
                  <w:shd w:val="clear" w:color="auto" w:fill="auto"/>
                  <w:vAlign w:val="center"/>
                </w:tcPr>
                <w:p w14:paraId="5C73AF8C">
                  <w:pPr>
                    <w:widowControl/>
                    <w:adjustRightInd w:val="0"/>
                    <w:snapToGrid w:val="0"/>
                    <w:spacing w:line="320" w:lineRule="exact"/>
                    <w:jc w:val="center"/>
                    <w:rPr>
                      <w:sz w:val="20"/>
                      <w:szCs w:val="20"/>
                    </w:rPr>
                  </w:pPr>
                </w:p>
              </w:tc>
              <w:tc>
                <w:tcPr>
                  <w:tcW w:w="394" w:type="dxa"/>
                  <w:vMerge w:val="continue"/>
                  <w:shd w:val="clear" w:color="auto" w:fill="auto"/>
                  <w:vAlign w:val="center"/>
                </w:tcPr>
                <w:p w14:paraId="5D2264DA">
                  <w:pPr>
                    <w:widowControl/>
                    <w:adjustRightInd w:val="0"/>
                    <w:snapToGrid w:val="0"/>
                    <w:spacing w:line="320" w:lineRule="exact"/>
                    <w:jc w:val="center"/>
                    <w:rPr>
                      <w:sz w:val="20"/>
                      <w:szCs w:val="20"/>
                    </w:rPr>
                  </w:pPr>
                </w:p>
              </w:tc>
              <w:tc>
                <w:tcPr>
                  <w:tcW w:w="394" w:type="dxa"/>
                  <w:vMerge w:val="continue"/>
                  <w:shd w:val="clear" w:color="auto" w:fill="auto"/>
                  <w:vAlign w:val="center"/>
                </w:tcPr>
                <w:p w14:paraId="0B83D49E">
                  <w:pPr>
                    <w:widowControl/>
                    <w:adjustRightInd w:val="0"/>
                    <w:snapToGrid w:val="0"/>
                    <w:spacing w:line="320" w:lineRule="exact"/>
                    <w:jc w:val="center"/>
                    <w:rPr>
                      <w:sz w:val="20"/>
                      <w:szCs w:val="20"/>
                    </w:rPr>
                  </w:pPr>
                </w:p>
              </w:tc>
              <w:tc>
                <w:tcPr>
                  <w:tcW w:w="699" w:type="dxa"/>
                  <w:vMerge w:val="continue"/>
                  <w:shd w:val="clear" w:color="auto" w:fill="auto"/>
                  <w:vAlign w:val="center"/>
                </w:tcPr>
                <w:p w14:paraId="5B806792">
                  <w:pPr>
                    <w:widowControl/>
                    <w:adjustRightInd w:val="0"/>
                    <w:snapToGrid w:val="0"/>
                    <w:spacing w:line="320" w:lineRule="exact"/>
                    <w:jc w:val="center"/>
                    <w:rPr>
                      <w:sz w:val="20"/>
                      <w:szCs w:val="20"/>
                    </w:rPr>
                  </w:pPr>
                </w:p>
              </w:tc>
              <w:tc>
                <w:tcPr>
                  <w:tcW w:w="570" w:type="dxa"/>
                  <w:vMerge w:val="continue"/>
                  <w:shd w:val="clear" w:color="auto" w:fill="auto"/>
                  <w:vAlign w:val="center"/>
                </w:tcPr>
                <w:p w14:paraId="68123264">
                  <w:pPr>
                    <w:widowControl/>
                    <w:adjustRightInd w:val="0"/>
                    <w:snapToGrid w:val="0"/>
                    <w:spacing w:line="320" w:lineRule="exact"/>
                    <w:jc w:val="center"/>
                    <w:rPr>
                      <w:sz w:val="20"/>
                      <w:szCs w:val="20"/>
                    </w:rPr>
                  </w:pPr>
                </w:p>
              </w:tc>
              <w:tc>
                <w:tcPr>
                  <w:tcW w:w="614" w:type="dxa"/>
                  <w:shd w:val="clear" w:color="auto" w:fill="FFFFFF"/>
                  <w:vAlign w:val="center"/>
                </w:tcPr>
                <w:p w14:paraId="1D2404D1">
                  <w:pPr>
                    <w:widowControl/>
                    <w:adjustRightInd w:val="0"/>
                    <w:snapToGrid w:val="0"/>
                    <w:spacing w:line="320" w:lineRule="exact"/>
                    <w:jc w:val="center"/>
                    <w:rPr>
                      <w:sz w:val="20"/>
                      <w:szCs w:val="20"/>
                    </w:rPr>
                  </w:pPr>
                  <w:r>
                    <w:rPr>
                      <w:sz w:val="20"/>
                      <w:szCs w:val="20"/>
                    </w:rPr>
                    <w:t>9.47</w:t>
                  </w:r>
                </w:p>
              </w:tc>
              <w:tc>
                <w:tcPr>
                  <w:tcW w:w="585" w:type="dxa"/>
                  <w:shd w:val="clear" w:color="auto" w:fill="FFFFFF"/>
                  <w:vAlign w:val="center"/>
                </w:tcPr>
                <w:p w14:paraId="09D97B47">
                  <w:pPr>
                    <w:widowControl/>
                    <w:adjustRightInd w:val="0"/>
                    <w:snapToGrid w:val="0"/>
                    <w:spacing w:line="320" w:lineRule="exact"/>
                    <w:jc w:val="center"/>
                    <w:rPr>
                      <w:sz w:val="20"/>
                      <w:szCs w:val="20"/>
                    </w:rPr>
                  </w:pPr>
                  <w:r>
                    <w:rPr>
                      <w:sz w:val="20"/>
                      <w:szCs w:val="20"/>
                    </w:rPr>
                    <w:t>-2.68</w:t>
                  </w:r>
                </w:p>
              </w:tc>
              <w:tc>
                <w:tcPr>
                  <w:tcW w:w="437" w:type="dxa"/>
                  <w:shd w:val="clear" w:color="auto" w:fill="FFFFFF"/>
                  <w:vAlign w:val="center"/>
                </w:tcPr>
                <w:p w14:paraId="775B12DB">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7BEF4102">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249DE7D5">
                  <w:pPr>
                    <w:widowControl/>
                    <w:adjustRightInd w:val="0"/>
                    <w:snapToGrid w:val="0"/>
                    <w:spacing w:line="320" w:lineRule="exact"/>
                    <w:jc w:val="center"/>
                    <w:rPr>
                      <w:sz w:val="20"/>
                      <w:szCs w:val="20"/>
                    </w:rPr>
                  </w:pPr>
                  <w:r>
                    <w:rPr>
                      <w:sz w:val="20"/>
                      <w:szCs w:val="20"/>
                    </w:rPr>
                    <w:t>2</w:t>
                  </w:r>
                  <w:r>
                    <w:rPr>
                      <w:rFonts w:hint="eastAsia"/>
                      <w:sz w:val="20"/>
                      <w:szCs w:val="20"/>
                    </w:rPr>
                    <w:t>6</w:t>
                  </w:r>
                </w:p>
              </w:tc>
              <w:tc>
                <w:tcPr>
                  <w:tcW w:w="699" w:type="dxa"/>
                  <w:shd w:val="clear" w:color="auto" w:fill="auto"/>
                  <w:vAlign w:val="center"/>
                </w:tcPr>
                <w:p w14:paraId="58D3A4D4">
                  <w:pPr>
                    <w:widowControl/>
                    <w:adjustRightInd w:val="0"/>
                    <w:snapToGrid w:val="0"/>
                    <w:spacing w:line="320" w:lineRule="exact"/>
                    <w:jc w:val="center"/>
                    <w:rPr>
                      <w:sz w:val="20"/>
                      <w:szCs w:val="20"/>
                    </w:rPr>
                  </w:pPr>
                  <w:r>
                    <w:rPr>
                      <w:rFonts w:hint="eastAsia"/>
                      <w:sz w:val="20"/>
                      <w:szCs w:val="20"/>
                    </w:rPr>
                    <w:t xml:space="preserve">73.80 </w:t>
                  </w:r>
                </w:p>
              </w:tc>
              <w:tc>
                <w:tcPr>
                  <w:tcW w:w="670" w:type="dxa"/>
                  <w:vMerge w:val="continue"/>
                  <w:shd w:val="clear" w:color="auto" w:fill="auto"/>
                  <w:vAlign w:val="center"/>
                </w:tcPr>
                <w:p w14:paraId="4A6739AC">
                  <w:pPr>
                    <w:widowControl/>
                    <w:adjustRightInd w:val="0"/>
                    <w:snapToGrid w:val="0"/>
                    <w:spacing w:line="320" w:lineRule="exact"/>
                    <w:jc w:val="center"/>
                    <w:rPr>
                      <w:sz w:val="20"/>
                      <w:szCs w:val="20"/>
                    </w:rPr>
                  </w:pPr>
                </w:p>
              </w:tc>
              <w:tc>
                <w:tcPr>
                  <w:tcW w:w="700" w:type="dxa"/>
                  <w:shd w:val="clear" w:color="auto" w:fill="auto"/>
                  <w:vAlign w:val="center"/>
                </w:tcPr>
                <w:p w14:paraId="751C6175">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5CD3CDDF">
                  <w:pPr>
                    <w:widowControl/>
                    <w:adjustRightInd w:val="0"/>
                    <w:snapToGrid w:val="0"/>
                    <w:spacing w:line="320" w:lineRule="exact"/>
                    <w:jc w:val="center"/>
                    <w:rPr>
                      <w:sz w:val="20"/>
                      <w:szCs w:val="20"/>
                    </w:rPr>
                  </w:pPr>
                  <w:r>
                    <w:rPr>
                      <w:sz w:val="20"/>
                      <w:szCs w:val="20"/>
                    </w:rPr>
                    <w:t xml:space="preserve">44.80 </w:t>
                  </w:r>
                </w:p>
              </w:tc>
              <w:tc>
                <w:tcPr>
                  <w:tcW w:w="395" w:type="dxa"/>
                  <w:shd w:val="clear" w:color="auto" w:fill="auto"/>
                  <w:vAlign w:val="center"/>
                </w:tcPr>
                <w:p w14:paraId="448DD454">
                  <w:pPr>
                    <w:widowControl/>
                    <w:adjustRightInd w:val="0"/>
                    <w:snapToGrid w:val="0"/>
                    <w:spacing w:line="320" w:lineRule="exact"/>
                    <w:jc w:val="center"/>
                    <w:rPr>
                      <w:sz w:val="20"/>
                      <w:szCs w:val="20"/>
                    </w:rPr>
                  </w:pPr>
                  <w:r>
                    <w:rPr>
                      <w:sz w:val="20"/>
                      <w:szCs w:val="20"/>
                    </w:rPr>
                    <w:t>1</w:t>
                  </w:r>
                </w:p>
              </w:tc>
            </w:tr>
            <w:tr w14:paraId="642F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7072A63C">
                  <w:pPr>
                    <w:widowControl/>
                    <w:adjustRightInd w:val="0"/>
                    <w:snapToGrid w:val="0"/>
                    <w:spacing w:line="320" w:lineRule="exact"/>
                    <w:jc w:val="center"/>
                    <w:rPr>
                      <w:sz w:val="20"/>
                      <w:szCs w:val="20"/>
                    </w:rPr>
                  </w:pPr>
                </w:p>
              </w:tc>
              <w:tc>
                <w:tcPr>
                  <w:tcW w:w="394" w:type="dxa"/>
                  <w:vMerge w:val="continue"/>
                  <w:shd w:val="clear" w:color="auto" w:fill="auto"/>
                  <w:vAlign w:val="center"/>
                </w:tcPr>
                <w:p w14:paraId="79603DAF">
                  <w:pPr>
                    <w:widowControl/>
                    <w:adjustRightInd w:val="0"/>
                    <w:snapToGrid w:val="0"/>
                    <w:spacing w:line="320" w:lineRule="exact"/>
                    <w:jc w:val="center"/>
                    <w:rPr>
                      <w:sz w:val="20"/>
                      <w:szCs w:val="20"/>
                    </w:rPr>
                  </w:pPr>
                </w:p>
              </w:tc>
              <w:tc>
                <w:tcPr>
                  <w:tcW w:w="394" w:type="dxa"/>
                  <w:vMerge w:val="continue"/>
                  <w:shd w:val="clear" w:color="auto" w:fill="auto"/>
                  <w:vAlign w:val="center"/>
                </w:tcPr>
                <w:p w14:paraId="7C2B665F">
                  <w:pPr>
                    <w:widowControl/>
                    <w:adjustRightInd w:val="0"/>
                    <w:snapToGrid w:val="0"/>
                    <w:spacing w:line="320" w:lineRule="exact"/>
                    <w:jc w:val="center"/>
                    <w:rPr>
                      <w:sz w:val="20"/>
                      <w:szCs w:val="20"/>
                    </w:rPr>
                  </w:pPr>
                </w:p>
              </w:tc>
              <w:tc>
                <w:tcPr>
                  <w:tcW w:w="394" w:type="dxa"/>
                  <w:vMerge w:val="continue"/>
                  <w:shd w:val="clear" w:color="auto" w:fill="auto"/>
                  <w:vAlign w:val="center"/>
                </w:tcPr>
                <w:p w14:paraId="280337D5">
                  <w:pPr>
                    <w:widowControl/>
                    <w:adjustRightInd w:val="0"/>
                    <w:snapToGrid w:val="0"/>
                    <w:spacing w:line="320" w:lineRule="exact"/>
                    <w:jc w:val="center"/>
                    <w:rPr>
                      <w:sz w:val="20"/>
                      <w:szCs w:val="20"/>
                    </w:rPr>
                  </w:pPr>
                </w:p>
              </w:tc>
              <w:tc>
                <w:tcPr>
                  <w:tcW w:w="699" w:type="dxa"/>
                  <w:vMerge w:val="continue"/>
                  <w:shd w:val="clear" w:color="auto" w:fill="auto"/>
                  <w:vAlign w:val="center"/>
                </w:tcPr>
                <w:p w14:paraId="1E81C0D2">
                  <w:pPr>
                    <w:widowControl/>
                    <w:adjustRightInd w:val="0"/>
                    <w:snapToGrid w:val="0"/>
                    <w:spacing w:line="320" w:lineRule="exact"/>
                    <w:jc w:val="center"/>
                    <w:rPr>
                      <w:sz w:val="20"/>
                      <w:szCs w:val="20"/>
                    </w:rPr>
                  </w:pPr>
                </w:p>
              </w:tc>
              <w:tc>
                <w:tcPr>
                  <w:tcW w:w="570" w:type="dxa"/>
                  <w:vMerge w:val="continue"/>
                  <w:shd w:val="clear" w:color="auto" w:fill="auto"/>
                  <w:vAlign w:val="center"/>
                </w:tcPr>
                <w:p w14:paraId="72CEF4FA">
                  <w:pPr>
                    <w:widowControl/>
                    <w:adjustRightInd w:val="0"/>
                    <w:snapToGrid w:val="0"/>
                    <w:spacing w:line="320" w:lineRule="exact"/>
                    <w:jc w:val="center"/>
                    <w:rPr>
                      <w:sz w:val="20"/>
                      <w:szCs w:val="20"/>
                    </w:rPr>
                  </w:pPr>
                </w:p>
              </w:tc>
              <w:tc>
                <w:tcPr>
                  <w:tcW w:w="614" w:type="dxa"/>
                  <w:shd w:val="clear" w:color="auto" w:fill="FFFFFF"/>
                  <w:vAlign w:val="center"/>
                </w:tcPr>
                <w:p w14:paraId="08991FF9">
                  <w:pPr>
                    <w:widowControl/>
                    <w:adjustRightInd w:val="0"/>
                    <w:snapToGrid w:val="0"/>
                    <w:spacing w:line="320" w:lineRule="exact"/>
                    <w:jc w:val="center"/>
                    <w:rPr>
                      <w:sz w:val="20"/>
                      <w:szCs w:val="20"/>
                    </w:rPr>
                  </w:pPr>
                  <w:r>
                    <w:rPr>
                      <w:sz w:val="20"/>
                      <w:szCs w:val="20"/>
                    </w:rPr>
                    <w:t>16</w:t>
                  </w:r>
                </w:p>
              </w:tc>
              <w:tc>
                <w:tcPr>
                  <w:tcW w:w="585" w:type="dxa"/>
                  <w:shd w:val="clear" w:color="auto" w:fill="FFFFFF"/>
                  <w:vAlign w:val="center"/>
                </w:tcPr>
                <w:p w14:paraId="756C3E63">
                  <w:pPr>
                    <w:widowControl/>
                    <w:adjustRightInd w:val="0"/>
                    <w:snapToGrid w:val="0"/>
                    <w:spacing w:line="320" w:lineRule="exact"/>
                    <w:jc w:val="center"/>
                    <w:rPr>
                      <w:sz w:val="20"/>
                      <w:szCs w:val="20"/>
                    </w:rPr>
                  </w:pPr>
                  <w:r>
                    <w:rPr>
                      <w:sz w:val="20"/>
                      <w:szCs w:val="20"/>
                    </w:rPr>
                    <w:t>-5.33</w:t>
                  </w:r>
                </w:p>
              </w:tc>
              <w:tc>
                <w:tcPr>
                  <w:tcW w:w="437" w:type="dxa"/>
                  <w:shd w:val="clear" w:color="auto" w:fill="FFFFFF"/>
                  <w:vAlign w:val="center"/>
                </w:tcPr>
                <w:p w14:paraId="54A25F3D">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742C89FD">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6BB69F27">
                  <w:pPr>
                    <w:widowControl/>
                    <w:adjustRightInd w:val="0"/>
                    <w:snapToGrid w:val="0"/>
                    <w:spacing w:line="320" w:lineRule="exact"/>
                    <w:jc w:val="center"/>
                    <w:rPr>
                      <w:sz w:val="20"/>
                      <w:szCs w:val="20"/>
                    </w:rPr>
                  </w:pPr>
                  <w:r>
                    <w:rPr>
                      <w:sz w:val="20"/>
                      <w:szCs w:val="20"/>
                    </w:rPr>
                    <w:t>1</w:t>
                  </w:r>
                  <w:r>
                    <w:rPr>
                      <w:rFonts w:hint="eastAsia"/>
                      <w:sz w:val="20"/>
                      <w:szCs w:val="20"/>
                    </w:rPr>
                    <w:t>4</w:t>
                  </w:r>
                </w:p>
              </w:tc>
              <w:tc>
                <w:tcPr>
                  <w:tcW w:w="699" w:type="dxa"/>
                  <w:shd w:val="clear" w:color="auto" w:fill="auto"/>
                  <w:vAlign w:val="center"/>
                </w:tcPr>
                <w:p w14:paraId="580478E7">
                  <w:pPr>
                    <w:widowControl/>
                    <w:adjustRightInd w:val="0"/>
                    <w:snapToGrid w:val="0"/>
                    <w:spacing w:line="320" w:lineRule="exact"/>
                    <w:jc w:val="center"/>
                    <w:rPr>
                      <w:sz w:val="20"/>
                      <w:szCs w:val="20"/>
                    </w:rPr>
                  </w:pPr>
                  <w:r>
                    <w:rPr>
                      <w:rFonts w:hint="eastAsia"/>
                      <w:sz w:val="20"/>
                      <w:szCs w:val="20"/>
                    </w:rPr>
                    <w:t xml:space="preserve">73.84 </w:t>
                  </w:r>
                </w:p>
              </w:tc>
              <w:tc>
                <w:tcPr>
                  <w:tcW w:w="670" w:type="dxa"/>
                  <w:vMerge w:val="continue"/>
                  <w:shd w:val="clear" w:color="auto" w:fill="auto"/>
                  <w:vAlign w:val="center"/>
                </w:tcPr>
                <w:p w14:paraId="3E9F18C0">
                  <w:pPr>
                    <w:widowControl/>
                    <w:adjustRightInd w:val="0"/>
                    <w:snapToGrid w:val="0"/>
                    <w:spacing w:line="320" w:lineRule="exact"/>
                    <w:jc w:val="center"/>
                    <w:rPr>
                      <w:sz w:val="20"/>
                      <w:szCs w:val="20"/>
                    </w:rPr>
                  </w:pPr>
                </w:p>
              </w:tc>
              <w:tc>
                <w:tcPr>
                  <w:tcW w:w="700" w:type="dxa"/>
                  <w:shd w:val="clear" w:color="auto" w:fill="auto"/>
                  <w:vAlign w:val="center"/>
                </w:tcPr>
                <w:p w14:paraId="788547A0">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2C19C913">
                  <w:pPr>
                    <w:widowControl/>
                    <w:adjustRightInd w:val="0"/>
                    <w:snapToGrid w:val="0"/>
                    <w:spacing w:line="320" w:lineRule="exact"/>
                    <w:jc w:val="center"/>
                    <w:rPr>
                      <w:sz w:val="20"/>
                      <w:szCs w:val="20"/>
                    </w:rPr>
                  </w:pPr>
                  <w:r>
                    <w:rPr>
                      <w:sz w:val="20"/>
                      <w:szCs w:val="20"/>
                    </w:rPr>
                    <w:t xml:space="preserve">47.84 </w:t>
                  </w:r>
                </w:p>
              </w:tc>
              <w:tc>
                <w:tcPr>
                  <w:tcW w:w="395" w:type="dxa"/>
                  <w:shd w:val="clear" w:color="auto" w:fill="auto"/>
                  <w:vAlign w:val="center"/>
                </w:tcPr>
                <w:p w14:paraId="7443B2CB">
                  <w:pPr>
                    <w:widowControl/>
                    <w:adjustRightInd w:val="0"/>
                    <w:snapToGrid w:val="0"/>
                    <w:spacing w:line="320" w:lineRule="exact"/>
                    <w:jc w:val="center"/>
                    <w:rPr>
                      <w:sz w:val="20"/>
                      <w:szCs w:val="20"/>
                    </w:rPr>
                  </w:pPr>
                  <w:r>
                    <w:rPr>
                      <w:sz w:val="20"/>
                      <w:szCs w:val="20"/>
                    </w:rPr>
                    <w:t>1</w:t>
                  </w:r>
                </w:p>
              </w:tc>
            </w:tr>
            <w:tr w14:paraId="3035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7C41CA44">
                  <w:pPr>
                    <w:widowControl/>
                    <w:adjustRightInd w:val="0"/>
                    <w:snapToGrid w:val="0"/>
                    <w:spacing w:line="320" w:lineRule="exact"/>
                    <w:jc w:val="center"/>
                    <w:rPr>
                      <w:sz w:val="20"/>
                      <w:szCs w:val="20"/>
                    </w:rPr>
                  </w:pPr>
                  <w:r>
                    <w:rPr>
                      <w:sz w:val="20"/>
                      <w:szCs w:val="20"/>
                    </w:rPr>
                    <w:t xml:space="preserve">5 </w:t>
                  </w:r>
                </w:p>
              </w:tc>
              <w:tc>
                <w:tcPr>
                  <w:tcW w:w="394" w:type="dxa"/>
                  <w:vMerge w:val="continue"/>
                  <w:shd w:val="clear" w:color="auto" w:fill="auto"/>
                  <w:vAlign w:val="center"/>
                </w:tcPr>
                <w:p w14:paraId="02F994EF">
                  <w:pPr>
                    <w:widowControl/>
                    <w:adjustRightInd w:val="0"/>
                    <w:snapToGrid w:val="0"/>
                    <w:spacing w:line="320" w:lineRule="exact"/>
                    <w:jc w:val="center"/>
                    <w:rPr>
                      <w:sz w:val="20"/>
                      <w:szCs w:val="20"/>
                    </w:rPr>
                  </w:pPr>
                </w:p>
              </w:tc>
              <w:tc>
                <w:tcPr>
                  <w:tcW w:w="394" w:type="dxa"/>
                  <w:vMerge w:val="restart"/>
                  <w:shd w:val="clear" w:color="auto" w:fill="auto"/>
                  <w:vAlign w:val="center"/>
                </w:tcPr>
                <w:p w14:paraId="3BD33C9D">
                  <w:pPr>
                    <w:widowControl/>
                    <w:adjustRightInd w:val="0"/>
                    <w:snapToGrid w:val="0"/>
                    <w:spacing w:line="320" w:lineRule="exact"/>
                    <w:jc w:val="center"/>
                    <w:rPr>
                      <w:sz w:val="20"/>
                      <w:szCs w:val="20"/>
                    </w:rPr>
                  </w:pPr>
                  <w:r>
                    <w:rPr>
                      <w:rFonts w:hint="eastAsia"/>
                      <w:sz w:val="20"/>
                      <w:szCs w:val="20"/>
                    </w:rPr>
                    <w:t>风机2</w:t>
                  </w:r>
                </w:p>
              </w:tc>
              <w:tc>
                <w:tcPr>
                  <w:tcW w:w="394" w:type="dxa"/>
                  <w:vMerge w:val="restart"/>
                  <w:shd w:val="clear" w:color="auto" w:fill="auto"/>
                  <w:vAlign w:val="center"/>
                </w:tcPr>
                <w:p w14:paraId="31C917D3">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0AA3BA65">
                  <w:pPr>
                    <w:widowControl/>
                    <w:adjustRightInd w:val="0"/>
                    <w:snapToGrid w:val="0"/>
                    <w:spacing w:line="320" w:lineRule="exact"/>
                    <w:jc w:val="center"/>
                    <w:rPr>
                      <w:sz w:val="20"/>
                      <w:szCs w:val="20"/>
                    </w:rPr>
                  </w:pPr>
                  <w:r>
                    <w:rPr>
                      <w:sz w:val="20"/>
                      <w:szCs w:val="20"/>
                    </w:rPr>
                    <w:t>85</w:t>
                  </w:r>
                </w:p>
              </w:tc>
              <w:tc>
                <w:tcPr>
                  <w:tcW w:w="570" w:type="dxa"/>
                  <w:vMerge w:val="continue"/>
                  <w:shd w:val="clear" w:color="auto" w:fill="auto"/>
                  <w:vAlign w:val="center"/>
                </w:tcPr>
                <w:p w14:paraId="463265C5">
                  <w:pPr>
                    <w:widowControl/>
                    <w:adjustRightInd w:val="0"/>
                    <w:snapToGrid w:val="0"/>
                    <w:spacing w:line="320" w:lineRule="exact"/>
                    <w:jc w:val="center"/>
                    <w:rPr>
                      <w:sz w:val="20"/>
                      <w:szCs w:val="20"/>
                    </w:rPr>
                  </w:pPr>
                </w:p>
              </w:tc>
              <w:tc>
                <w:tcPr>
                  <w:tcW w:w="614" w:type="dxa"/>
                  <w:shd w:val="clear" w:color="auto" w:fill="FFFFFF"/>
                  <w:vAlign w:val="center"/>
                </w:tcPr>
                <w:p w14:paraId="16770F6F">
                  <w:pPr>
                    <w:widowControl/>
                    <w:adjustRightInd w:val="0"/>
                    <w:snapToGrid w:val="0"/>
                    <w:spacing w:line="320" w:lineRule="exact"/>
                    <w:jc w:val="center"/>
                    <w:rPr>
                      <w:sz w:val="20"/>
                      <w:szCs w:val="20"/>
                    </w:rPr>
                  </w:pPr>
                  <w:r>
                    <w:rPr>
                      <w:sz w:val="20"/>
                      <w:szCs w:val="20"/>
                    </w:rPr>
                    <w:t>23.36</w:t>
                  </w:r>
                </w:p>
              </w:tc>
              <w:tc>
                <w:tcPr>
                  <w:tcW w:w="585" w:type="dxa"/>
                  <w:shd w:val="clear" w:color="auto" w:fill="FFFFFF"/>
                  <w:vAlign w:val="center"/>
                </w:tcPr>
                <w:p w14:paraId="7097D922">
                  <w:pPr>
                    <w:widowControl/>
                    <w:adjustRightInd w:val="0"/>
                    <w:snapToGrid w:val="0"/>
                    <w:spacing w:line="320" w:lineRule="exact"/>
                    <w:jc w:val="center"/>
                    <w:rPr>
                      <w:sz w:val="20"/>
                      <w:szCs w:val="20"/>
                    </w:rPr>
                  </w:pPr>
                  <w:r>
                    <w:rPr>
                      <w:sz w:val="20"/>
                      <w:szCs w:val="20"/>
                    </w:rPr>
                    <w:t>-8.63</w:t>
                  </w:r>
                </w:p>
              </w:tc>
              <w:tc>
                <w:tcPr>
                  <w:tcW w:w="437" w:type="dxa"/>
                  <w:shd w:val="clear" w:color="auto" w:fill="FFFFFF"/>
                  <w:vAlign w:val="center"/>
                </w:tcPr>
                <w:p w14:paraId="0C71D5F4">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0629BB00">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09F79BD0">
                  <w:pPr>
                    <w:widowControl/>
                    <w:adjustRightInd w:val="0"/>
                    <w:snapToGrid w:val="0"/>
                    <w:spacing w:line="320" w:lineRule="exact"/>
                    <w:jc w:val="center"/>
                    <w:rPr>
                      <w:sz w:val="20"/>
                      <w:szCs w:val="20"/>
                    </w:rPr>
                  </w:pPr>
                  <w:r>
                    <w:rPr>
                      <w:sz w:val="20"/>
                      <w:szCs w:val="20"/>
                    </w:rPr>
                    <w:t>1</w:t>
                  </w:r>
                </w:p>
              </w:tc>
              <w:tc>
                <w:tcPr>
                  <w:tcW w:w="699" w:type="dxa"/>
                  <w:shd w:val="clear" w:color="auto" w:fill="auto"/>
                  <w:vAlign w:val="center"/>
                </w:tcPr>
                <w:p w14:paraId="7B211F80">
                  <w:pPr>
                    <w:widowControl/>
                    <w:adjustRightInd w:val="0"/>
                    <w:snapToGrid w:val="0"/>
                    <w:spacing w:line="320" w:lineRule="exact"/>
                    <w:jc w:val="center"/>
                    <w:rPr>
                      <w:sz w:val="20"/>
                      <w:szCs w:val="20"/>
                    </w:rPr>
                  </w:pPr>
                  <w:r>
                    <w:rPr>
                      <w:rFonts w:hint="eastAsia"/>
                      <w:sz w:val="20"/>
                      <w:szCs w:val="20"/>
                    </w:rPr>
                    <w:t xml:space="preserve">76.91 </w:t>
                  </w:r>
                </w:p>
              </w:tc>
              <w:tc>
                <w:tcPr>
                  <w:tcW w:w="670" w:type="dxa"/>
                  <w:vMerge w:val="continue"/>
                  <w:shd w:val="clear" w:color="auto" w:fill="auto"/>
                  <w:vAlign w:val="center"/>
                </w:tcPr>
                <w:p w14:paraId="40C26065">
                  <w:pPr>
                    <w:widowControl/>
                    <w:adjustRightInd w:val="0"/>
                    <w:snapToGrid w:val="0"/>
                    <w:spacing w:line="320" w:lineRule="exact"/>
                    <w:jc w:val="center"/>
                    <w:rPr>
                      <w:sz w:val="20"/>
                      <w:szCs w:val="20"/>
                    </w:rPr>
                  </w:pPr>
                </w:p>
              </w:tc>
              <w:tc>
                <w:tcPr>
                  <w:tcW w:w="700" w:type="dxa"/>
                  <w:shd w:val="clear" w:color="auto" w:fill="auto"/>
                  <w:vAlign w:val="center"/>
                </w:tcPr>
                <w:p w14:paraId="7BF8D5EF">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14342A76">
                  <w:pPr>
                    <w:widowControl/>
                    <w:adjustRightInd w:val="0"/>
                    <w:snapToGrid w:val="0"/>
                    <w:spacing w:line="320" w:lineRule="exact"/>
                    <w:jc w:val="center"/>
                    <w:rPr>
                      <w:sz w:val="20"/>
                      <w:szCs w:val="20"/>
                    </w:rPr>
                  </w:pPr>
                  <w:r>
                    <w:rPr>
                      <w:sz w:val="20"/>
                      <w:szCs w:val="20"/>
                    </w:rPr>
                    <w:t xml:space="preserve">47.91 </w:t>
                  </w:r>
                </w:p>
              </w:tc>
              <w:tc>
                <w:tcPr>
                  <w:tcW w:w="395" w:type="dxa"/>
                  <w:shd w:val="clear" w:color="auto" w:fill="auto"/>
                  <w:vAlign w:val="center"/>
                </w:tcPr>
                <w:p w14:paraId="304DB56E">
                  <w:pPr>
                    <w:widowControl/>
                    <w:adjustRightInd w:val="0"/>
                    <w:snapToGrid w:val="0"/>
                    <w:spacing w:line="320" w:lineRule="exact"/>
                    <w:jc w:val="center"/>
                    <w:rPr>
                      <w:sz w:val="20"/>
                      <w:szCs w:val="20"/>
                    </w:rPr>
                  </w:pPr>
                  <w:r>
                    <w:rPr>
                      <w:sz w:val="20"/>
                      <w:szCs w:val="20"/>
                    </w:rPr>
                    <w:t>1</w:t>
                  </w:r>
                </w:p>
              </w:tc>
            </w:tr>
            <w:tr w14:paraId="7754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217DDD0A">
                  <w:pPr>
                    <w:widowControl/>
                    <w:adjustRightInd w:val="0"/>
                    <w:snapToGrid w:val="0"/>
                    <w:spacing w:line="320" w:lineRule="exact"/>
                    <w:jc w:val="center"/>
                    <w:rPr>
                      <w:sz w:val="20"/>
                      <w:szCs w:val="20"/>
                    </w:rPr>
                  </w:pPr>
                </w:p>
              </w:tc>
              <w:tc>
                <w:tcPr>
                  <w:tcW w:w="394" w:type="dxa"/>
                  <w:vMerge w:val="continue"/>
                  <w:shd w:val="clear" w:color="auto" w:fill="auto"/>
                  <w:vAlign w:val="center"/>
                </w:tcPr>
                <w:p w14:paraId="74959F8C">
                  <w:pPr>
                    <w:widowControl/>
                    <w:adjustRightInd w:val="0"/>
                    <w:snapToGrid w:val="0"/>
                    <w:spacing w:line="320" w:lineRule="exact"/>
                    <w:jc w:val="center"/>
                    <w:rPr>
                      <w:sz w:val="20"/>
                      <w:szCs w:val="20"/>
                    </w:rPr>
                  </w:pPr>
                </w:p>
              </w:tc>
              <w:tc>
                <w:tcPr>
                  <w:tcW w:w="394" w:type="dxa"/>
                  <w:vMerge w:val="continue"/>
                  <w:shd w:val="clear" w:color="auto" w:fill="auto"/>
                  <w:vAlign w:val="center"/>
                </w:tcPr>
                <w:p w14:paraId="2B16B2AD">
                  <w:pPr>
                    <w:widowControl/>
                    <w:adjustRightInd w:val="0"/>
                    <w:snapToGrid w:val="0"/>
                    <w:spacing w:line="320" w:lineRule="exact"/>
                    <w:jc w:val="center"/>
                    <w:rPr>
                      <w:sz w:val="20"/>
                      <w:szCs w:val="20"/>
                    </w:rPr>
                  </w:pPr>
                </w:p>
              </w:tc>
              <w:tc>
                <w:tcPr>
                  <w:tcW w:w="394" w:type="dxa"/>
                  <w:vMerge w:val="continue"/>
                  <w:shd w:val="clear" w:color="auto" w:fill="auto"/>
                  <w:vAlign w:val="center"/>
                </w:tcPr>
                <w:p w14:paraId="20D15138">
                  <w:pPr>
                    <w:widowControl/>
                    <w:adjustRightInd w:val="0"/>
                    <w:snapToGrid w:val="0"/>
                    <w:spacing w:line="320" w:lineRule="exact"/>
                    <w:jc w:val="center"/>
                    <w:rPr>
                      <w:sz w:val="20"/>
                      <w:szCs w:val="20"/>
                    </w:rPr>
                  </w:pPr>
                </w:p>
              </w:tc>
              <w:tc>
                <w:tcPr>
                  <w:tcW w:w="699" w:type="dxa"/>
                  <w:vMerge w:val="continue"/>
                  <w:shd w:val="clear" w:color="auto" w:fill="auto"/>
                  <w:vAlign w:val="center"/>
                </w:tcPr>
                <w:p w14:paraId="192597EE">
                  <w:pPr>
                    <w:widowControl/>
                    <w:adjustRightInd w:val="0"/>
                    <w:snapToGrid w:val="0"/>
                    <w:spacing w:line="320" w:lineRule="exact"/>
                    <w:jc w:val="center"/>
                    <w:rPr>
                      <w:sz w:val="20"/>
                      <w:szCs w:val="20"/>
                    </w:rPr>
                  </w:pPr>
                </w:p>
              </w:tc>
              <w:tc>
                <w:tcPr>
                  <w:tcW w:w="570" w:type="dxa"/>
                  <w:vMerge w:val="continue"/>
                  <w:shd w:val="clear" w:color="auto" w:fill="auto"/>
                  <w:vAlign w:val="center"/>
                </w:tcPr>
                <w:p w14:paraId="52423CFB">
                  <w:pPr>
                    <w:widowControl/>
                    <w:adjustRightInd w:val="0"/>
                    <w:snapToGrid w:val="0"/>
                    <w:spacing w:line="320" w:lineRule="exact"/>
                    <w:jc w:val="center"/>
                    <w:rPr>
                      <w:sz w:val="20"/>
                      <w:szCs w:val="20"/>
                    </w:rPr>
                  </w:pPr>
                </w:p>
              </w:tc>
              <w:tc>
                <w:tcPr>
                  <w:tcW w:w="614" w:type="dxa"/>
                  <w:shd w:val="clear" w:color="auto" w:fill="FFFFFF"/>
                  <w:vAlign w:val="center"/>
                </w:tcPr>
                <w:p w14:paraId="522A59E0">
                  <w:pPr>
                    <w:widowControl/>
                    <w:adjustRightInd w:val="0"/>
                    <w:snapToGrid w:val="0"/>
                    <w:spacing w:line="320" w:lineRule="exact"/>
                    <w:jc w:val="center"/>
                    <w:rPr>
                      <w:sz w:val="20"/>
                      <w:szCs w:val="20"/>
                    </w:rPr>
                  </w:pPr>
                  <w:r>
                    <w:rPr>
                      <w:sz w:val="20"/>
                      <w:szCs w:val="20"/>
                    </w:rPr>
                    <w:t>26.98</w:t>
                  </w:r>
                </w:p>
              </w:tc>
              <w:tc>
                <w:tcPr>
                  <w:tcW w:w="585" w:type="dxa"/>
                  <w:shd w:val="clear" w:color="auto" w:fill="FFFFFF"/>
                  <w:vAlign w:val="center"/>
                </w:tcPr>
                <w:p w14:paraId="3DC6C768">
                  <w:pPr>
                    <w:widowControl/>
                    <w:adjustRightInd w:val="0"/>
                    <w:snapToGrid w:val="0"/>
                    <w:spacing w:line="320" w:lineRule="exact"/>
                    <w:jc w:val="center"/>
                    <w:rPr>
                      <w:sz w:val="20"/>
                      <w:szCs w:val="20"/>
                    </w:rPr>
                  </w:pPr>
                  <w:r>
                    <w:rPr>
                      <w:sz w:val="20"/>
                      <w:szCs w:val="20"/>
                    </w:rPr>
                    <w:t>-4.24</w:t>
                  </w:r>
                </w:p>
              </w:tc>
              <w:tc>
                <w:tcPr>
                  <w:tcW w:w="437" w:type="dxa"/>
                  <w:shd w:val="clear" w:color="auto" w:fill="FFFFFF"/>
                  <w:vAlign w:val="center"/>
                </w:tcPr>
                <w:p w14:paraId="0DDCC33E">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693AC88F">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0F2D0825">
                  <w:pPr>
                    <w:widowControl/>
                    <w:adjustRightInd w:val="0"/>
                    <w:snapToGrid w:val="0"/>
                    <w:spacing w:line="320" w:lineRule="exact"/>
                    <w:jc w:val="center"/>
                    <w:rPr>
                      <w:sz w:val="20"/>
                      <w:szCs w:val="20"/>
                    </w:rPr>
                  </w:pPr>
                  <w:r>
                    <w:rPr>
                      <w:rFonts w:hint="eastAsia"/>
                      <w:sz w:val="20"/>
                      <w:szCs w:val="20"/>
                    </w:rPr>
                    <w:t>8</w:t>
                  </w:r>
                </w:p>
              </w:tc>
              <w:tc>
                <w:tcPr>
                  <w:tcW w:w="699" w:type="dxa"/>
                  <w:shd w:val="clear" w:color="auto" w:fill="auto"/>
                  <w:vAlign w:val="center"/>
                </w:tcPr>
                <w:p w14:paraId="4D9E2006">
                  <w:pPr>
                    <w:widowControl/>
                    <w:adjustRightInd w:val="0"/>
                    <w:snapToGrid w:val="0"/>
                    <w:spacing w:line="320" w:lineRule="exact"/>
                    <w:jc w:val="center"/>
                    <w:rPr>
                      <w:sz w:val="20"/>
                      <w:szCs w:val="20"/>
                    </w:rPr>
                  </w:pPr>
                  <w:r>
                    <w:rPr>
                      <w:rFonts w:hint="eastAsia"/>
                      <w:sz w:val="20"/>
                      <w:szCs w:val="20"/>
                    </w:rPr>
                    <w:t xml:space="preserve">73.86 </w:t>
                  </w:r>
                </w:p>
              </w:tc>
              <w:tc>
                <w:tcPr>
                  <w:tcW w:w="670" w:type="dxa"/>
                  <w:vMerge w:val="continue"/>
                  <w:shd w:val="clear" w:color="auto" w:fill="auto"/>
                  <w:vAlign w:val="center"/>
                </w:tcPr>
                <w:p w14:paraId="463F62F1">
                  <w:pPr>
                    <w:widowControl/>
                    <w:adjustRightInd w:val="0"/>
                    <w:snapToGrid w:val="0"/>
                    <w:spacing w:line="320" w:lineRule="exact"/>
                    <w:jc w:val="center"/>
                    <w:rPr>
                      <w:sz w:val="20"/>
                      <w:szCs w:val="20"/>
                    </w:rPr>
                  </w:pPr>
                </w:p>
              </w:tc>
              <w:tc>
                <w:tcPr>
                  <w:tcW w:w="700" w:type="dxa"/>
                  <w:shd w:val="clear" w:color="auto" w:fill="auto"/>
                  <w:vAlign w:val="center"/>
                </w:tcPr>
                <w:p w14:paraId="08C38C73">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50EFC389">
                  <w:pPr>
                    <w:widowControl/>
                    <w:adjustRightInd w:val="0"/>
                    <w:snapToGrid w:val="0"/>
                    <w:spacing w:line="320" w:lineRule="exact"/>
                    <w:jc w:val="center"/>
                    <w:rPr>
                      <w:sz w:val="20"/>
                      <w:szCs w:val="20"/>
                    </w:rPr>
                  </w:pPr>
                  <w:r>
                    <w:rPr>
                      <w:sz w:val="20"/>
                      <w:szCs w:val="20"/>
                    </w:rPr>
                    <w:t xml:space="preserve">47.86 </w:t>
                  </w:r>
                </w:p>
              </w:tc>
              <w:tc>
                <w:tcPr>
                  <w:tcW w:w="395" w:type="dxa"/>
                  <w:shd w:val="clear" w:color="auto" w:fill="auto"/>
                  <w:vAlign w:val="center"/>
                </w:tcPr>
                <w:p w14:paraId="192D3B9C">
                  <w:pPr>
                    <w:widowControl/>
                    <w:adjustRightInd w:val="0"/>
                    <w:snapToGrid w:val="0"/>
                    <w:spacing w:line="320" w:lineRule="exact"/>
                    <w:jc w:val="center"/>
                    <w:rPr>
                      <w:sz w:val="20"/>
                      <w:szCs w:val="20"/>
                    </w:rPr>
                  </w:pPr>
                  <w:r>
                    <w:rPr>
                      <w:sz w:val="20"/>
                      <w:szCs w:val="20"/>
                    </w:rPr>
                    <w:t>1</w:t>
                  </w:r>
                </w:p>
              </w:tc>
            </w:tr>
            <w:tr w14:paraId="4896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0085B6FD">
                  <w:pPr>
                    <w:widowControl/>
                    <w:adjustRightInd w:val="0"/>
                    <w:snapToGrid w:val="0"/>
                    <w:spacing w:line="320" w:lineRule="exact"/>
                    <w:jc w:val="center"/>
                    <w:rPr>
                      <w:sz w:val="20"/>
                      <w:szCs w:val="20"/>
                    </w:rPr>
                  </w:pPr>
                </w:p>
              </w:tc>
              <w:tc>
                <w:tcPr>
                  <w:tcW w:w="394" w:type="dxa"/>
                  <w:vMerge w:val="continue"/>
                  <w:shd w:val="clear" w:color="auto" w:fill="auto"/>
                  <w:vAlign w:val="center"/>
                </w:tcPr>
                <w:p w14:paraId="24C9BED6">
                  <w:pPr>
                    <w:widowControl/>
                    <w:adjustRightInd w:val="0"/>
                    <w:snapToGrid w:val="0"/>
                    <w:spacing w:line="320" w:lineRule="exact"/>
                    <w:jc w:val="center"/>
                    <w:rPr>
                      <w:sz w:val="20"/>
                      <w:szCs w:val="20"/>
                    </w:rPr>
                  </w:pPr>
                </w:p>
              </w:tc>
              <w:tc>
                <w:tcPr>
                  <w:tcW w:w="394" w:type="dxa"/>
                  <w:vMerge w:val="continue"/>
                  <w:shd w:val="clear" w:color="auto" w:fill="auto"/>
                  <w:vAlign w:val="center"/>
                </w:tcPr>
                <w:p w14:paraId="6AAAD0B0">
                  <w:pPr>
                    <w:widowControl/>
                    <w:adjustRightInd w:val="0"/>
                    <w:snapToGrid w:val="0"/>
                    <w:spacing w:line="320" w:lineRule="exact"/>
                    <w:jc w:val="center"/>
                    <w:rPr>
                      <w:sz w:val="20"/>
                      <w:szCs w:val="20"/>
                    </w:rPr>
                  </w:pPr>
                </w:p>
              </w:tc>
              <w:tc>
                <w:tcPr>
                  <w:tcW w:w="394" w:type="dxa"/>
                  <w:vMerge w:val="continue"/>
                  <w:shd w:val="clear" w:color="auto" w:fill="auto"/>
                  <w:vAlign w:val="center"/>
                </w:tcPr>
                <w:p w14:paraId="3614D714">
                  <w:pPr>
                    <w:widowControl/>
                    <w:adjustRightInd w:val="0"/>
                    <w:snapToGrid w:val="0"/>
                    <w:spacing w:line="320" w:lineRule="exact"/>
                    <w:jc w:val="center"/>
                    <w:rPr>
                      <w:sz w:val="20"/>
                      <w:szCs w:val="20"/>
                    </w:rPr>
                  </w:pPr>
                </w:p>
              </w:tc>
              <w:tc>
                <w:tcPr>
                  <w:tcW w:w="699" w:type="dxa"/>
                  <w:vMerge w:val="continue"/>
                  <w:shd w:val="clear" w:color="auto" w:fill="auto"/>
                  <w:vAlign w:val="center"/>
                </w:tcPr>
                <w:p w14:paraId="588BE20C">
                  <w:pPr>
                    <w:widowControl/>
                    <w:adjustRightInd w:val="0"/>
                    <w:snapToGrid w:val="0"/>
                    <w:spacing w:line="320" w:lineRule="exact"/>
                    <w:jc w:val="center"/>
                    <w:rPr>
                      <w:sz w:val="20"/>
                      <w:szCs w:val="20"/>
                    </w:rPr>
                  </w:pPr>
                </w:p>
              </w:tc>
              <w:tc>
                <w:tcPr>
                  <w:tcW w:w="570" w:type="dxa"/>
                  <w:vMerge w:val="continue"/>
                  <w:shd w:val="clear" w:color="auto" w:fill="auto"/>
                  <w:vAlign w:val="center"/>
                </w:tcPr>
                <w:p w14:paraId="096BC0A7">
                  <w:pPr>
                    <w:widowControl/>
                    <w:adjustRightInd w:val="0"/>
                    <w:snapToGrid w:val="0"/>
                    <w:spacing w:line="320" w:lineRule="exact"/>
                    <w:jc w:val="center"/>
                    <w:rPr>
                      <w:sz w:val="20"/>
                      <w:szCs w:val="20"/>
                    </w:rPr>
                  </w:pPr>
                </w:p>
              </w:tc>
              <w:tc>
                <w:tcPr>
                  <w:tcW w:w="614" w:type="dxa"/>
                  <w:shd w:val="clear" w:color="auto" w:fill="FFFFFF"/>
                  <w:vAlign w:val="center"/>
                </w:tcPr>
                <w:p w14:paraId="05CA756D">
                  <w:pPr>
                    <w:widowControl/>
                    <w:adjustRightInd w:val="0"/>
                    <w:snapToGrid w:val="0"/>
                    <w:spacing w:line="320" w:lineRule="exact"/>
                    <w:jc w:val="center"/>
                    <w:rPr>
                      <w:sz w:val="20"/>
                      <w:szCs w:val="20"/>
                    </w:rPr>
                  </w:pPr>
                  <w:r>
                    <w:rPr>
                      <w:sz w:val="20"/>
                      <w:szCs w:val="20"/>
                    </w:rPr>
                    <w:t>26.07</w:t>
                  </w:r>
                </w:p>
              </w:tc>
              <w:tc>
                <w:tcPr>
                  <w:tcW w:w="585" w:type="dxa"/>
                  <w:shd w:val="clear" w:color="auto" w:fill="FFFFFF"/>
                  <w:vAlign w:val="center"/>
                </w:tcPr>
                <w:p w14:paraId="43079743">
                  <w:pPr>
                    <w:widowControl/>
                    <w:adjustRightInd w:val="0"/>
                    <w:snapToGrid w:val="0"/>
                    <w:spacing w:line="320" w:lineRule="exact"/>
                    <w:jc w:val="center"/>
                    <w:rPr>
                      <w:sz w:val="20"/>
                      <w:szCs w:val="20"/>
                    </w:rPr>
                  </w:pPr>
                  <w:r>
                    <w:rPr>
                      <w:sz w:val="20"/>
                      <w:szCs w:val="20"/>
                    </w:rPr>
                    <w:t>-6.58</w:t>
                  </w:r>
                </w:p>
              </w:tc>
              <w:tc>
                <w:tcPr>
                  <w:tcW w:w="437" w:type="dxa"/>
                  <w:shd w:val="clear" w:color="auto" w:fill="FFFFFF"/>
                  <w:vAlign w:val="center"/>
                </w:tcPr>
                <w:p w14:paraId="1542B5D1">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3B45C98D">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7F51E9A8">
                  <w:pPr>
                    <w:widowControl/>
                    <w:adjustRightInd w:val="0"/>
                    <w:snapToGrid w:val="0"/>
                    <w:spacing w:line="320" w:lineRule="exact"/>
                    <w:jc w:val="center"/>
                    <w:rPr>
                      <w:sz w:val="20"/>
                      <w:szCs w:val="20"/>
                    </w:rPr>
                  </w:pPr>
                  <w:r>
                    <w:rPr>
                      <w:sz w:val="20"/>
                      <w:szCs w:val="20"/>
                    </w:rPr>
                    <w:t>2</w:t>
                  </w:r>
                  <w:r>
                    <w:rPr>
                      <w:rFonts w:hint="eastAsia"/>
                      <w:sz w:val="20"/>
                      <w:szCs w:val="20"/>
                    </w:rPr>
                    <w:t>6</w:t>
                  </w:r>
                </w:p>
              </w:tc>
              <w:tc>
                <w:tcPr>
                  <w:tcW w:w="699" w:type="dxa"/>
                  <w:shd w:val="clear" w:color="auto" w:fill="auto"/>
                  <w:vAlign w:val="center"/>
                </w:tcPr>
                <w:p w14:paraId="047DBE28">
                  <w:pPr>
                    <w:widowControl/>
                    <w:adjustRightInd w:val="0"/>
                    <w:snapToGrid w:val="0"/>
                    <w:spacing w:line="320" w:lineRule="exact"/>
                    <w:jc w:val="center"/>
                    <w:rPr>
                      <w:sz w:val="20"/>
                      <w:szCs w:val="20"/>
                    </w:rPr>
                  </w:pPr>
                  <w:r>
                    <w:rPr>
                      <w:rFonts w:hint="eastAsia"/>
                      <w:sz w:val="20"/>
                      <w:szCs w:val="20"/>
                    </w:rPr>
                    <w:t xml:space="preserve">73.80 </w:t>
                  </w:r>
                </w:p>
              </w:tc>
              <w:tc>
                <w:tcPr>
                  <w:tcW w:w="670" w:type="dxa"/>
                  <w:vMerge w:val="continue"/>
                  <w:shd w:val="clear" w:color="auto" w:fill="auto"/>
                  <w:vAlign w:val="center"/>
                </w:tcPr>
                <w:p w14:paraId="66F4BC33">
                  <w:pPr>
                    <w:widowControl/>
                    <w:adjustRightInd w:val="0"/>
                    <w:snapToGrid w:val="0"/>
                    <w:spacing w:line="320" w:lineRule="exact"/>
                    <w:jc w:val="center"/>
                    <w:rPr>
                      <w:sz w:val="20"/>
                      <w:szCs w:val="20"/>
                    </w:rPr>
                  </w:pPr>
                </w:p>
              </w:tc>
              <w:tc>
                <w:tcPr>
                  <w:tcW w:w="700" w:type="dxa"/>
                  <w:shd w:val="clear" w:color="auto" w:fill="auto"/>
                  <w:vAlign w:val="center"/>
                </w:tcPr>
                <w:p w14:paraId="55E4EF28">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4AB7AA52">
                  <w:pPr>
                    <w:widowControl/>
                    <w:adjustRightInd w:val="0"/>
                    <w:snapToGrid w:val="0"/>
                    <w:spacing w:line="320" w:lineRule="exact"/>
                    <w:jc w:val="center"/>
                    <w:rPr>
                      <w:sz w:val="20"/>
                      <w:szCs w:val="20"/>
                    </w:rPr>
                  </w:pPr>
                  <w:r>
                    <w:rPr>
                      <w:sz w:val="20"/>
                      <w:szCs w:val="20"/>
                    </w:rPr>
                    <w:t xml:space="preserve">44.80 </w:t>
                  </w:r>
                </w:p>
              </w:tc>
              <w:tc>
                <w:tcPr>
                  <w:tcW w:w="395" w:type="dxa"/>
                  <w:shd w:val="clear" w:color="auto" w:fill="auto"/>
                  <w:vAlign w:val="center"/>
                </w:tcPr>
                <w:p w14:paraId="030DEF00">
                  <w:pPr>
                    <w:widowControl/>
                    <w:adjustRightInd w:val="0"/>
                    <w:snapToGrid w:val="0"/>
                    <w:spacing w:line="320" w:lineRule="exact"/>
                    <w:jc w:val="center"/>
                    <w:rPr>
                      <w:sz w:val="20"/>
                      <w:szCs w:val="20"/>
                    </w:rPr>
                  </w:pPr>
                  <w:r>
                    <w:rPr>
                      <w:sz w:val="20"/>
                      <w:szCs w:val="20"/>
                    </w:rPr>
                    <w:t>1</w:t>
                  </w:r>
                </w:p>
              </w:tc>
            </w:tr>
            <w:tr w14:paraId="5C9A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4EC6699E">
                  <w:pPr>
                    <w:widowControl/>
                    <w:adjustRightInd w:val="0"/>
                    <w:snapToGrid w:val="0"/>
                    <w:spacing w:line="320" w:lineRule="exact"/>
                    <w:jc w:val="center"/>
                    <w:rPr>
                      <w:sz w:val="20"/>
                      <w:szCs w:val="20"/>
                    </w:rPr>
                  </w:pPr>
                </w:p>
              </w:tc>
              <w:tc>
                <w:tcPr>
                  <w:tcW w:w="394" w:type="dxa"/>
                  <w:vMerge w:val="continue"/>
                  <w:shd w:val="clear" w:color="auto" w:fill="auto"/>
                  <w:vAlign w:val="center"/>
                </w:tcPr>
                <w:p w14:paraId="2CCEC018">
                  <w:pPr>
                    <w:widowControl/>
                    <w:adjustRightInd w:val="0"/>
                    <w:snapToGrid w:val="0"/>
                    <w:spacing w:line="320" w:lineRule="exact"/>
                    <w:jc w:val="center"/>
                    <w:rPr>
                      <w:sz w:val="20"/>
                      <w:szCs w:val="20"/>
                    </w:rPr>
                  </w:pPr>
                </w:p>
              </w:tc>
              <w:tc>
                <w:tcPr>
                  <w:tcW w:w="394" w:type="dxa"/>
                  <w:vMerge w:val="continue"/>
                  <w:shd w:val="clear" w:color="auto" w:fill="auto"/>
                  <w:vAlign w:val="center"/>
                </w:tcPr>
                <w:p w14:paraId="12AC2F90">
                  <w:pPr>
                    <w:widowControl/>
                    <w:adjustRightInd w:val="0"/>
                    <w:snapToGrid w:val="0"/>
                    <w:spacing w:line="320" w:lineRule="exact"/>
                    <w:jc w:val="center"/>
                    <w:rPr>
                      <w:sz w:val="20"/>
                      <w:szCs w:val="20"/>
                    </w:rPr>
                  </w:pPr>
                </w:p>
              </w:tc>
              <w:tc>
                <w:tcPr>
                  <w:tcW w:w="394" w:type="dxa"/>
                  <w:vMerge w:val="continue"/>
                  <w:shd w:val="clear" w:color="auto" w:fill="auto"/>
                  <w:vAlign w:val="center"/>
                </w:tcPr>
                <w:p w14:paraId="72A96ECB">
                  <w:pPr>
                    <w:widowControl/>
                    <w:adjustRightInd w:val="0"/>
                    <w:snapToGrid w:val="0"/>
                    <w:spacing w:line="320" w:lineRule="exact"/>
                    <w:jc w:val="center"/>
                    <w:rPr>
                      <w:sz w:val="20"/>
                      <w:szCs w:val="20"/>
                    </w:rPr>
                  </w:pPr>
                </w:p>
              </w:tc>
              <w:tc>
                <w:tcPr>
                  <w:tcW w:w="699" w:type="dxa"/>
                  <w:vMerge w:val="continue"/>
                  <w:shd w:val="clear" w:color="auto" w:fill="auto"/>
                  <w:vAlign w:val="center"/>
                </w:tcPr>
                <w:p w14:paraId="690C4686">
                  <w:pPr>
                    <w:widowControl/>
                    <w:adjustRightInd w:val="0"/>
                    <w:snapToGrid w:val="0"/>
                    <w:spacing w:line="320" w:lineRule="exact"/>
                    <w:jc w:val="center"/>
                    <w:rPr>
                      <w:sz w:val="20"/>
                      <w:szCs w:val="20"/>
                    </w:rPr>
                  </w:pPr>
                </w:p>
              </w:tc>
              <w:tc>
                <w:tcPr>
                  <w:tcW w:w="570" w:type="dxa"/>
                  <w:vMerge w:val="continue"/>
                  <w:shd w:val="clear" w:color="auto" w:fill="auto"/>
                  <w:vAlign w:val="center"/>
                </w:tcPr>
                <w:p w14:paraId="16FA685C">
                  <w:pPr>
                    <w:widowControl/>
                    <w:adjustRightInd w:val="0"/>
                    <w:snapToGrid w:val="0"/>
                    <w:spacing w:line="320" w:lineRule="exact"/>
                    <w:jc w:val="center"/>
                    <w:rPr>
                      <w:sz w:val="20"/>
                      <w:szCs w:val="20"/>
                    </w:rPr>
                  </w:pPr>
                </w:p>
              </w:tc>
              <w:tc>
                <w:tcPr>
                  <w:tcW w:w="614" w:type="dxa"/>
                  <w:shd w:val="clear" w:color="auto" w:fill="FFFFFF"/>
                  <w:vAlign w:val="center"/>
                </w:tcPr>
                <w:p w14:paraId="1F82578F">
                  <w:pPr>
                    <w:widowControl/>
                    <w:adjustRightInd w:val="0"/>
                    <w:snapToGrid w:val="0"/>
                    <w:spacing w:line="320" w:lineRule="exact"/>
                    <w:jc w:val="center"/>
                    <w:rPr>
                      <w:sz w:val="20"/>
                      <w:szCs w:val="20"/>
                    </w:rPr>
                  </w:pPr>
                  <w:r>
                    <w:rPr>
                      <w:sz w:val="20"/>
                      <w:szCs w:val="20"/>
                    </w:rPr>
                    <w:t>34.82</w:t>
                  </w:r>
                </w:p>
              </w:tc>
              <w:tc>
                <w:tcPr>
                  <w:tcW w:w="585" w:type="dxa"/>
                  <w:shd w:val="clear" w:color="auto" w:fill="FFFFFF"/>
                  <w:vAlign w:val="center"/>
                </w:tcPr>
                <w:p w14:paraId="6665BD06">
                  <w:pPr>
                    <w:widowControl/>
                    <w:adjustRightInd w:val="0"/>
                    <w:snapToGrid w:val="0"/>
                    <w:spacing w:line="320" w:lineRule="exact"/>
                    <w:jc w:val="center"/>
                    <w:rPr>
                      <w:sz w:val="20"/>
                      <w:szCs w:val="20"/>
                    </w:rPr>
                  </w:pPr>
                  <w:r>
                    <w:rPr>
                      <w:sz w:val="20"/>
                      <w:szCs w:val="20"/>
                    </w:rPr>
                    <w:t>-2.49</w:t>
                  </w:r>
                </w:p>
              </w:tc>
              <w:tc>
                <w:tcPr>
                  <w:tcW w:w="437" w:type="dxa"/>
                  <w:shd w:val="clear" w:color="auto" w:fill="FFFFFF"/>
                  <w:vAlign w:val="center"/>
                </w:tcPr>
                <w:p w14:paraId="6811723C">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00584696">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5598935A">
                  <w:pPr>
                    <w:widowControl/>
                    <w:adjustRightInd w:val="0"/>
                    <w:snapToGrid w:val="0"/>
                    <w:spacing w:line="320" w:lineRule="exact"/>
                    <w:jc w:val="center"/>
                    <w:rPr>
                      <w:sz w:val="20"/>
                      <w:szCs w:val="20"/>
                    </w:rPr>
                  </w:pPr>
                  <w:r>
                    <w:rPr>
                      <w:sz w:val="20"/>
                      <w:szCs w:val="20"/>
                    </w:rPr>
                    <w:t>1</w:t>
                  </w:r>
                  <w:r>
                    <w:rPr>
                      <w:rFonts w:hint="eastAsia"/>
                      <w:sz w:val="20"/>
                      <w:szCs w:val="20"/>
                    </w:rPr>
                    <w:t>1</w:t>
                  </w:r>
                </w:p>
              </w:tc>
              <w:tc>
                <w:tcPr>
                  <w:tcW w:w="699" w:type="dxa"/>
                  <w:shd w:val="clear" w:color="auto" w:fill="auto"/>
                  <w:vAlign w:val="center"/>
                </w:tcPr>
                <w:p w14:paraId="5959B9A3">
                  <w:pPr>
                    <w:widowControl/>
                    <w:adjustRightInd w:val="0"/>
                    <w:snapToGrid w:val="0"/>
                    <w:spacing w:line="320" w:lineRule="exact"/>
                    <w:jc w:val="center"/>
                    <w:rPr>
                      <w:sz w:val="20"/>
                      <w:szCs w:val="20"/>
                    </w:rPr>
                  </w:pPr>
                  <w:r>
                    <w:rPr>
                      <w:rFonts w:hint="eastAsia"/>
                      <w:sz w:val="20"/>
                      <w:szCs w:val="20"/>
                    </w:rPr>
                    <w:t xml:space="preserve">73.82 </w:t>
                  </w:r>
                </w:p>
              </w:tc>
              <w:tc>
                <w:tcPr>
                  <w:tcW w:w="670" w:type="dxa"/>
                  <w:vMerge w:val="continue"/>
                  <w:shd w:val="clear" w:color="auto" w:fill="auto"/>
                  <w:vAlign w:val="center"/>
                </w:tcPr>
                <w:p w14:paraId="6233978D">
                  <w:pPr>
                    <w:widowControl/>
                    <w:adjustRightInd w:val="0"/>
                    <w:snapToGrid w:val="0"/>
                    <w:spacing w:line="320" w:lineRule="exact"/>
                    <w:jc w:val="center"/>
                    <w:rPr>
                      <w:sz w:val="20"/>
                      <w:szCs w:val="20"/>
                    </w:rPr>
                  </w:pPr>
                </w:p>
              </w:tc>
              <w:tc>
                <w:tcPr>
                  <w:tcW w:w="700" w:type="dxa"/>
                  <w:shd w:val="clear" w:color="auto" w:fill="auto"/>
                  <w:vAlign w:val="center"/>
                </w:tcPr>
                <w:p w14:paraId="7049E74B">
                  <w:pPr>
                    <w:widowControl/>
                    <w:adjustRightInd w:val="0"/>
                    <w:snapToGrid w:val="0"/>
                    <w:spacing w:line="320" w:lineRule="exact"/>
                    <w:jc w:val="center"/>
                    <w:rPr>
                      <w:sz w:val="20"/>
                      <w:szCs w:val="20"/>
                    </w:rPr>
                  </w:pPr>
                  <w:r>
                    <w:rPr>
                      <w:sz w:val="20"/>
                      <w:szCs w:val="20"/>
                    </w:rPr>
                    <w:t xml:space="preserve">26 </w:t>
                  </w:r>
                </w:p>
              </w:tc>
              <w:tc>
                <w:tcPr>
                  <w:tcW w:w="700" w:type="dxa"/>
                  <w:shd w:val="clear" w:color="auto" w:fill="auto"/>
                  <w:vAlign w:val="center"/>
                </w:tcPr>
                <w:p w14:paraId="5E3B17BD">
                  <w:pPr>
                    <w:widowControl/>
                    <w:adjustRightInd w:val="0"/>
                    <w:snapToGrid w:val="0"/>
                    <w:spacing w:line="320" w:lineRule="exact"/>
                    <w:jc w:val="center"/>
                    <w:rPr>
                      <w:sz w:val="20"/>
                      <w:szCs w:val="20"/>
                    </w:rPr>
                  </w:pPr>
                  <w:r>
                    <w:rPr>
                      <w:sz w:val="20"/>
                      <w:szCs w:val="20"/>
                    </w:rPr>
                    <w:t xml:space="preserve">47.82 </w:t>
                  </w:r>
                </w:p>
              </w:tc>
              <w:tc>
                <w:tcPr>
                  <w:tcW w:w="395" w:type="dxa"/>
                  <w:shd w:val="clear" w:color="auto" w:fill="auto"/>
                  <w:vAlign w:val="center"/>
                </w:tcPr>
                <w:p w14:paraId="1C0A924B">
                  <w:pPr>
                    <w:widowControl/>
                    <w:adjustRightInd w:val="0"/>
                    <w:snapToGrid w:val="0"/>
                    <w:spacing w:line="320" w:lineRule="exact"/>
                    <w:jc w:val="center"/>
                    <w:rPr>
                      <w:sz w:val="20"/>
                      <w:szCs w:val="20"/>
                    </w:rPr>
                  </w:pPr>
                  <w:r>
                    <w:rPr>
                      <w:sz w:val="20"/>
                      <w:szCs w:val="20"/>
                    </w:rPr>
                    <w:t>1</w:t>
                  </w:r>
                </w:p>
              </w:tc>
            </w:tr>
            <w:tr w14:paraId="2255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403E00A1">
                  <w:pPr>
                    <w:widowControl/>
                    <w:adjustRightInd w:val="0"/>
                    <w:snapToGrid w:val="0"/>
                    <w:spacing w:line="320" w:lineRule="exact"/>
                    <w:jc w:val="center"/>
                    <w:rPr>
                      <w:sz w:val="20"/>
                      <w:szCs w:val="20"/>
                    </w:rPr>
                  </w:pPr>
                  <w:r>
                    <w:rPr>
                      <w:sz w:val="20"/>
                      <w:szCs w:val="20"/>
                    </w:rPr>
                    <w:t xml:space="preserve">6 </w:t>
                  </w:r>
                </w:p>
              </w:tc>
              <w:tc>
                <w:tcPr>
                  <w:tcW w:w="394" w:type="dxa"/>
                  <w:vMerge w:val="restart"/>
                  <w:shd w:val="clear" w:color="auto" w:fill="auto"/>
                  <w:vAlign w:val="center"/>
                </w:tcPr>
                <w:p w14:paraId="25AAFE4D">
                  <w:pPr>
                    <w:widowControl/>
                    <w:adjustRightInd w:val="0"/>
                    <w:snapToGrid w:val="0"/>
                    <w:spacing w:line="320" w:lineRule="exact"/>
                    <w:jc w:val="center"/>
                    <w:rPr>
                      <w:sz w:val="20"/>
                      <w:szCs w:val="20"/>
                    </w:rPr>
                  </w:pPr>
                  <w:r>
                    <w:rPr>
                      <w:rFonts w:hint="eastAsia"/>
                      <w:sz w:val="20"/>
                      <w:szCs w:val="20"/>
                    </w:rPr>
                    <w:t>污水处理站</w:t>
                  </w:r>
                </w:p>
              </w:tc>
              <w:tc>
                <w:tcPr>
                  <w:tcW w:w="394" w:type="dxa"/>
                  <w:vMerge w:val="restart"/>
                  <w:shd w:val="clear" w:color="auto" w:fill="auto"/>
                  <w:vAlign w:val="center"/>
                </w:tcPr>
                <w:p w14:paraId="2BEA9356">
                  <w:pPr>
                    <w:widowControl/>
                    <w:adjustRightInd w:val="0"/>
                    <w:snapToGrid w:val="0"/>
                    <w:spacing w:line="320" w:lineRule="exact"/>
                    <w:jc w:val="center"/>
                    <w:rPr>
                      <w:sz w:val="20"/>
                      <w:szCs w:val="20"/>
                    </w:rPr>
                  </w:pPr>
                  <w:r>
                    <w:rPr>
                      <w:rFonts w:hint="eastAsia"/>
                      <w:sz w:val="20"/>
                      <w:szCs w:val="20"/>
                    </w:rPr>
                    <w:t>水泵</w:t>
                  </w:r>
                </w:p>
              </w:tc>
              <w:tc>
                <w:tcPr>
                  <w:tcW w:w="394" w:type="dxa"/>
                  <w:vMerge w:val="restart"/>
                  <w:shd w:val="clear" w:color="auto" w:fill="auto"/>
                  <w:vAlign w:val="center"/>
                </w:tcPr>
                <w:p w14:paraId="61230908">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181E59FD">
                  <w:pPr>
                    <w:widowControl/>
                    <w:adjustRightInd w:val="0"/>
                    <w:snapToGrid w:val="0"/>
                    <w:spacing w:line="320" w:lineRule="exact"/>
                    <w:jc w:val="center"/>
                    <w:rPr>
                      <w:sz w:val="20"/>
                      <w:szCs w:val="20"/>
                    </w:rPr>
                  </w:pPr>
                  <w:r>
                    <w:rPr>
                      <w:sz w:val="20"/>
                      <w:szCs w:val="20"/>
                    </w:rPr>
                    <w:t>75</w:t>
                  </w:r>
                </w:p>
              </w:tc>
              <w:tc>
                <w:tcPr>
                  <w:tcW w:w="570" w:type="dxa"/>
                  <w:vMerge w:val="continue"/>
                  <w:shd w:val="clear" w:color="auto" w:fill="auto"/>
                  <w:vAlign w:val="center"/>
                </w:tcPr>
                <w:p w14:paraId="5F6F0FD5">
                  <w:pPr>
                    <w:widowControl/>
                    <w:adjustRightInd w:val="0"/>
                    <w:snapToGrid w:val="0"/>
                    <w:spacing w:line="320" w:lineRule="exact"/>
                    <w:jc w:val="center"/>
                    <w:rPr>
                      <w:sz w:val="20"/>
                      <w:szCs w:val="20"/>
                    </w:rPr>
                  </w:pPr>
                </w:p>
              </w:tc>
              <w:tc>
                <w:tcPr>
                  <w:tcW w:w="614" w:type="dxa"/>
                  <w:shd w:val="clear" w:color="auto" w:fill="FFFFFF"/>
                  <w:vAlign w:val="center"/>
                </w:tcPr>
                <w:p w14:paraId="42BF3ED0">
                  <w:pPr>
                    <w:widowControl/>
                    <w:adjustRightInd w:val="0"/>
                    <w:snapToGrid w:val="0"/>
                    <w:spacing w:line="320" w:lineRule="exact"/>
                    <w:jc w:val="center"/>
                    <w:rPr>
                      <w:sz w:val="20"/>
                      <w:szCs w:val="20"/>
                    </w:rPr>
                  </w:pPr>
                  <w:r>
                    <w:rPr>
                      <w:sz w:val="20"/>
                      <w:szCs w:val="20"/>
                    </w:rPr>
                    <w:t>40.86</w:t>
                  </w:r>
                </w:p>
              </w:tc>
              <w:tc>
                <w:tcPr>
                  <w:tcW w:w="585" w:type="dxa"/>
                  <w:shd w:val="clear" w:color="auto" w:fill="FFFFFF"/>
                  <w:vAlign w:val="center"/>
                </w:tcPr>
                <w:p w14:paraId="3DD982A3">
                  <w:pPr>
                    <w:widowControl/>
                    <w:adjustRightInd w:val="0"/>
                    <w:snapToGrid w:val="0"/>
                    <w:spacing w:line="320" w:lineRule="exact"/>
                    <w:jc w:val="center"/>
                    <w:rPr>
                      <w:sz w:val="20"/>
                      <w:szCs w:val="20"/>
                    </w:rPr>
                  </w:pPr>
                  <w:r>
                    <w:rPr>
                      <w:sz w:val="20"/>
                      <w:szCs w:val="20"/>
                    </w:rPr>
                    <w:t>3.25</w:t>
                  </w:r>
                </w:p>
              </w:tc>
              <w:tc>
                <w:tcPr>
                  <w:tcW w:w="437" w:type="dxa"/>
                  <w:shd w:val="clear" w:color="auto" w:fill="FFFFFF"/>
                  <w:vAlign w:val="center"/>
                </w:tcPr>
                <w:p w14:paraId="5C756F38">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2038A68A">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3859C4E4">
                  <w:pPr>
                    <w:widowControl/>
                    <w:adjustRightInd w:val="0"/>
                    <w:snapToGrid w:val="0"/>
                    <w:spacing w:line="320" w:lineRule="exact"/>
                    <w:jc w:val="center"/>
                    <w:rPr>
                      <w:sz w:val="20"/>
                      <w:szCs w:val="20"/>
                    </w:rPr>
                  </w:pPr>
                  <w:r>
                    <w:rPr>
                      <w:rFonts w:hint="eastAsia"/>
                      <w:sz w:val="20"/>
                      <w:szCs w:val="20"/>
                    </w:rPr>
                    <w:t>19</w:t>
                  </w:r>
                </w:p>
              </w:tc>
              <w:tc>
                <w:tcPr>
                  <w:tcW w:w="699" w:type="dxa"/>
                  <w:shd w:val="clear" w:color="auto" w:fill="auto"/>
                  <w:vAlign w:val="center"/>
                </w:tcPr>
                <w:p w14:paraId="66E3209D">
                  <w:pPr>
                    <w:widowControl/>
                    <w:adjustRightInd w:val="0"/>
                    <w:snapToGrid w:val="0"/>
                    <w:spacing w:line="320" w:lineRule="exact"/>
                    <w:jc w:val="center"/>
                    <w:rPr>
                      <w:sz w:val="20"/>
                      <w:szCs w:val="20"/>
                    </w:rPr>
                  </w:pPr>
                  <w:r>
                    <w:rPr>
                      <w:rFonts w:hint="eastAsia"/>
                      <w:sz w:val="20"/>
                      <w:szCs w:val="20"/>
                    </w:rPr>
                    <w:t xml:space="preserve">63.81 </w:t>
                  </w:r>
                </w:p>
              </w:tc>
              <w:tc>
                <w:tcPr>
                  <w:tcW w:w="670" w:type="dxa"/>
                  <w:vMerge w:val="continue"/>
                  <w:shd w:val="clear" w:color="auto" w:fill="auto"/>
                  <w:vAlign w:val="center"/>
                </w:tcPr>
                <w:p w14:paraId="3267134F">
                  <w:pPr>
                    <w:widowControl/>
                    <w:adjustRightInd w:val="0"/>
                    <w:snapToGrid w:val="0"/>
                    <w:spacing w:line="320" w:lineRule="exact"/>
                    <w:jc w:val="center"/>
                    <w:rPr>
                      <w:sz w:val="20"/>
                      <w:szCs w:val="20"/>
                    </w:rPr>
                  </w:pPr>
                </w:p>
              </w:tc>
              <w:tc>
                <w:tcPr>
                  <w:tcW w:w="700" w:type="dxa"/>
                  <w:shd w:val="clear" w:color="auto" w:fill="auto"/>
                  <w:vAlign w:val="center"/>
                </w:tcPr>
                <w:p w14:paraId="375C833C">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73235DD9">
                  <w:pPr>
                    <w:widowControl/>
                    <w:adjustRightInd w:val="0"/>
                    <w:snapToGrid w:val="0"/>
                    <w:spacing w:line="320" w:lineRule="exact"/>
                    <w:jc w:val="center"/>
                    <w:rPr>
                      <w:sz w:val="20"/>
                      <w:szCs w:val="20"/>
                    </w:rPr>
                  </w:pPr>
                  <w:r>
                    <w:rPr>
                      <w:sz w:val="20"/>
                      <w:szCs w:val="20"/>
                    </w:rPr>
                    <w:t xml:space="preserve">34.81 </w:t>
                  </w:r>
                </w:p>
              </w:tc>
              <w:tc>
                <w:tcPr>
                  <w:tcW w:w="395" w:type="dxa"/>
                  <w:shd w:val="clear" w:color="auto" w:fill="auto"/>
                  <w:vAlign w:val="center"/>
                </w:tcPr>
                <w:p w14:paraId="2ED451DB">
                  <w:pPr>
                    <w:widowControl/>
                    <w:adjustRightInd w:val="0"/>
                    <w:snapToGrid w:val="0"/>
                    <w:spacing w:line="320" w:lineRule="exact"/>
                    <w:jc w:val="center"/>
                    <w:rPr>
                      <w:sz w:val="20"/>
                      <w:szCs w:val="20"/>
                    </w:rPr>
                  </w:pPr>
                  <w:r>
                    <w:rPr>
                      <w:sz w:val="20"/>
                      <w:szCs w:val="20"/>
                    </w:rPr>
                    <w:t>1</w:t>
                  </w:r>
                </w:p>
              </w:tc>
            </w:tr>
            <w:tr w14:paraId="762D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35E64F1B">
                  <w:pPr>
                    <w:widowControl/>
                    <w:adjustRightInd w:val="0"/>
                    <w:snapToGrid w:val="0"/>
                    <w:spacing w:line="320" w:lineRule="exact"/>
                    <w:jc w:val="center"/>
                    <w:rPr>
                      <w:sz w:val="20"/>
                      <w:szCs w:val="20"/>
                    </w:rPr>
                  </w:pPr>
                </w:p>
              </w:tc>
              <w:tc>
                <w:tcPr>
                  <w:tcW w:w="394" w:type="dxa"/>
                  <w:vMerge w:val="continue"/>
                  <w:shd w:val="clear" w:color="auto" w:fill="auto"/>
                  <w:vAlign w:val="center"/>
                </w:tcPr>
                <w:p w14:paraId="5F7597E6">
                  <w:pPr>
                    <w:widowControl/>
                    <w:adjustRightInd w:val="0"/>
                    <w:snapToGrid w:val="0"/>
                    <w:spacing w:line="320" w:lineRule="exact"/>
                    <w:jc w:val="center"/>
                    <w:rPr>
                      <w:sz w:val="20"/>
                      <w:szCs w:val="20"/>
                    </w:rPr>
                  </w:pPr>
                </w:p>
              </w:tc>
              <w:tc>
                <w:tcPr>
                  <w:tcW w:w="394" w:type="dxa"/>
                  <w:vMerge w:val="continue"/>
                  <w:shd w:val="clear" w:color="auto" w:fill="auto"/>
                  <w:vAlign w:val="center"/>
                </w:tcPr>
                <w:p w14:paraId="3D512B45">
                  <w:pPr>
                    <w:widowControl/>
                    <w:adjustRightInd w:val="0"/>
                    <w:snapToGrid w:val="0"/>
                    <w:spacing w:line="320" w:lineRule="exact"/>
                    <w:jc w:val="center"/>
                    <w:rPr>
                      <w:sz w:val="20"/>
                      <w:szCs w:val="20"/>
                    </w:rPr>
                  </w:pPr>
                </w:p>
              </w:tc>
              <w:tc>
                <w:tcPr>
                  <w:tcW w:w="394" w:type="dxa"/>
                  <w:vMerge w:val="continue"/>
                  <w:shd w:val="clear" w:color="auto" w:fill="auto"/>
                  <w:vAlign w:val="center"/>
                </w:tcPr>
                <w:p w14:paraId="6DF5D24D">
                  <w:pPr>
                    <w:widowControl/>
                    <w:adjustRightInd w:val="0"/>
                    <w:snapToGrid w:val="0"/>
                    <w:spacing w:line="320" w:lineRule="exact"/>
                    <w:jc w:val="center"/>
                    <w:rPr>
                      <w:sz w:val="20"/>
                      <w:szCs w:val="20"/>
                    </w:rPr>
                  </w:pPr>
                </w:p>
              </w:tc>
              <w:tc>
                <w:tcPr>
                  <w:tcW w:w="699" w:type="dxa"/>
                  <w:vMerge w:val="continue"/>
                  <w:shd w:val="clear" w:color="auto" w:fill="auto"/>
                  <w:vAlign w:val="center"/>
                </w:tcPr>
                <w:p w14:paraId="0A91C4D1">
                  <w:pPr>
                    <w:widowControl/>
                    <w:adjustRightInd w:val="0"/>
                    <w:snapToGrid w:val="0"/>
                    <w:spacing w:line="320" w:lineRule="exact"/>
                    <w:jc w:val="center"/>
                    <w:rPr>
                      <w:sz w:val="20"/>
                      <w:szCs w:val="20"/>
                    </w:rPr>
                  </w:pPr>
                </w:p>
              </w:tc>
              <w:tc>
                <w:tcPr>
                  <w:tcW w:w="570" w:type="dxa"/>
                  <w:vMerge w:val="continue"/>
                  <w:shd w:val="clear" w:color="auto" w:fill="auto"/>
                  <w:vAlign w:val="center"/>
                </w:tcPr>
                <w:p w14:paraId="15384EAF">
                  <w:pPr>
                    <w:widowControl/>
                    <w:adjustRightInd w:val="0"/>
                    <w:snapToGrid w:val="0"/>
                    <w:spacing w:line="320" w:lineRule="exact"/>
                    <w:jc w:val="center"/>
                    <w:rPr>
                      <w:sz w:val="20"/>
                      <w:szCs w:val="20"/>
                    </w:rPr>
                  </w:pPr>
                </w:p>
              </w:tc>
              <w:tc>
                <w:tcPr>
                  <w:tcW w:w="614" w:type="dxa"/>
                  <w:shd w:val="clear" w:color="auto" w:fill="FFFFFF"/>
                  <w:vAlign w:val="center"/>
                </w:tcPr>
                <w:p w14:paraId="2C2F515D">
                  <w:pPr>
                    <w:widowControl/>
                    <w:adjustRightInd w:val="0"/>
                    <w:snapToGrid w:val="0"/>
                    <w:spacing w:line="320" w:lineRule="exact"/>
                    <w:jc w:val="center"/>
                    <w:rPr>
                      <w:sz w:val="20"/>
                      <w:szCs w:val="20"/>
                    </w:rPr>
                  </w:pPr>
                  <w:r>
                    <w:rPr>
                      <w:sz w:val="20"/>
                      <w:szCs w:val="20"/>
                    </w:rPr>
                    <w:t>9.47</w:t>
                  </w:r>
                </w:p>
              </w:tc>
              <w:tc>
                <w:tcPr>
                  <w:tcW w:w="585" w:type="dxa"/>
                  <w:shd w:val="clear" w:color="auto" w:fill="FFFFFF"/>
                  <w:vAlign w:val="center"/>
                </w:tcPr>
                <w:p w14:paraId="2E5122B2">
                  <w:pPr>
                    <w:widowControl/>
                    <w:adjustRightInd w:val="0"/>
                    <w:snapToGrid w:val="0"/>
                    <w:spacing w:line="320" w:lineRule="exact"/>
                    <w:jc w:val="center"/>
                    <w:rPr>
                      <w:sz w:val="20"/>
                      <w:szCs w:val="20"/>
                    </w:rPr>
                  </w:pPr>
                  <w:r>
                    <w:rPr>
                      <w:sz w:val="20"/>
                      <w:szCs w:val="20"/>
                    </w:rPr>
                    <w:t>-2.68</w:t>
                  </w:r>
                </w:p>
              </w:tc>
              <w:tc>
                <w:tcPr>
                  <w:tcW w:w="437" w:type="dxa"/>
                  <w:shd w:val="clear" w:color="auto" w:fill="FFFFFF"/>
                  <w:vAlign w:val="center"/>
                </w:tcPr>
                <w:p w14:paraId="79ACCC32">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75228994">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4904F6DD">
                  <w:pPr>
                    <w:widowControl/>
                    <w:adjustRightInd w:val="0"/>
                    <w:snapToGrid w:val="0"/>
                    <w:spacing w:line="320" w:lineRule="exact"/>
                    <w:jc w:val="center"/>
                    <w:rPr>
                      <w:sz w:val="20"/>
                      <w:szCs w:val="20"/>
                    </w:rPr>
                  </w:pPr>
                  <w:r>
                    <w:rPr>
                      <w:sz w:val="20"/>
                      <w:szCs w:val="20"/>
                    </w:rPr>
                    <w:t>1.6</w:t>
                  </w:r>
                </w:p>
              </w:tc>
              <w:tc>
                <w:tcPr>
                  <w:tcW w:w="699" w:type="dxa"/>
                  <w:shd w:val="clear" w:color="auto" w:fill="auto"/>
                  <w:vAlign w:val="center"/>
                </w:tcPr>
                <w:p w14:paraId="5E7F5F1D">
                  <w:pPr>
                    <w:widowControl/>
                    <w:adjustRightInd w:val="0"/>
                    <w:snapToGrid w:val="0"/>
                    <w:spacing w:line="320" w:lineRule="exact"/>
                    <w:jc w:val="center"/>
                    <w:rPr>
                      <w:sz w:val="20"/>
                      <w:szCs w:val="20"/>
                    </w:rPr>
                  </w:pPr>
                  <w:r>
                    <w:rPr>
                      <w:rFonts w:hint="eastAsia"/>
                      <w:sz w:val="20"/>
                      <w:szCs w:val="20"/>
                    </w:rPr>
                    <w:t xml:space="preserve">65.29 </w:t>
                  </w:r>
                </w:p>
              </w:tc>
              <w:tc>
                <w:tcPr>
                  <w:tcW w:w="670" w:type="dxa"/>
                  <w:vMerge w:val="continue"/>
                  <w:shd w:val="clear" w:color="auto" w:fill="auto"/>
                  <w:vAlign w:val="center"/>
                </w:tcPr>
                <w:p w14:paraId="5770CBC7">
                  <w:pPr>
                    <w:widowControl/>
                    <w:adjustRightInd w:val="0"/>
                    <w:snapToGrid w:val="0"/>
                    <w:spacing w:line="320" w:lineRule="exact"/>
                    <w:jc w:val="center"/>
                    <w:rPr>
                      <w:sz w:val="20"/>
                      <w:szCs w:val="20"/>
                    </w:rPr>
                  </w:pPr>
                </w:p>
              </w:tc>
              <w:tc>
                <w:tcPr>
                  <w:tcW w:w="700" w:type="dxa"/>
                  <w:shd w:val="clear" w:color="auto" w:fill="auto"/>
                  <w:vAlign w:val="center"/>
                </w:tcPr>
                <w:p w14:paraId="1D466EE1">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3218828F">
                  <w:pPr>
                    <w:widowControl/>
                    <w:adjustRightInd w:val="0"/>
                    <w:snapToGrid w:val="0"/>
                    <w:spacing w:line="320" w:lineRule="exact"/>
                    <w:jc w:val="center"/>
                    <w:rPr>
                      <w:sz w:val="20"/>
                      <w:szCs w:val="20"/>
                    </w:rPr>
                  </w:pPr>
                  <w:r>
                    <w:rPr>
                      <w:sz w:val="20"/>
                      <w:szCs w:val="20"/>
                    </w:rPr>
                    <w:t xml:space="preserve">36.29 </w:t>
                  </w:r>
                </w:p>
              </w:tc>
              <w:tc>
                <w:tcPr>
                  <w:tcW w:w="395" w:type="dxa"/>
                  <w:shd w:val="clear" w:color="auto" w:fill="auto"/>
                  <w:vAlign w:val="center"/>
                </w:tcPr>
                <w:p w14:paraId="7155731A">
                  <w:pPr>
                    <w:widowControl/>
                    <w:adjustRightInd w:val="0"/>
                    <w:snapToGrid w:val="0"/>
                    <w:spacing w:line="320" w:lineRule="exact"/>
                    <w:jc w:val="center"/>
                    <w:rPr>
                      <w:sz w:val="20"/>
                      <w:szCs w:val="20"/>
                    </w:rPr>
                  </w:pPr>
                  <w:r>
                    <w:rPr>
                      <w:sz w:val="20"/>
                      <w:szCs w:val="20"/>
                    </w:rPr>
                    <w:t>1</w:t>
                  </w:r>
                </w:p>
              </w:tc>
            </w:tr>
            <w:tr w14:paraId="6CD4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4C96840E">
                  <w:pPr>
                    <w:widowControl/>
                    <w:adjustRightInd w:val="0"/>
                    <w:snapToGrid w:val="0"/>
                    <w:spacing w:line="320" w:lineRule="exact"/>
                    <w:jc w:val="center"/>
                    <w:rPr>
                      <w:sz w:val="20"/>
                      <w:szCs w:val="20"/>
                    </w:rPr>
                  </w:pPr>
                </w:p>
              </w:tc>
              <w:tc>
                <w:tcPr>
                  <w:tcW w:w="394" w:type="dxa"/>
                  <w:vMerge w:val="continue"/>
                  <w:shd w:val="clear" w:color="auto" w:fill="auto"/>
                  <w:vAlign w:val="center"/>
                </w:tcPr>
                <w:p w14:paraId="4554EC9F">
                  <w:pPr>
                    <w:widowControl/>
                    <w:adjustRightInd w:val="0"/>
                    <w:snapToGrid w:val="0"/>
                    <w:spacing w:line="320" w:lineRule="exact"/>
                    <w:jc w:val="center"/>
                    <w:rPr>
                      <w:sz w:val="20"/>
                      <w:szCs w:val="20"/>
                    </w:rPr>
                  </w:pPr>
                </w:p>
              </w:tc>
              <w:tc>
                <w:tcPr>
                  <w:tcW w:w="394" w:type="dxa"/>
                  <w:vMerge w:val="continue"/>
                  <w:shd w:val="clear" w:color="auto" w:fill="auto"/>
                  <w:vAlign w:val="center"/>
                </w:tcPr>
                <w:p w14:paraId="660659F0">
                  <w:pPr>
                    <w:widowControl/>
                    <w:adjustRightInd w:val="0"/>
                    <w:snapToGrid w:val="0"/>
                    <w:spacing w:line="320" w:lineRule="exact"/>
                    <w:jc w:val="center"/>
                    <w:rPr>
                      <w:sz w:val="20"/>
                      <w:szCs w:val="20"/>
                    </w:rPr>
                  </w:pPr>
                </w:p>
              </w:tc>
              <w:tc>
                <w:tcPr>
                  <w:tcW w:w="394" w:type="dxa"/>
                  <w:vMerge w:val="continue"/>
                  <w:shd w:val="clear" w:color="auto" w:fill="auto"/>
                  <w:vAlign w:val="center"/>
                </w:tcPr>
                <w:p w14:paraId="1CB545A6">
                  <w:pPr>
                    <w:widowControl/>
                    <w:adjustRightInd w:val="0"/>
                    <w:snapToGrid w:val="0"/>
                    <w:spacing w:line="320" w:lineRule="exact"/>
                    <w:jc w:val="center"/>
                    <w:rPr>
                      <w:sz w:val="20"/>
                      <w:szCs w:val="20"/>
                    </w:rPr>
                  </w:pPr>
                </w:p>
              </w:tc>
              <w:tc>
                <w:tcPr>
                  <w:tcW w:w="699" w:type="dxa"/>
                  <w:vMerge w:val="continue"/>
                  <w:shd w:val="clear" w:color="auto" w:fill="auto"/>
                  <w:vAlign w:val="center"/>
                </w:tcPr>
                <w:p w14:paraId="713DB5A3">
                  <w:pPr>
                    <w:widowControl/>
                    <w:adjustRightInd w:val="0"/>
                    <w:snapToGrid w:val="0"/>
                    <w:spacing w:line="320" w:lineRule="exact"/>
                    <w:jc w:val="center"/>
                    <w:rPr>
                      <w:sz w:val="20"/>
                      <w:szCs w:val="20"/>
                    </w:rPr>
                  </w:pPr>
                </w:p>
              </w:tc>
              <w:tc>
                <w:tcPr>
                  <w:tcW w:w="570" w:type="dxa"/>
                  <w:vMerge w:val="continue"/>
                  <w:shd w:val="clear" w:color="auto" w:fill="auto"/>
                  <w:vAlign w:val="center"/>
                </w:tcPr>
                <w:p w14:paraId="676E213A">
                  <w:pPr>
                    <w:widowControl/>
                    <w:adjustRightInd w:val="0"/>
                    <w:snapToGrid w:val="0"/>
                    <w:spacing w:line="320" w:lineRule="exact"/>
                    <w:jc w:val="center"/>
                    <w:rPr>
                      <w:sz w:val="20"/>
                      <w:szCs w:val="20"/>
                    </w:rPr>
                  </w:pPr>
                </w:p>
              </w:tc>
              <w:tc>
                <w:tcPr>
                  <w:tcW w:w="614" w:type="dxa"/>
                  <w:shd w:val="clear" w:color="auto" w:fill="FFFFFF"/>
                  <w:vAlign w:val="center"/>
                </w:tcPr>
                <w:p w14:paraId="06FDA762">
                  <w:pPr>
                    <w:widowControl/>
                    <w:adjustRightInd w:val="0"/>
                    <w:snapToGrid w:val="0"/>
                    <w:spacing w:line="320" w:lineRule="exact"/>
                    <w:jc w:val="center"/>
                    <w:rPr>
                      <w:sz w:val="20"/>
                      <w:szCs w:val="20"/>
                    </w:rPr>
                  </w:pPr>
                  <w:r>
                    <w:rPr>
                      <w:sz w:val="20"/>
                      <w:szCs w:val="20"/>
                    </w:rPr>
                    <w:t>16</w:t>
                  </w:r>
                </w:p>
              </w:tc>
              <w:tc>
                <w:tcPr>
                  <w:tcW w:w="585" w:type="dxa"/>
                  <w:shd w:val="clear" w:color="auto" w:fill="FFFFFF"/>
                  <w:vAlign w:val="center"/>
                </w:tcPr>
                <w:p w14:paraId="4C0B1100">
                  <w:pPr>
                    <w:widowControl/>
                    <w:adjustRightInd w:val="0"/>
                    <w:snapToGrid w:val="0"/>
                    <w:spacing w:line="320" w:lineRule="exact"/>
                    <w:jc w:val="center"/>
                    <w:rPr>
                      <w:sz w:val="20"/>
                      <w:szCs w:val="20"/>
                    </w:rPr>
                  </w:pPr>
                  <w:r>
                    <w:rPr>
                      <w:sz w:val="20"/>
                      <w:szCs w:val="20"/>
                    </w:rPr>
                    <w:t>-5.33</w:t>
                  </w:r>
                </w:p>
              </w:tc>
              <w:tc>
                <w:tcPr>
                  <w:tcW w:w="437" w:type="dxa"/>
                  <w:shd w:val="clear" w:color="auto" w:fill="FFFFFF"/>
                  <w:vAlign w:val="center"/>
                </w:tcPr>
                <w:p w14:paraId="5F9801E4">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658D8050">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008059E7">
                  <w:pPr>
                    <w:widowControl/>
                    <w:adjustRightInd w:val="0"/>
                    <w:snapToGrid w:val="0"/>
                    <w:spacing w:line="320" w:lineRule="exact"/>
                    <w:jc w:val="center"/>
                    <w:rPr>
                      <w:sz w:val="20"/>
                      <w:szCs w:val="20"/>
                    </w:rPr>
                  </w:pPr>
                  <w:r>
                    <w:rPr>
                      <w:sz w:val="20"/>
                      <w:szCs w:val="20"/>
                    </w:rPr>
                    <w:t>1.1</w:t>
                  </w:r>
                </w:p>
              </w:tc>
              <w:tc>
                <w:tcPr>
                  <w:tcW w:w="699" w:type="dxa"/>
                  <w:shd w:val="clear" w:color="auto" w:fill="auto"/>
                  <w:vAlign w:val="center"/>
                </w:tcPr>
                <w:p w14:paraId="5705A86A">
                  <w:pPr>
                    <w:widowControl/>
                    <w:adjustRightInd w:val="0"/>
                    <w:snapToGrid w:val="0"/>
                    <w:spacing w:line="320" w:lineRule="exact"/>
                    <w:jc w:val="center"/>
                    <w:rPr>
                      <w:sz w:val="20"/>
                      <w:szCs w:val="20"/>
                    </w:rPr>
                  </w:pPr>
                  <w:r>
                    <w:rPr>
                      <w:rFonts w:hint="eastAsia"/>
                      <w:sz w:val="20"/>
                      <w:szCs w:val="20"/>
                    </w:rPr>
                    <w:t xml:space="preserve">66.51 </w:t>
                  </w:r>
                </w:p>
              </w:tc>
              <w:tc>
                <w:tcPr>
                  <w:tcW w:w="670" w:type="dxa"/>
                  <w:vMerge w:val="continue"/>
                  <w:shd w:val="clear" w:color="auto" w:fill="auto"/>
                  <w:vAlign w:val="center"/>
                </w:tcPr>
                <w:p w14:paraId="0F1ADEE0">
                  <w:pPr>
                    <w:widowControl/>
                    <w:adjustRightInd w:val="0"/>
                    <w:snapToGrid w:val="0"/>
                    <w:spacing w:line="320" w:lineRule="exact"/>
                    <w:jc w:val="center"/>
                    <w:rPr>
                      <w:sz w:val="20"/>
                      <w:szCs w:val="20"/>
                    </w:rPr>
                  </w:pPr>
                </w:p>
              </w:tc>
              <w:tc>
                <w:tcPr>
                  <w:tcW w:w="700" w:type="dxa"/>
                  <w:shd w:val="clear" w:color="auto" w:fill="auto"/>
                  <w:vAlign w:val="center"/>
                </w:tcPr>
                <w:p w14:paraId="14E4F9B1">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2F4BA543">
                  <w:pPr>
                    <w:widowControl/>
                    <w:adjustRightInd w:val="0"/>
                    <w:snapToGrid w:val="0"/>
                    <w:spacing w:line="320" w:lineRule="exact"/>
                    <w:jc w:val="center"/>
                    <w:rPr>
                      <w:sz w:val="20"/>
                      <w:szCs w:val="20"/>
                    </w:rPr>
                  </w:pPr>
                  <w:r>
                    <w:rPr>
                      <w:sz w:val="20"/>
                      <w:szCs w:val="20"/>
                    </w:rPr>
                    <w:t xml:space="preserve">37.51 </w:t>
                  </w:r>
                </w:p>
              </w:tc>
              <w:tc>
                <w:tcPr>
                  <w:tcW w:w="395" w:type="dxa"/>
                  <w:shd w:val="clear" w:color="auto" w:fill="auto"/>
                  <w:vAlign w:val="center"/>
                </w:tcPr>
                <w:p w14:paraId="040FCA65">
                  <w:pPr>
                    <w:widowControl/>
                    <w:adjustRightInd w:val="0"/>
                    <w:snapToGrid w:val="0"/>
                    <w:spacing w:line="320" w:lineRule="exact"/>
                    <w:jc w:val="center"/>
                    <w:rPr>
                      <w:sz w:val="20"/>
                      <w:szCs w:val="20"/>
                    </w:rPr>
                  </w:pPr>
                  <w:r>
                    <w:rPr>
                      <w:sz w:val="20"/>
                      <w:szCs w:val="20"/>
                    </w:rPr>
                    <w:t>1</w:t>
                  </w:r>
                </w:p>
              </w:tc>
            </w:tr>
            <w:tr w14:paraId="6917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225C53BD">
                  <w:pPr>
                    <w:widowControl/>
                    <w:adjustRightInd w:val="0"/>
                    <w:snapToGrid w:val="0"/>
                    <w:spacing w:line="320" w:lineRule="exact"/>
                    <w:jc w:val="center"/>
                    <w:rPr>
                      <w:sz w:val="20"/>
                      <w:szCs w:val="20"/>
                    </w:rPr>
                  </w:pPr>
                </w:p>
              </w:tc>
              <w:tc>
                <w:tcPr>
                  <w:tcW w:w="394" w:type="dxa"/>
                  <w:vMerge w:val="continue"/>
                  <w:shd w:val="clear" w:color="auto" w:fill="auto"/>
                  <w:vAlign w:val="center"/>
                </w:tcPr>
                <w:p w14:paraId="4B053860">
                  <w:pPr>
                    <w:widowControl/>
                    <w:adjustRightInd w:val="0"/>
                    <w:snapToGrid w:val="0"/>
                    <w:spacing w:line="320" w:lineRule="exact"/>
                    <w:jc w:val="center"/>
                    <w:rPr>
                      <w:sz w:val="20"/>
                      <w:szCs w:val="20"/>
                    </w:rPr>
                  </w:pPr>
                </w:p>
              </w:tc>
              <w:tc>
                <w:tcPr>
                  <w:tcW w:w="394" w:type="dxa"/>
                  <w:vMerge w:val="continue"/>
                  <w:shd w:val="clear" w:color="auto" w:fill="auto"/>
                  <w:vAlign w:val="center"/>
                </w:tcPr>
                <w:p w14:paraId="225095FD">
                  <w:pPr>
                    <w:widowControl/>
                    <w:adjustRightInd w:val="0"/>
                    <w:snapToGrid w:val="0"/>
                    <w:spacing w:line="320" w:lineRule="exact"/>
                    <w:jc w:val="center"/>
                    <w:rPr>
                      <w:sz w:val="20"/>
                      <w:szCs w:val="20"/>
                    </w:rPr>
                  </w:pPr>
                </w:p>
              </w:tc>
              <w:tc>
                <w:tcPr>
                  <w:tcW w:w="394" w:type="dxa"/>
                  <w:vMerge w:val="continue"/>
                  <w:shd w:val="clear" w:color="auto" w:fill="auto"/>
                  <w:vAlign w:val="center"/>
                </w:tcPr>
                <w:p w14:paraId="0896DFF5">
                  <w:pPr>
                    <w:widowControl/>
                    <w:adjustRightInd w:val="0"/>
                    <w:snapToGrid w:val="0"/>
                    <w:spacing w:line="320" w:lineRule="exact"/>
                    <w:jc w:val="center"/>
                    <w:rPr>
                      <w:sz w:val="20"/>
                      <w:szCs w:val="20"/>
                    </w:rPr>
                  </w:pPr>
                </w:p>
              </w:tc>
              <w:tc>
                <w:tcPr>
                  <w:tcW w:w="699" w:type="dxa"/>
                  <w:vMerge w:val="continue"/>
                  <w:shd w:val="clear" w:color="auto" w:fill="auto"/>
                  <w:vAlign w:val="center"/>
                </w:tcPr>
                <w:p w14:paraId="1F1A73B3">
                  <w:pPr>
                    <w:widowControl/>
                    <w:adjustRightInd w:val="0"/>
                    <w:snapToGrid w:val="0"/>
                    <w:spacing w:line="320" w:lineRule="exact"/>
                    <w:jc w:val="center"/>
                    <w:rPr>
                      <w:sz w:val="20"/>
                      <w:szCs w:val="20"/>
                    </w:rPr>
                  </w:pPr>
                </w:p>
              </w:tc>
              <w:tc>
                <w:tcPr>
                  <w:tcW w:w="570" w:type="dxa"/>
                  <w:vMerge w:val="continue"/>
                  <w:shd w:val="clear" w:color="auto" w:fill="auto"/>
                  <w:vAlign w:val="center"/>
                </w:tcPr>
                <w:p w14:paraId="54D56E9F">
                  <w:pPr>
                    <w:widowControl/>
                    <w:adjustRightInd w:val="0"/>
                    <w:snapToGrid w:val="0"/>
                    <w:spacing w:line="320" w:lineRule="exact"/>
                    <w:jc w:val="center"/>
                    <w:rPr>
                      <w:sz w:val="20"/>
                      <w:szCs w:val="20"/>
                    </w:rPr>
                  </w:pPr>
                </w:p>
              </w:tc>
              <w:tc>
                <w:tcPr>
                  <w:tcW w:w="614" w:type="dxa"/>
                  <w:shd w:val="clear" w:color="auto" w:fill="FFFFFF"/>
                  <w:vAlign w:val="center"/>
                </w:tcPr>
                <w:p w14:paraId="1B01A660">
                  <w:pPr>
                    <w:widowControl/>
                    <w:adjustRightInd w:val="0"/>
                    <w:snapToGrid w:val="0"/>
                    <w:spacing w:line="320" w:lineRule="exact"/>
                    <w:jc w:val="center"/>
                    <w:rPr>
                      <w:sz w:val="20"/>
                      <w:szCs w:val="20"/>
                    </w:rPr>
                  </w:pPr>
                  <w:r>
                    <w:rPr>
                      <w:sz w:val="20"/>
                      <w:szCs w:val="20"/>
                    </w:rPr>
                    <w:t>23.36</w:t>
                  </w:r>
                </w:p>
              </w:tc>
              <w:tc>
                <w:tcPr>
                  <w:tcW w:w="585" w:type="dxa"/>
                  <w:shd w:val="clear" w:color="auto" w:fill="FFFFFF"/>
                  <w:vAlign w:val="center"/>
                </w:tcPr>
                <w:p w14:paraId="295877D5">
                  <w:pPr>
                    <w:widowControl/>
                    <w:adjustRightInd w:val="0"/>
                    <w:snapToGrid w:val="0"/>
                    <w:spacing w:line="320" w:lineRule="exact"/>
                    <w:jc w:val="center"/>
                    <w:rPr>
                      <w:sz w:val="20"/>
                      <w:szCs w:val="20"/>
                    </w:rPr>
                  </w:pPr>
                  <w:r>
                    <w:rPr>
                      <w:sz w:val="20"/>
                      <w:szCs w:val="20"/>
                    </w:rPr>
                    <w:t>-8.63</w:t>
                  </w:r>
                </w:p>
              </w:tc>
              <w:tc>
                <w:tcPr>
                  <w:tcW w:w="437" w:type="dxa"/>
                  <w:shd w:val="clear" w:color="auto" w:fill="FFFFFF"/>
                  <w:vAlign w:val="center"/>
                </w:tcPr>
                <w:p w14:paraId="41FA00BE">
                  <w:pPr>
                    <w:widowControl/>
                    <w:adjustRightInd w:val="0"/>
                    <w:snapToGrid w:val="0"/>
                    <w:spacing w:line="320" w:lineRule="exact"/>
                    <w:jc w:val="center"/>
                    <w:rPr>
                      <w:sz w:val="20"/>
                      <w:szCs w:val="20"/>
                    </w:rPr>
                  </w:pPr>
                  <w:r>
                    <w:rPr>
                      <w:sz w:val="20"/>
                      <w:szCs w:val="20"/>
                    </w:rPr>
                    <w:t>1.2</w:t>
                  </w:r>
                </w:p>
              </w:tc>
              <w:tc>
                <w:tcPr>
                  <w:tcW w:w="394" w:type="dxa"/>
                  <w:shd w:val="clear" w:color="auto" w:fill="auto"/>
                  <w:vAlign w:val="center"/>
                </w:tcPr>
                <w:p w14:paraId="2EFB551D">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7AFCF613">
                  <w:pPr>
                    <w:widowControl/>
                    <w:adjustRightInd w:val="0"/>
                    <w:snapToGrid w:val="0"/>
                    <w:spacing w:line="320" w:lineRule="exact"/>
                    <w:jc w:val="center"/>
                    <w:rPr>
                      <w:sz w:val="20"/>
                      <w:szCs w:val="20"/>
                    </w:rPr>
                  </w:pPr>
                  <w:r>
                    <w:rPr>
                      <w:sz w:val="20"/>
                      <w:szCs w:val="20"/>
                    </w:rPr>
                    <w:t>8.4</w:t>
                  </w:r>
                </w:p>
              </w:tc>
              <w:tc>
                <w:tcPr>
                  <w:tcW w:w="699" w:type="dxa"/>
                  <w:shd w:val="clear" w:color="auto" w:fill="auto"/>
                  <w:vAlign w:val="center"/>
                </w:tcPr>
                <w:p w14:paraId="55792E1D">
                  <w:pPr>
                    <w:widowControl/>
                    <w:adjustRightInd w:val="0"/>
                    <w:snapToGrid w:val="0"/>
                    <w:spacing w:line="320" w:lineRule="exact"/>
                    <w:jc w:val="center"/>
                    <w:rPr>
                      <w:sz w:val="20"/>
                      <w:szCs w:val="20"/>
                    </w:rPr>
                  </w:pPr>
                  <w:r>
                    <w:rPr>
                      <w:rFonts w:hint="eastAsia"/>
                      <w:sz w:val="20"/>
                      <w:szCs w:val="20"/>
                    </w:rPr>
                    <w:t xml:space="preserve">63.86 </w:t>
                  </w:r>
                </w:p>
              </w:tc>
              <w:tc>
                <w:tcPr>
                  <w:tcW w:w="670" w:type="dxa"/>
                  <w:vMerge w:val="continue"/>
                  <w:shd w:val="clear" w:color="auto" w:fill="auto"/>
                  <w:vAlign w:val="center"/>
                </w:tcPr>
                <w:p w14:paraId="24EAE814">
                  <w:pPr>
                    <w:widowControl/>
                    <w:adjustRightInd w:val="0"/>
                    <w:snapToGrid w:val="0"/>
                    <w:spacing w:line="320" w:lineRule="exact"/>
                    <w:jc w:val="center"/>
                    <w:rPr>
                      <w:sz w:val="20"/>
                      <w:szCs w:val="20"/>
                    </w:rPr>
                  </w:pPr>
                </w:p>
              </w:tc>
              <w:tc>
                <w:tcPr>
                  <w:tcW w:w="700" w:type="dxa"/>
                  <w:shd w:val="clear" w:color="auto" w:fill="auto"/>
                  <w:vAlign w:val="center"/>
                </w:tcPr>
                <w:p w14:paraId="62D5FD10">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465A38B0">
                  <w:pPr>
                    <w:widowControl/>
                    <w:adjustRightInd w:val="0"/>
                    <w:snapToGrid w:val="0"/>
                    <w:spacing w:line="320" w:lineRule="exact"/>
                    <w:jc w:val="center"/>
                    <w:rPr>
                      <w:sz w:val="20"/>
                      <w:szCs w:val="20"/>
                    </w:rPr>
                  </w:pPr>
                  <w:r>
                    <w:rPr>
                      <w:sz w:val="20"/>
                      <w:szCs w:val="20"/>
                    </w:rPr>
                    <w:t xml:space="preserve">34.86 </w:t>
                  </w:r>
                </w:p>
              </w:tc>
              <w:tc>
                <w:tcPr>
                  <w:tcW w:w="395" w:type="dxa"/>
                  <w:shd w:val="clear" w:color="auto" w:fill="auto"/>
                  <w:vAlign w:val="center"/>
                </w:tcPr>
                <w:p w14:paraId="0E3D84AB">
                  <w:pPr>
                    <w:widowControl/>
                    <w:adjustRightInd w:val="0"/>
                    <w:snapToGrid w:val="0"/>
                    <w:spacing w:line="320" w:lineRule="exact"/>
                    <w:jc w:val="center"/>
                    <w:rPr>
                      <w:sz w:val="20"/>
                      <w:szCs w:val="20"/>
                    </w:rPr>
                  </w:pPr>
                  <w:r>
                    <w:rPr>
                      <w:sz w:val="20"/>
                      <w:szCs w:val="20"/>
                    </w:rPr>
                    <w:t>1</w:t>
                  </w:r>
                </w:p>
              </w:tc>
            </w:tr>
            <w:tr w14:paraId="5556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restart"/>
                  <w:shd w:val="clear" w:color="auto" w:fill="auto"/>
                  <w:vAlign w:val="center"/>
                </w:tcPr>
                <w:p w14:paraId="3D228A41">
                  <w:pPr>
                    <w:widowControl/>
                    <w:adjustRightInd w:val="0"/>
                    <w:snapToGrid w:val="0"/>
                    <w:spacing w:line="320" w:lineRule="exact"/>
                    <w:jc w:val="center"/>
                    <w:rPr>
                      <w:sz w:val="20"/>
                      <w:szCs w:val="20"/>
                    </w:rPr>
                  </w:pPr>
                  <w:r>
                    <w:rPr>
                      <w:sz w:val="20"/>
                      <w:szCs w:val="20"/>
                    </w:rPr>
                    <w:t xml:space="preserve">7 </w:t>
                  </w:r>
                </w:p>
              </w:tc>
              <w:tc>
                <w:tcPr>
                  <w:tcW w:w="394" w:type="dxa"/>
                  <w:vMerge w:val="continue"/>
                  <w:shd w:val="clear" w:color="auto" w:fill="auto"/>
                  <w:vAlign w:val="center"/>
                </w:tcPr>
                <w:p w14:paraId="711EB900">
                  <w:pPr>
                    <w:widowControl/>
                    <w:adjustRightInd w:val="0"/>
                    <w:snapToGrid w:val="0"/>
                    <w:spacing w:line="320" w:lineRule="exact"/>
                    <w:jc w:val="center"/>
                    <w:rPr>
                      <w:sz w:val="20"/>
                      <w:szCs w:val="20"/>
                    </w:rPr>
                  </w:pPr>
                </w:p>
              </w:tc>
              <w:tc>
                <w:tcPr>
                  <w:tcW w:w="394" w:type="dxa"/>
                  <w:vMerge w:val="restart"/>
                  <w:shd w:val="clear" w:color="auto" w:fill="auto"/>
                  <w:vAlign w:val="center"/>
                </w:tcPr>
                <w:p w14:paraId="42AC2997">
                  <w:pPr>
                    <w:widowControl/>
                    <w:adjustRightInd w:val="0"/>
                    <w:snapToGrid w:val="0"/>
                    <w:spacing w:line="320" w:lineRule="exact"/>
                    <w:jc w:val="center"/>
                    <w:rPr>
                      <w:sz w:val="20"/>
                      <w:szCs w:val="20"/>
                    </w:rPr>
                  </w:pPr>
                  <w:r>
                    <w:rPr>
                      <w:rFonts w:hint="eastAsia"/>
                      <w:sz w:val="20"/>
                      <w:szCs w:val="20"/>
                    </w:rPr>
                    <w:t>污泥泵</w:t>
                  </w:r>
                </w:p>
              </w:tc>
              <w:tc>
                <w:tcPr>
                  <w:tcW w:w="394" w:type="dxa"/>
                  <w:vMerge w:val="restart"/>
                  <w:shd w:val="clear" w:color="auto" w:fill="auto"/>
                  <w:vAlign w:val="center"/>
                </w:tcPr>
                <w:p w14:paraId="61C4519B">
                  <w:pPr>
                    <w:widowControl/>
                    <w:adjustRightInd w:val="0"/>
                    <w:snapToGrid w:val="0"/>
                    <w:spacing w:line="320" w:lineRule="exact"/>
                    <w:jc w:val="center"/>
                    <w:rPr>
                      <w:sz w:val="20"/>
                      <w:szCs w:val="20"/>
                    </w:rPr>
                  </w:pPr>
                  <w:r>
                    <w:rPr>
                      <w:sz w:val="20"/>
                      <w:szCs w:val="20"/>
                    </w:rPr>
                    <w:t>/</w:t>
                  </w:r>
                </w:p>
              </w:tc>
              <w:tc>
                <w:tcPr>
                  <w:tcW w:w="699" w:type="dxa"/>
                  <w:vMerge w:val="restart"/>
                  <w:shd w:val="clear" w:color="auto" w:fill="auto"/>
                  <w:vAlign w:val="center"/>
                </w:tcPr>
                <w:p w14:paraId="437B99A6">
                  <w:pPr>
                    <w:widowControl/>
                    <w:adjustRightInd w:val="0"/>
                    <w:snapToGrid w:val="0"/>
                    <w:spacing w:line="320" w:lineRule="exact"/>
                    <w:jc w:val="center"/>
                    <w:rPr>
                      <w:sz w:val="20"/>
                      <w:szCs w:val="20"/>
                    </w:rPr>
                  </w:pPr>
                  <w:r>
                    <w:rPr>
                      <w:sz w:val="20"/>
                      <w:szCs w:val="20"/>
                    </w:rPr>
                    <w:t>75</w:t>
                  </w:r>
                </w:p>
              </w:tc>
              <w:tc>
                <w:tcPr>
                  <w:tcW w:w="570" w:type="dxa"/>
                  <w:vMerge w:val="continue"/>
                  <w:shd w:val="clear" w:color="auto" w:fill="auto"/>
                  <w:vAlign w:val="center"/>
                </w:tcPr>
                <w:p w14:paraId="77C2562F">
                  <w:pPr>
                    <w:widowControl/>
                    <w:adjustRightInd w:val="0"/>
                    <w:snapToGrid w:val="0"/>
                    <w:spacing w:line="320" w:lineRule="exact"/>
                    <w:jc w:val="center"/>
                    <w:rPr>
                      <w:sz w:val="20"/>
                      <w:szCs w:val="20"/>
                    </w:rPr>
                  </w:pPr>
                </w:p>
              </w:tc>
              <w:tc>
                <w:tcPr>
                  <w:tcW w:w="614" w:type="dxa"/>
                  <w:shd w:val="clear" w:color="auto" w:fill="FFFFFF"/>
                  <w:vAlign w:val="center"/>
                </w:tcPr>
                <w:p w14:paraId="757143F4">
                  <w:pPr>
                    <w:widowControl/>
                    <w:adjustRightInd w:val="0"/>
                    <w:snapToGrid w:val="0"/>
                    <w:spacing w:line="320" w:lineRule="exact"/>
                    <w:jc w:val="center"/>
                    <w:rPr>
                      <w:sz w:val="20"/>
                      <w:szCs w:val="20"/>
                    </w:rPr>
                  </w:pPr>
                  <w:r>
                    <w:rPr>
                      <w:sz w:val="20"/>
                      <w:szCs w:val="20"/>
                    </w:rPr>
                    <w:t>26.98</w:t>
                  </w:r>
                </w:p>
              </w:tc>
              <w:tc>
                <w:tcPr>
                  <w:tcW w:w="585" w:type="dxa"/>
                  <w:shd w:val="clear" w:color="auto" w:fill="FFFFFF"/>
                  <w:vAlign w:val="center"/>
                </w:tcPr>
                <w:p w14:paraId="1548E3A6">
                  <w:pPr>
                    <w:widowControl/>
                    <w:adjustRightInd w:val="0"/>
                    <w:snapToGrid w:val="0"/>
                    <w:spacing w:line="320" w:lineRule="exact"/>
                    <w:jc w:val="center"/>
                    <w:rPr>
                      <w:sz w:val="20"/>
                      <w:szCs w:val="20"/>
                    </w:rPr>
                  </w:pPr>
                  <w:r>
                    <w:rPr>
                      <w:sz w:val="20"/>
                      <w:szCs w:val="20"/>
                    </w:rPr>
                    <w:t>-4.24</w:t>
                  </w:r>
                </w:p>
              </w:tc>
              <w:tc>
                <w:tcPr>
                  <w:tcW w:w="437" w:type="dxa"/>
                  <w:shd w:val="clear" w:color="auto" w:fill="FFFFFF"/>
                  <w:vAlign w:val="center"/>
                </w:tcPr>
                <w:p w14:paraId="28522276">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7200C375">
                  <w:pPr>
                    <w:widowControl/>
                    <w:adjustRightInd w:val="0"/>
                    <w:snapToGrid w:val="0"/>
                    <w:spacing w:line="320" w:lineRule="exact"/>
                    <w:jc w:val="center"/>
                    <w:rPr>
                      <w:sz w:val="20"/>
                      <w:szCs w:val="20"/>
                    </w:rPr>
                  </w:pPr>
                  <w:r>
                    <w:rPr>
                      <w:rFonts w:hint="eastAsia"/>
                      <w:sz w:val="20"/>
                      <w:szCs w:val="20"/>
                    </w:rPr>
                    <w:t>东</w:t>
                  </w:r>
                </w:p>
              </w:tc>
              <w:tc>
                <w:tcPr>
                  <w:tcW w:w="437" w:type="dxa"/>
                  <w:shd w:val="clear" w:color="auto" w:fill="auto"/>
                  <w:vAlign w:val="center"/>
                </w:tcPr>
                <w:p w14:paraId="2257615B">
                  <w:pPr>
                    <w:widowControl/>
                    <w:adjustRightInd w:val="0"/>
                    <w:snapToGrid w:val="0"/>
                    <w:spacing w:line="320" w:lineRule="exact"/>
                    <w:jc w:val="center"/>
                    <w:rPr>
                      <w:sz w:val="20"/>
                      <w:szCs w:val="20"/>
                    </w:rPr>
                  </w:pPr>
                  <w:r>
                    <w:rPr>
                      <w:sz w:val="20"/>
                      <w:szCs w:val="20"/>
                    </w:rPr>
                    <w:t>1</w:t>
                  </w:r>
                  <w:r>
                    <w:rPr>
                      <w:rFonts w:hint="eastAsia"/>
                      <w:sz w:val="20"/>
                      <w:szCs w:val="20"/>
                    </w:rPr>
                    <w:t>6</w:t>
                  </w:r>
                </w:p>
              </w:tc>
              <w:tc>
                <w:tcPr>
                  <w:tcW w:w="699" w:type="dxa"/>
                  <w:shd w:val="clear" w:color="auto" w:fill="auto"/>
                  <w:vAlign w:val="center"/>
                </w:tcPr>
                <w:p w14:paraId="0D3EB1A9">
                  <w:pPr>
                    <w:widowControl/>
                    <w:adjustRightInd w:val="0"/>
                    <w:snapToGrid w:val="0"/>
                    <w:spacing w:line="320" w:lineRule="exact"/>
                    <w:jc w:val="center"/>
                    <w:rPr>
                      <w:sz w:val="20"/>
                      <w:szCs w:val="20"/>
                    </w:rPr>
                  </w:pPr>
                  <w:r>
                    <w:rPr>
                      <w:rFonts w:hint="eastAsia"/>
                      <w:sz w:val="20"/>
                      <w:szCs w:val="20"/>
                    </w:rPr>
                    <w:t xml:space="preserve">63.81 </w:t>
                  </w:r>
                </w:p>
              </w:tc>
              <w:tc>
                <w:tcPr>
                  <w:tcW w:w="670" w:type="dxa"/>
                  <w:vMerge w:val="continue"/>
                  <w:shd w:val="clear" w:color="auto" w:fill="auto"/>
                  <w:vAlign w:val="center"/>
                </w:tcPr>
                <w:p w14:paraId="39324C74">
                  <w:pPr>
                    <w:widowControl/>
                    <w:adjustRightInd w:val="0"/>
                    <w:snapToGrid w:val="0"/>
                    <w:spacing w:line="320" w:lineRule="exact"/>
                    <w:jc w:val="center"/>
                    <w:rPr>
                      <w:sz w:val="20"/>
                      <w:szCs w:val="20"/>
                    </w:rPr>
                  </w:pPr>
                </w:p>
              </w:tc>
              <w:tc>
                <w:tcPr>
                  <w:tcW w:w="700" w:type="dxa"/>
                  <w:shd w:val="clear" w:color="auto" w:fill="auto"/>
                  <w:vAlign w:val="center"/>
                </w:tcPr>
                <w:p w14:paraId="59ABD07C">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2F6A16CA">
                  <w:pPr>
                    <w:widowControl/>
                    <w:adjustRightInd w:val="0"/>
                    <w:snapToGrid w:val="0"/>
                    <w:spacing w:line="320" w:lineRule="exact"/>
                    <w:jc w:val="center"/>
                    <w:rPr>
                      <w:sz w:val="20"/>
                      <w:szCs w:val="20"/>
                    </w:rPr>
                  </w:pPr>
                  <w:r>
                    <w:rPr>
                      <w:sz w:val="20"/>
                      <w:szCs w:val="20"/>
                    </w:rPr>
                    <w:t xml:space="preserve">34.81 </w:t>
                  </w:r>
                </w:p>
              </w:tc>
              <w:tc>
                <w:tcPr>
                  <w:tcW w:w="395" w:type="dxa"/>
                  <w:shd w:val="clear" w:color="auto" w:fill="auto"/>
                  <w:vAlign w:val="center"/>
                </w:tcPr>
                <w:p w14:paraId="13F912E2">
                  <w:pPr>
                    <w:widowControl/>
                    <w:adjustRightInd w:val="0"/>
                    <w:snapToGrid w:val="0"/>
                    <w:spacing w:line="320" w:lineRule="exact"/>
                    <w:jc w:val="center"/>
                    <w:rPr>
                      <w:sz w:val="20"/>
                      <w:szCs w:val="20"/>
                    </w:rPr>
                  </w:pPr>
                  <w:r>
                    <w:rPr>
                      <w:sz w:val="20"/>
                      <w:szCs w:val="20"/>
                    </w:rPr>
                    <w:t>1</w:t>
                  </w:r>
                </w:p>
              </w:tc>
            </w:tr>
            <w:tr w14:paraId="67B0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67917EB7">
                  <w:pPr>
                    <w:widowControl/>
                    <w:adjustRightInd w:val="0"/>
                    <w:snapToGrid w:val="0"/>
                    <w:spacing w:line="320" w:lineRule="exact"/>
                    <w:jc w:val="center"/>
                    <w:rPr>
                      <w:sz w:val="20"/>
                      <w:szCs w:val="20"/>
                    </w:rPr>
                  </w:pPr>
                </w:p>
              </w:tc>
              <w:tc>
                <w:tcPr>
                  <w:tcW w:w="394" w:type="dxa"/>
                  <w:vMerge w:val="continue"/>
                  <w:shd w:val="clear" w:color="auto" w:fill="auto"/>
                  <w:vAlign w:val="center"/>
                </w:tcPr>
                <w:p w14:paraId="53B719BB">
                  <w:pPr>
                    <w:widowControl/>
                    <w:adjustRightInd w:val="0"/>
                    <w:snapToGrid w:val="0"/>
                    <w:spacing w:line="320" w:lineRule="exact"/>
                    <w:jc w:val="center"/>
                    <w:rPr>
                      <w:sz w:val="20"/>
                      <w:szCs w:val="20"/>
                    </w:rPr>
                  </w:pPr>
                </w:p>
              </w:tc>
              <w:tc>
                <w:tcPr>
                  <w:tcW w:w="394" w:type="dxa"/>
                  <w:vMerge w:val="continue"/>
                  <w:shd w:val="clear" w:color="auto" w:fill="auto"/>
                  <w:vAlign w:val="center"/>
                </w:tcPr>
                <w:p w14:paraId="32630050">
                  <w:pPr>
                    <w:widowControl/>
                    <w:adjustRightInd w:val="0"/>
                    <w:snapToGrid w:val="0"/>
                    <w:spacing w:line="320" w:lineRule="exact"/>
                    <w:jc w:val="center"/>
                    <w:rPr>
                      <w:sz w:val="20"/>
                      <w:szCs w:val="20"/>
                    </w:rPr>
                  </w:pPr>
                </w:p>
              </w:tc>
              <w:tc>
                <w:tcPr>
                  <w:tcW w:w="394" w:type="dxa"/>
                  <w:vMerge w:val="continue"/>
                  <w:shd w:val="clear" w:color="auto" w:fill="auto"/>
                  <w:vAlign w:val="center"/>
                </w:tcPr>
                <w:p w14:paraId="1B0FCDB0">
                  <w:pPr>
                    <w:widowControl/>
                    <w:adjustRightInd w:val="0"/>
                    <w:snapToGrid w:val="0"/>
                    <w:spacing w:line="320" w:lineRule="exact"/>
                    <w:jc w:val="center"/>
                    <w:rPr>
                      <w:sz w:val="20"/>
                      <w:szCs w:val="20"/>
                    </w:rPr>
                  </w:pPr>
                </w:p>
              </w:tc>
              <w:tc>
                <w:tcPr>
                  <w:tcW w:w="699" w:type="dxa"/>
                  <w:vMerge w:val="continue"/>
                  <w:shd w:val="clear" w:color="auto" w:fill="auto"/>
                  <w:vAlign w:val="center"/>
                </w:tcPr>
                <w:p w14:paraId="48529D7F">
                  <w:pPr>
                    <w:widowControl/>
                    <w:adjustRightInd w:val="0"/>
                    <w:snapToGrid w:val="0"/>
                    <w:spacing w:line="320" w:lineRule="exact"/>
                    <w:jc w:val="center"/>
                    <w:rPr>
                      <w:sz w:val="20"/>
                      <w:szCs w:val="20"/>
                    </w:rPr>
                  </w:pPr>
                </w:p>
              </w:tc>
              <w:tc>
                <w:tcPr>
                  <w:tcW w:w="570" w:type="dxa"/>
                  <w:vMerge w:val="continue"/>
                  <w:shd w:val="clear" w:color="auto" w:fill="auto"/>
                  <w:vAlign w:val="center"/>
                </w:tcPr>
                <w:p w14:paraId="2470F2B2">
                  <w:pPr>
                    <w:widowControl/>
                    <w:adjustRightInd w:val="0"/>
                    <w:snapToGrid w:val="0"/>
                    <w:spacing w:line="320" w:lineRule="exact"/>
                    <w:jc w:val="center"/>
                    <w:rPr>
                      <w:sz w:val="20"/>
                      <w:szCs w:val="20"/>
                    </w:rPr>
                  </w:pPr>
                </w:p>
              </w:tc>
              <w:tc>
                <w:tcPr>
                  <w:tcW w:w="614" w:type="dxa"/>
                  <w:shd w:val="clear" w:color="auto" w:fill="FFFFFF"/>
                  <w:vAlign w:val="center"/>
                </w:tcPr>
                <w:p w14:paraId="1C1B5D2D">
                  <w:pPr>
                    <w:widowControl/>
                    <w:adjustRightInd w:val="0"/>
                    <w:snapToGrid w:val="0"/>
                    <w:spacing w:line="320" w:lineRule="exact"/>
                    <w:jc w:val="center"/>
                    <w:rPr>
                      <w:sz w:val="20"/>
                      <w:szCs w:val="20"/>
                    </w:rPr>
                  </w:pPr>
                  <w:r>
                    <w:rPr>
                      <w:sz w:val="20"/>
                      <w:szCs w:val="20"/>
                    </w:rPr>
                    <w:t>26.07</w:t>
                  </w:r>
                </w:p>
              </w:tc>
              <w:tc>
                <w:tcPr>
                  <w:tcW w:w="585" w:type="dxa"/>
                  <w:shd w:val="clear" w:color="auto" w:fill="FFFFFF"/>
                  <w:vAlign w:val="center"/>
                </w:tcPr>
                <w:p w14:paraId="60D237E6">
                  <w:pPr>
                    <w:widowControl/>
                    <w:adjustRightInd w:val="0"/>
                    <w:snapToGrid w:val="0"/>
                    <w:spacing w:line="320" w:lineRule="exact"/>
                    <w:jc w:val="center"/>
                    <w:rPr>
                      <w:sz w:val="20"/>
                      <w:szCs w:val="20"/>
                    </w:rPr>
                  </w:pPr>
                  <w:r>
                    <w:rPr>
                      <w:sz w:val="20"/>
                      <w:szCs w:val="20"/>
                    </w:rPr>
                    <w:t>-6.58</w:t>
                  </w:r>
                </w:p>
              </w:tc>
              <w:tc>
                <w:tcPr>
                  <w:tcW w:w="437" w:type="dxa"/>
                  <w:shd w:val="clear" w:color="auto" w:fill="FFFFFF"/>
                  <w:vAlign w:val="center"/>
                </w:tcPr>
                <w:p w14:paraId="7BB7675D">
                  <w:pPr>
                    <w:widowControl/>
                    <w:adjustRightInd w:val="0"/>
                    <w:snapToGrid w:val="0"/>
                    <w:spacing w:line="320" w:lineRule="exact"/>
                    <w:jc w:val="center"/>
                    <w:rPr>
                      <w:sz w:val="20"/>
                      <w:szCs w:val="20"/>
                    </w:rPr>
                  </w:pPr>
                  <w:r>
                    <w:rPr>
                      <w:sz w:val="20"/>
                      <w:szCs w:val="20"/>
                    </w:rPr>
                    <w:t>7.1</w:t>
                  </w:r>
                </w:p>
              </w:tc>
              <w:tc>
                <w:tcPr>
                  <w:tcW w:w="394" w:type="dxa"/>
                  <w:shd w:val="clear" w:color="auto" w:fill="auto"/>
                  <w:vAlign w:val="center"/>
                </w:tcPr>
                <w:p w14:paraId="460561CE">
                  <w:pPr>
                    <w:widowControl/>
                    <w:adjustRightInd w:val="0"/>
                    <w:snapToGrid w:val="0"/>
                    <w:spacing w:line="320" w:lineRule="exact"/>
                    <w:jc w:val="center"/>
                    <w:rPr>
                      <w:sz w:val="20"/>
                      <w:szCs w:val="20"/>
                    </w:rPr>
                  </w:pPr>
                  <w:r>
                    <w:rPr>
                      <w:rFonts w:hint="eastAsia"/>
                      <w:sz w:val="20"/>
                      <w:szCs w:val="20"/>
                    </w:rPr>
                    <w:t>南</w:t>
                  </w:r>
                </w:p>
              </w:tc>
              <w:tc>
                <w:tcPr>
                  <w:tcW w:w="437" w:type="dxa"/>
                  <w:shd w:val="clear" w:color="auto" w:fill="auto"/>
                  <w:vAlign w:val="center"/>
                </w:tcPr>
                <w:p w14:paraId="578601F6">
                  <w:pPr>
                    <w:widowControl/>
                    <w:adjustRightInd w:val="0"/>
                    <w:snapToGrid w:val="0"/>
                    <w:spacing w:line="320" w:lineRule="exact"/>
                    <w:jc w:val="center"/>
                    <w:rPr>
                      <w:sz w:val="20"/>
                      <w:szCs w:val="20"/>
                    </w:rPr>
                  </w:pPr>
                  <w:r>
                    <w:rPr>
                      <w:sz w:val="20"/>
                      <w:szCs w:val="20"/>
                    </w:rPr>
                    <w:t>19</w:t>
                  </w:r>
                </w:p>
              </w:tc>
              <w:tc>
                <w:tcPr>
                  <w:tcW w:w="699" w:type="dxa"/>
                  <w:shd w:val="clear" w:color="auto" w:fill="auto"/>
                  <w:vAlign w:val="center"/>
                </w:tcPr>
                <w:p w14:paraId="4B062A4F">
                  <w:pPr>
                    <w:widowControl/>
                    <w:adjustRightInd w:val="0"/>
                    <w:snapToGrid w:val="0"/>
                    <w:spacing w:line="320" w:lineRule="exact"/>
                    <w:jc w:val="center"/>
                    <w:rPr>
                      <w:sz w:val="20"/>
                      <w:szCs w:val="20"/>
                    </w:rPr>
                  </w:pPr>
                  <w:r>
                    <w:rPr>
                      <w:rFonts w:hint="eastAsia"/>
                      <w:sz w:val="20"/>
                      <w:szCs w:val="20"/>
                    </w:rPr>
                    <w:t xml:space="preserve">63.81 </w:t>
                  </w:r>
                </w:p>
              </w:tc>
              <w:tc>
                <w:tcPr>
                  <w:tcW w:w="670" w:type="dxa"/>
                  <w:vMerge w:val="continue"/>
                  <w:shd w:val="clear" w:color="auto" w:fill="auto"/>
                  <w:vAlign w:val="center"/>
                </w:tcPr>
                <w:p w14:paraId="469200C6">
                  <w:pPr>
                    <w:widowControl/>
                    <w:adjustRightInd w:val="0"/>
                    <w:snapToGrid w:val="0"/>
                    <w:spacing w:line="320" w:lineRule="exact"/>
                    <w:jc w:val="center"/>
                    <w:rPr>
                      <w:sz w:val="20"/>
                      <w:szCs w:val="20"/>
                    </w:rPr>
                  </w:pPr>
                </w:p>
              </w:tc>
              <w:tc>
                <w:tcPr>
                  <w:tcW w:w="700" w:type="dxa"/>
                  <w:shd w:val="clear" w:color="auto" w:fill="auto"/>
                  <w:vAlign w:val="center"/>
                </w:tcPr>
                <w:p w14:paraId="6A34913B">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7DB47473">
                  <w:pPr>
                    <w:widowControl/>
                    <w:adjustRightInd w:val="0"/>
                    <w:snapToGrid w:val="0"/>
                    <w:spacing w:line="320" w:lineRule="exact"/>
                    <w:jc w:val="center"/>
                    <w:rPr>
                      <w:sz w:val="20"/>
                      <w:szCs w:val="20"/>
                    </w:rPr>
                  </w:pPr>
                  <w:r>
                    <w:rPr>
                      <w:sz w:val="20"/>
                      <w:szCs w:val="20"/>
                    </w:rPr>
                    <w:t xml:space="preserve">34.81 </w:t>
                  </w:r>
                </w:p>
              </w:tc>
              <w:tc>
                <w:tcPr>
                  <w:tcW w:w="395" w:type="dxa"/>
                  <w:shd w:val="clear" w:color="auto" w:fill="auto"/>
                  <w:vAlign w:val="center"/>
                </w:tcPr>
                <w:p w14:paraId="0EE44ED3">
                  <w:pPr>
                    <w:widowControl/>
                    <w:adjustRightInd w:val="0"/>
                    <w:snapToGrid w:val="0"/>
                    <w:spacing w:line="320" w:lineRule="exact"/>
                    <w:jc w:val="center"/>
                    <w:rPr>
                      <w:sz w:val="20"/>
                      <w:szCs w:val="20"/>
                    </w:rPr>
                  </w:pPr>
                  <w:r>
                    <w:rPr>
                      <w:sz w:val="20"/>
                      <w:szCs w:val="20"/>
                    </w:rPr>
                    <w:t>1</w:t>
                  </w:r>
                </w:p>
              </w:tc>
            </w:tr>
            <w:tr w14:paraId="7608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004E3EBB">
                  <w:pPr>
                    <w:widowControl/>
                    <w:adjustRightInd w:val="0"/>
                    <w:snapToGrid w:val="0"/>
                    <w:spacing w:line="320" w:lineRule="exact"/>
                    <w:jc w:val="center"/>
                    <w:rPr>
                      <w:sz w:val="20"/>
                      <w:szCs w:val="20"/>
                    </w:rPr>
                  </w:pPr>
                </w:p>
              </w:tc>
              <w:tc>
                <w:tcPr>
                  <w:tcW w:w="394" w:type="dxa"/>
                  <w:vMerge w:val="continue"/>
                  <w:shd w:val="clear" w:color="auto" w:fill="auto"/>
                  <w:vAlign w:val="center"/>
                </w:tcPr>
                <w:p w14:paraId="54C948D9">
                  <w:pPr>
                    <w:widowControl/>
                    <w:adjustRightInd w:val="0"/>
                    <w:snapToGrid w:val="0"/>
                    <w:spacing w:line="320" w:lineRule="exact"/>
                    <w:jc w:val="center"/>
                    <w:rPr>
                      <w:sz w:val="20"/>
                      <w:szCs w:val="20"/>
                    </w:rPr>
                  </w:pPr>
                </w:p>
              </w:tc>
              <w:tc>
                <w:tcPr>
                  <w:tcW w:w="394" w:type="dxa"/>
                  <w:vMerge w:val="continue"/>
                  <w:shd w:val="clear" w:color="auto" w:fill="auto"/>
                  <w:vAlign w:val="center"/>
                </w:tcPr>
                <w:p w14:paraId="48FCA086">
                  <w:pPr>
                    <w:widowControl/>
                    <w:adjustRightInd w:val="0"/>
                    <w:snapToGrid w:val="0"/>
                    <w:spacing w:line="320" w:lineRule="exact"/>
                    <w:jc w:val="center"/>
                    <w:rPr>
                      <w:sz w:val="20"/>
                      <w:szCs w:val="20"/>
                    </w:rPr>
                  </w:pPr>
                </w:p>
              </w:tc>
              <w:tc>
                <w:tcPr>
                  <w:tcW w:w="394" w:type="dxa"/>
                  <w:vMerge w:val="continue"/>
                  <w:shd w:val="clear" w:color="auto" w:fill="auto"/>
                  <w:vAlign w:val="center"/>
                </w:tcPr>
                <w:p w14:paraId="1EA707ED">
                  <w:pPr>
                    <w:widowControl/>
                    <w:adjustRightInd w:val="0"/>
                    <w:snapToGrid w:val="0"/>
                    <w:spacing w:line="320" w:lineRule="exact"/>
                    <w:jc w:val="center"/>
                    <w:rPr>
                      <w:sz w:val="20"/>
                      <w:szCs w:val="20"/>
                    </w:rPr>
                  </w:pPr>
                </w:p>
              </w:tc>
              <w:tc>
                <w:tcPr>
                  <w:tcW w:w="699" w:type="dxa"/>
                  <w:vMerge w:val="continue"/>
                  <w:shd w:val="clear" w:color="auto" w:fill="auto"/>
                  <w:vAlign w:val="center"/>
                </w:tcPr>
                <w:p w14:paraId="08E7E15F">
                  <w:pPr>
                    <w:widowControl/>
                    <w:adjustRightInd w:val="0"/>
                    <w:snapToGrid w:val="0"/>
                    <w:spacing w:line="320" w:lineRule="exact"/>
                    <w:jc w:val="center"/>
                    <w:rPr>
                      <w:sz w:val="20"/>
                      <w:szCs w:val="20"/>
                    </w:rPr>
                  </w:pPr>
                </w:p>
              </w:tc>
              <w:tc>
                <w:tcPr>
                  <w:tcW w:w="570" w:type="dxa"/>
                  <w:vMerge w:val="continue"/>
                  <w:shd w:val="clear" w:color="auto" w:fill="auto"/>
                  <w:vAlign w:val="center"/>
                </w:tcPr>
                <w:p w14:paraId="42BDBDEC">
                  <w:pPr>
                    <w:widowControl/>
                    <w:adjustRightInd w:val="0"/>
                    <w:snapToGrid w:val="0"/>
                    <w:spacing w:line="320" w:lineRule="exact"/>
                    <w:jc w:val="center"/>
                    <w:rPr>
                      <w:sz w:val="20"/>
                      <w:szCs w:val="20"/>
                    </w:rPr>
                  </w:pPr>
                </w:p>
              </w:tc>
              <w:tc>
                <w:tcPr>
                  <w:tcW w:w="614" w:type="dxa"/>
                  <w:shd w:val="clear" w:color="auto" w:fill="FFFFFF"/>
                  <w:vAlign w:val="center"/>
                </w:tcPr>
                <w:p w14:paraId="042BDA5C">
                  <w:pPr>
                    <w:widowControl/>
                    <w:adjustRightInd w:val="0"/>
                    <w:snapToGrid w:val="0"/>
                    <w:spacing w:line="320" w:lineRule="exact"/>
                    <w:jc w:val="center"/>
                    <w:rPr>
                      <w:sz w:val="20"/>
                      <w:szCs w:val="20"/>
                    </w:rPr>
                  </w:pPr>
                  <w:r>
                    <w:rPr>
                      <w:sz w:val="20"/>
                      <w:szCs w:val="20"/>
                    </w:rPr>
                    <w:t>34.82</w:t>
                  </w:r>
                </w:p>
              </w:tc>
              <w:tc>
                <w:tcPr>
                  <w:tcW w:w="585" w:type="dxa"/>
                  <w:shd w:val="clear" w:color="auto" w:fill="FFFFFF"/>
                  <w:vAlign w:val="center"/>
                </w:tcPr>
                <w:p w14:paraId="2164A3CF">
                  <w:pPr>
                    <w:widowControl/>
                    <w:adjustRightInd w:val="0"/>
                    <w:snapToGrid w:val="0"/>
                    <w:spacing w:line="320" w:lineRule="exact"/>
                    <w:jc w:val="center"/>
                    <w:rPr>
                      <w:sz w:val="20"/>
                      <w:szCs w:val="20"/>
                    </w:rPr>
                  </w:pPr>
                  <w:r>
                    <w:rPr>
                      <w:sz w:val="20"/>
                      <w:szCs w:val="20"/>
                    </w:rPr>
                    <w:t>-2.49</w:t>
                  </w:r>
                </w:p>
              </w:tc>
              <w:tc>
                <w:tcPr>
                  <w:tcW w:w="437" w:type="dxa"/>
                  <w:shd w:val="clear" w:color="auto" w:fill="FFFFFF"/>
                  <w:vAlign w:val="center"/>
                </w:tcPr>
                <w:p w14:paraId="2CED125E">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1DE675A5">
                  <w:pPr>
                    <w:widowControl/>
                    <w:adjustRightInd w:val="0"/>
                    <w:snapToGrid w:val="0"/>
                    <w:spacing w:line="320" w:lineRule="exact"/>
                    <w:jc w:val="center"/>
                    <w:rPr>
                      <w:sz w:val="20"/>
                      <w:szCs w:val="20"/>
                    </w:rPr>
                  </w:pPr>
                  <w:r>
                    <w:rPr>
                      <w:rFonts w:hint="eastAsia"/>
                      <w:sz w:val="20"/>
                      <w:szCs w:val="20"/>
                    </w:rPr>
                    <w:t>西</w:t>
                  </w:r>
                </w:p>
              </w:tc>
              <w:tc>
                <w:tcPr>
                  <w:tcW w:w="437" w:type="dxa"/>
                  <w:shd w:val="clear" w:color="auto" w:fill="auto"/>
                  <w:vAlign w:val="center"/>
                </w:tcPr>
                <w:p w14:paraId="2D3BF816">
                  <w:pPr>
                    <w:widowControl/>
                    <w:adjustRightInd w:val="0"/>
                    <w:snapToGrid w:val="0"/>
                    <w:spacing w:line="320" w:lineRule="exact"/>
                    <w:jc w:val="center"/>
                    <w:rPr>
                      <w:sz w:val="20"/>
                      <w:szCs w:val="20"/>
                    </w:rPr>
                  </w:pPr>
                  <w:r>
                    <w:rPr>
                      <w:sz w:val="20"/>
                      <w:szCs w:val="20"/>
                    </w:rPr>
                    <w:t>4.2</w:t>
                  </w:r>
                </w:p>
              </w:tc>
              <w:tc>
                <w:tcPr>
                  <w:tcW w:w="699" w:type="dxa"/>
                  <w:shd w:val="clear" w:color="auto" w:fill="auto"/>
                  <w:vAlign w:val="center"/>
                </w:tcPr>
                <w:p w14:paraId="70A91FDB">
                  <w:pPr>
                    <w:widowControl/>
                    <w:adjustRightInd w:val="0"/>
                    <w:snapToGrid w:val="0"/>
                    <w:spacing w:line="320" w:lineRule="exact"/>
                    <w:jc w:val="center"/>
                    <w:rPr>
                      <w:sz w:val="20"/>
                      <w:szCs w:val="20"/>
                    </w:rPr>
                  </w:pPr>
                  <w:r>
                    <w:rPr>
                      <w:rFonts w:hint="eastAsia"/>
                      <w:sz w:val="20"/>
                      <w:szCs w:val="20"/>
                    </w:rPr>
                    <w:t xml:space="preserve">64.05 </w:t>
                  </w:r>
                </w:p>
              </w:tc>
              <w:tc>
                <w:tcPr>
                  <w:tcW w:w="670" w:type="dxa"/>
                  <w:vMerge w:val="continue"/>
                  <w:shd w:val="clear" w:color="auto" w:fill="auto"/>
                  <w:vAlign w:val="center"/>
                </w:tcPr>
                <w:p w14:paraId="233819C8">
                  <w:pPr>
                    <w:widowControl/>
                    <w:adjustRightInd w:val="0"/>
                    <w:snapToGrid w:val="0"/>
                    <w:spacing w:line="320" w:lineRule="exact"/>
                    <w:jc w:val="center"/>
                    <w:rPr>
                      <w:sz w:val="20"/>
                      <w:szCs w:val="20"/>
                    </w:rPr>
                  </w:pPr>
                </w:p>
              </w:tc>
              <w:tc>
                <w:tcPr>
                  <w:tcW w:w="700" w:type="dxa"/>
                  <w:shd w:val="clear" w:color="auto" w:fill="auto"/>
                  <w:vAlign w:val="center"/>
                </w:tcPr>
                <w:p w14:paraId="3A41E5FF">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0D214766">
                  <w:pPr>
                    <w:widowControl/>
                    <w:adjustRightInd w:val="0"/>
                    <w:snapToGrid w:val="0"/>
                    <w:spacing w:line="320" w:lineRule="exact"/>
                    <w:jc w:val="center"/>
                    <w:rPr>
                      <w:sz w:val="20"/>
                      <w:szCs w:val="20"/>
                    </w:rPr>
                  </w:pPr>
                  <w:r>
                    <w:rPr>
                      <w:sz w:val="20"/>
                      <w:szCs w:val="20"/>
                    </w:rPr>
                    <w:t xml:space="preserve">35.05 </w:t>
                  </w:r>
                </w:p>
              </w:tc>
              <w:tc>
                <w:tcPr>
                  <w:tcW w:w="395" w:type="dxa"/>
                  <w:shd w:val="clear" w:color="auto" w:fill="auto"/>
                  <w:vAlign w:val="center"/>
                </w:tcPr>
                <w:p w14:paraId="50BCCCC6">
                  <w:pPr>
                    <w:widowControl/>
                    <w:adjustRightInd w:val="0"/>
                    <w:snapToGrid w:val="0"/>
                    <w:spacing w:line="320" w:lineRule="exact"/>
                    <w:jc w:val="center"/>
                    <w:rPr>
                      <w:sz w:val="20"/>
                      <w:szCs w:val="20"/>
                    </w:rPr>
                  </w:pPr>
                  <w:r>
                    <w:rPr>
                      <w:sz w:val="20"/>
                      <w:szCs w:val="20"/>
                    </w:rPr>
                    <w:t>1</w:t>
                  </w:r>
                </w:p>
              </w:tc>
            </w:tr>
            <w:tr w14:paraId="39CE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4" w:type="dxa"/>
                  <w:vMerge w:val="continue"/>
                  <w:shd w:val="clear" w:color="auto" w:fill="auto"/>
                  <w:vAlign w:val="center"/>
                </w:tcPr>
                <w:p w14:paraId="47159300">
                  <w:pPr>
                    <w:widowControl/>
                    <w:adjustRightInd w:val="0"/>
                    <w:snapToGrid w:val="0"/>
                    <w:spacing w:line="320" w:lineRule="exact"/>
                    <w:jc w:val="center"/>
                    <w:rPr>
                      <w:sz w:val="20"/>
                      <w:szCs w:val="20"/>
                    </w:rPr>
                  </w:pPr>
                </w:p>
              </w:tc>
              <w:tc>
                <w:tcPr>
                  <w:tcW w:w="394" w:type="dxa"/>
                  <w:vMerge w:val="continue"/>
                  <w:shd w:val="clear" w:color="auto" w:fill="auto"/>
                  <w:vAlign w:val="center"/>
                </w:tcPr>
                <w:p w14:paraId="21B54F87">
                  <w:pPr>
                    <w:widowControl/>
                    <w:adjustRightInd w:val="0"/>
                    <w:snapToGrid w:val="0"/>
                    <w:spacing w:line="320" w:lineRule="exact"/>
                    <w:jc w:val="center"/>
                    <w:rPr>
                      <w:sz w:val="20"/>
                      <w:szCs w:val="20"/>
                    </w:rPr>
                  </w:pPr>
                </w:p>
              </w:tc>
              <w:tc>
                <w:tcPr>
                  <w:tcW w:w="394" w:type="dxa"/>
                  <w:vMerge w:val="continue"/>
                  <w:shd w:val="clear" w:color="auto" w:fill="auto"/>
                  <w:vAlign w:val="center"/>
                </w:tcPr>
                <w:p w14:paraId="43B8B06E">
                  <w:pPr>
                    <w:widowControl/>
                    <w:adjustRightInd w:val="0"/>
                    <w:snapToGrid w:val="0"/>
                    <w:spacing w:line="320" w:lineRule="exact"/>
                    <w:jc w:val="center"/>
                    <w:rPr>
                      <w:sz w:val="20"/>
                      <w:szCs w:val="20"/>
                    </w:rPr>
                  </w:pPr>
                </w:p>
              </w:tc>
              <w:tc>
                <w:tcPr>
                  <w:tcW w:w="394" w:type="dxa"/>
                  <w:vMerge w:val="continue"/>
                  <w:shd w:val="clear" w:color="auto" w:fill="auto"/>
                  <w:vAlign w:val="center"/>
                </w:tcPr>
                <w:p w14:paraId="1F554341">
                  <w:pPr>
                    <w:widowControl/>
                    <w:adjustRightInd w:val="0"/>
                    <w:snapToGrid w:val="0"/>
                    <w:spacing w:line="320" w:lineRule="exact"/>
                    <w:jc w:val="center"/>
                    <w:rPr>
                      <w:sz w:val="20"/>
                      <w:szCs w:val="20"/>
                    </w:rPr>
                  </w:pPr>
                </w:p>
              </w:tc>
              <w:tc>
                <w:tcPr>
                  <w:tcW w:w="699" w:type="dxa"/>
                  <w:vMerge w:val="continue"/>
                  <w:shd w:val="clear" w:color="auto" w:fill="auto"/>
                  <w:vAlign w:val="center"/>
                </w:tcPr>
                <w:p w14:paraId="2501DF8B">
                  <w:pPr>
                    <w:widowControl/>
                    <w:adjustRightInd w:val="0"/>
                    <w:snapToGrid w:val="0"/>
                    <w:spacing w:line="320" w:lineRule="exact"/>
                    <w:jc w:val="center"/>
                    <w:rPr>
                      <w:sz w:val="20"/>
                      <w:szCs w:val="20"/>
                    </w:rPr>
                  </w:pPr>
                </w:p>
              </w:tc>
              <w:tc>
                <w:tcPr>
                  <w:tcW w:w="570" w:type="dxa"/>
                  <w:vMerge w:val="continue"/>
                  <w:shd w:val="clear" w:color="auto" w:fill="auto"/>
                  <w:vAlign w:val="center"/>
                </w:tcPr>
                <w:p w14:paraId="53E9A38C">
                  <w:pPr>
                    <w:widowControl/>
                    <w:adjustRightInd w:val="0"/>
                    <w:snapToGrid w:val="0"/>
                    <w:spacing w:line="320" w:lineRule="exact"/>
                    <w:jc w:val="center"/>
                    <w:rPr>
                      <w:sz w:val="20"/>
                      <w:szCs w:val="20"/>
                    </w:rPr>
                  </w:pPr>
                </w:p>
              </w:tc>
              <w:tc>
                <w:tcPr>
                  <w:tcW w:w="614" w:type="dxa"/>
                  <w:shd w:val="clear" w:color="auto" w:fill="FFFFFF"/>
                  <w:vAlign w:val="center"/>
                </w:tcPr>
                <w:p w14:paraId="453419B6">
                  <w:pPr>
                    <w:widowControl/>
                    <w:adjustRightInd w:val="0"/>
                    <w:snapToGrid w:val="0"/>
                    <w:spacing w:line="320" w:lineRule="exact"/>
                    <w:jc w:val="center"/>
                    <w:rPr>
                      <w:sz w:val="20"/>
                      <w:szCs w:val="20"/>
                    </w:rPr>
                  </w:pPr>
                  <w:r>
                    <w:rPr>
                      <w:sz w:val="20"/>
                      <w:szCs w:val="20"/>
                    </w:rPr>
                    <w:t>40.86</w:t>
                  </w:r>
                </w:p>
              </w:tc>
              <w:tc>
                <w:tcPr>
                  <w:tcW w:w="585" w:type="dxa"/>
                  <w:shd w:val="clear" w:color="auto" w:fill="FFFFFF"/>
                  <w:vAlign w:val="center"/>
                </w:tcPr>
                <w:p w14:paraId="7ACB2B83">
                  <w:pPr>
                    <w:widowControl/>
                    <w:adjustRightInd w:val="0"/>
                    <w:snapToGrid w:val="0"/>
                    <w:spacing w:line="320" w:lineRule="exact"/>
                    <w:jc w:val="center"/>
                    <w:rPr>
                      <w:sz w:val="20"/>
                      <w:szCs w:val="20"/>
                    </w:rPr>
                  </w:pPr>
                  <w:r>
                    <w:rPr>
                      <w:sz w:val="20"/>
                      <w:szCs w:val="20"/>
                    </w:rPr>
                    <w:t>3.25</w:t>
                  </w:r>
                </w:p>
              </w:tc>
              <w:tc>
                <w:tcPr>
                  <w:tcW w:w="437" w:type="dxa"/>
                  <w:shd w:val="clear" w:color="auto" w:fill="FFFFFF"/>
                  <w:vAlign w:val="center"/>
                </w:tcPr>
                <w:p w14:paraId="5F513CF8">
                  <w:pPr>
                    <w:widowControl/>
                    <w:adjustRightInd w:val="0"/>
                    <w:snapToGrid w:val="0"/>
                    <w:spacing w:line="320" w:lineRule="exact"/>
                    <w:jc w:val="center"/>
                    <w:rPr>
                      <w:sz w:val="20"/>
                      <w:szCs w:val="20"/>
                    </w:rPr>
                  </w:pPr>
                  <w:r>
                    <w:rPr>
                      <w:sz w:val="20"/>
                      <w:szCs w:val="20"/>
                    </w:rPr>
                    <w:t>0.5</w:t>
                  </w:r>
                </w:p>
              </w:tc>
              <w:tc>
                <w:tcPr>
                  <w:tcW w:w="394" w:type="dxa"/>
                  <w:shd w:val="clear" w:color="auto" w:fill="auto"/>
                  <w:vAlign w:val="center"/>
                </w:tcPr>
                <w:p w14:paraId="4A9CE403">
                  <w:pPr>
                    <w:widowControl/>
                    <w:adjustRightInd w:val="0"/>
                    <w:snapToGrid w:val="0"/>
                    <w:spacing w:line="320" w:lineRule="exact"/>
                    <w:jc w:val="center"/>
                    <w:rPr>
                      <w:sz w:val="20"/>
                      <w:szCs w:val="20"/>
                    </w:rPr>
                  </w:pPr>
                  <w:r>
                    <w:rPr>
                      <w:rFonts w:hint="eastAsia"/>
                      <w:sz w:val="20"/>
                      <w:szCs w:val="20"/>
                    </w:rPr>
                    <w:t>北</w:t>
                  </w:r>
                </w:p>
              </w:tc>
              <w:tc>
                <w:tcPr>
                  <w:tcW w:w="437" w:type="dxa"/>
                  <w:shd w:val="clear" w:color="auto" w:fill="auto"/>
                  <w:vAlign w:val="center"/>
                </w:tcPr>
                <w:p w14:paraId="7FE432D5">
                  <w:pPr>
                    <w:widowControl/>
                    <w:adjustRightInd w:val="0"/>
                    <w:snapToGrid w:val="0"/>
                    <w:spacing w:line="320" w:lineRule="exact"/>
                    <w:jc w:val="center"/>
                    <w:rPr>
                      <w:sz w:val="20"/>
                      <w:szCs w:val="20"/>
                    </w:rPr>
                  </w:pPr>
                  <w:r>
                    <w:rPr>
                      <w:sz w:val="20"/>
                      <w:szCs w:val="20"/>
                    </w:rPr>
                    <w:t>1</w:t>
                  </w:r>
                </w:p>
              </w:tc>
              <w:tc>
                <w:tcPr>
                  <w:tcW w:w="699" w:type="dxa"/>
                  <w:shd w:val="clear" w:color="auto" w:fill="auto"/>
                  <w:vAlign w:val="center"/>
                </w:tcPr>
                <w:p w14:paraId="707F1D39">
                  <w:pPr>
                    <w:widowControl/>
                    <w:adjustRightInd w:val="0"/>
                    <w:snapToGrid w:val="0"/>
                    <w:spacing w:line="320" w:lineRule="exact"/>
                    <w:jc w:val="center"/>
                    <w:rPr>
                      <w:sz w:val="20"/>
                      <w:szCs w:val="20"/>
                    </w:rPr>
                  </w:pPr>
                  <w:r>
                    <w:rPr>
                      <w:rFonts w:hint="eastAsia"/>
                      <w:sz w:val="20"/>
                      <w:szCs w:val="20"/>
                    </w:rPr>
                    <w:t xml:space="preserve">66.91 </w:t>
                  </w:r>
                </w:p>
              </w:tc>
              <w:tc>
                <w:tcPr>
                  <w:tcW w:w="670" w:type="dxa"/>
                  <w:vMerge w:val="continue"/>
                  <w:shd w:val="clear" w:color="auto" w:fill="auto"/>
                  <w:vAlign w:val="center"/>
                </w:tcPr>
                <w:p w14:paraId="5790F9AF">
                  <w:pPr>
                    <w:widowControl/>
                    <w:adjustRightInd w:val="0"/>
                    <w:snapToGrid w:val="0"/>
                    <w:spacing w:line="320" w:lineRule="exact"/>
                    <w:jc w:val="center"/>
                    <w:rPr>
                      <w:sz w:val="20"/>
                      <w:szCs w:val="20"/>
                    </w:rPr>
                  </w:pPr>
                </w:p>
              </w:tc>
              <w:tc>
                <w:tcPr>
                  <w:tcW w:w="700" w:type="dxa"/>
                  <w:shd w:val="clear" w:color="auto" w:fill="auto"/>
                  <w:vAlign w:val="center"/>
                </w:tcPr>
                <w:p w14:paraId="6FC790A7">
                  <w:pPr>
                    <w:widowControl/>
                    <w:adjustRightInd w:val="0"/>
                    <w:snapToGrid w:val="0"/>
                    <w:spacing w:line="320" w:lineRule="exact"/>
                    <w:jc w:val="center"/>
                    <w:rPr>
                      <w:sz w:val="20"/>
                      <w:szCs w:val="20"/>
                    </w:rPr>
                  </w:pPr>
                  <w:r>
                    <w:rPr>
                      <w:sz w:val="20"/>
                      <w:szCs w:val="20"/>
                    </w:rPr>
                    <w:t xml:space="preserve">29 </w:t>
                  </w:r>
                </w:p>
              </w:tc>
              <w:tc>
                <w:tcPr>
                  <w:tcW w:w="700" w:type="dxa"/>
                  <w:shd w:val="clear" w:color="auto" w:fill="auto"/>
                  <w:vAlign w:val="center"/>
                </w:tcPr>
                <w:p w14:paraId="56054DF4">
                  <w:pPr>
                    <w:widowControl/>
                    <w:adjustRightInd w:val="0"/>
                    <w:snapToGrid w:val="0"/>
                    <w:spacing w:line="320" w:lineRule="exact"/>
                    <w:rPr>
                      <w:sz w:val="20"/>
                      <w:szCs w:val="20"/>
                    </w:rPr>
                  </w:pPr>
                  <w:r>
                    <w:rPr>
                      <w:sz w:val="20"/>
                      <w:szCs w:val="20"/>
                    </w:rPr>
                    <w:t xml:space="preserve">37.91 </w:t>
                  </w:r>
                </w:p>
              </w:tc>
              <w:tc>
                <w:tcPr>
                  <w:tcW w:w="395" w:type="dxa"/>
                  <w:shd w:val="clear" w:color="auto" w:fill="auto"/>
                  <w:vAlign w:val="center"/>
                </w:tcPr>
                <w:p w14:paraId="248C6A13">
                  <w:pPr>
                    <w:widowControl/>
                    <w:adjustRightInd w:val="0"/>
                    <w:snapToGrid w:val="0"/>
                    <w:spacing w:line="320" w:lineRule="exact"/>
                    <w:jc w:val="center"/>
                    <w:rPr>
                      <w:sz w:val="20"/>
                      <w:szCs w:val="20"/>
                    </w:rPr>
                  </w:pPr>
                  <w:r>
                    <w:rPr>
                      <w:sz w:val="20"/>
                      <w:szCs w:val="20"/>
                    </w:rPr>
                    <w:t>1</w:t>
                  </w:r>
                </w:p>
              </w:tc>
            </w:tr>
          </w:tbl>
          <w:p w14:paraId="3579DDD4">
            <w:pPr>
              <w:wordWrap w:val="0"/>
              <w:adjustRightInd w:val="0"/>
              <w:spacing w:line="360" w:lineRule="auto"/>
              <w:ind w:firstLine="480" w:firstLineChars="200"/>
              <w:rPr>
                <w:rFonts w:hint="eastAsia" w:ascii="宋体" w:hAnsi="宋体"/>
                <w:sz w:val="24"/>
                <w:lang w:val="de-DE"/>
              </w:rPr>
            </w:pPr>
            <w:r>
              <w:rPr>
                <w:rFonts w:hint="eastAsia" w:ascii="宋体" w:hAnsi="宋体"/>
                <w:sz w:val="24"/>
                <w:lang w:val="de-DE"/>
              </w:rPr>
              <w:t>④将室外声压级L</w:t>
            </w:r>
            <w:r>
              <w:rPr>
                <w:rFonts w:hint="eastAsia" w:ascii="宋体" w:hAnsi="宋体"/>
                <w:sz w:val="24"/>
              </w:rPr>
              <w:t>p2i(T</w:t>
            </w:r>
            <w:r>
              <w:rPr>
                <w:rFonts w:hint="eastAsia" w:ascii="宋体" w:hAnsi="宋体"/>
                <w:sz w:val="24"/>
                <w:lang w:eastAsia="zh-CN"/>
              </w:rPr>
              <w:t>）</w:t>
            </w:r>
            <w:r>
              <w:rPr>
                <w:rFonts w:hint="eastAsia" w:ascii="宋体" w:hAnsi="宋体"/>
                <w:sz w:val="24"/>
                <w:lang w:val="de-DE"/>
              </w:rPr>
              <w:t>和透声面积换算成等效的室外声源，计算出等效声源第i个倍频带的声功率级Lw：</w:t>
            </w:r>
          </w:p>
          <w:p w14:paraId="1F3FD6D9">
            <w:pPr>
              <w:adjustRightInd w:val="0"/>
              <w:snapToGrid w:val="0"/>
              <w:spacing w:before="48" w:beforeLines="20" w:after="48" w:afterLines="20"/>
              <w:ind w:firstLine="574"/>
              <w:jc w:val="center"/>
              <w:rPr>
                <w:iCs/>
                <w:sz w:val="24"/>
              </w:rPr>
            </w:pPr>
            <w:r>
              <w:rPr>
                <w:iCs/>
                <w:w w:val="120"/>
              </w:rPr>
              <w:t>L</w:t>
            </w:r>
            <w:r>
              <w:rPr>
                <w:iCs/>
                <w:w w:val="120"/>
                <w:position w:val="-4"/>
              </w:rPr>
              <w:t>w</w:t>
            </w:r>
            <w:r>
              <w:rPr>
                <w:rFonts w:hint="eastAsia"/>
                <w:iCs/>
                <w:w w:val="120"/>
              </w:rPr>
              <w:t>=</w:t>
            </w:r>
            <w:r>
              <w:rPr>
                <w:iCs/>
                <w:w w:val="120"/>
              </w:rPr>
              <w:t>L</w:t>
            </w:r>
            <w:r>
              <w:rPr>
                <w:iCs/>
                <w:w w:val="120"/>
                <w:position w:val="-4"/>
                <w:vertAlign w:val="subscript"/>
              </w:rPr>
              <w:t>p2</w:t>
            </w:r>
            <w:r>
              <w:rPr>
                <w:rFonts w:hint="eastAsia"/>
                <w:iCs/>
                <w:w w:val="120"/>
                <w:position w:val="-4"/>
                <w:vertAlign w:val="subscript"/>
              </w:rPr>
              <w:t>i</w:t>
            </w:r>
            <w:r>
              <w:rPr>
                <w:iCs/>
                <w:w w:val="120"/>
              </w:rPr>
              <w:t>(T)</w:t>
            </w:r>
            <w:r>
              <w:rPr>
                <w:rFonts w:hint="eastAsia"/>
                <w:iCs/>
                <w:w w:val="120"/>
              </w:rPr>
              <w:t>+</w:t>
            </w:r>
            <w:r>
              <w:rPr>
                <w:iCs/>
                <w:w w:val="120"/>
              </w:rPr>
              <w:t>10lgS</w:t>
            </w:r>
          </w:p>
          <w:p w14:paraId="6F220B96">
            <w:pPr>
              <w:adjustRightInd w:val="0"/>
              <w:spacing w:line="360" w:lineRule="auto"/>
              <w:ind w:firstLine="480" w:firstLineChars="200"/>
              <w:rPr>
                <w:sz w:val="24"/>
              </w:rPr>
            </w:pPr>
            <w:r>
              <w:rPr>
                <w:rFonts w:hint="eastAsia" w:ascii="宋体" w:hAnsi="宋体"/>
                <w:sz w:val="24"/>
              </w:rPr>
              <w:t>式中：</w:t>
            </w:r>
            <w:r>
              <w:rPr>
                <w:rFonts w:hint="eastAsia"/>
                <w:sz w:val="24"/>
              </w:rPr>
              <w:t>S-</w:t>
            </w:r>
            <w:r>
              <w:rPr>
                <w:rFonts w:hint="eastAsia" w:ascii="宋体" w:hAnsi="宋体"/>
                <w:sz w:val="24"/>
              </w:rPr>
              <w:t>透声面积，</w:t>
            </w:r>
            <w:r>
              <w:rPr>
                <w:rFonts w:hint="eastAsia"/>
                <w:sz w:val="24"/>
              </w:rPr>
              <w:t>m</w:t>
            </w:r>
            <w:r>
              <w:rPr>
                <w:rFonts w:hint="eastAsia"/>
                <w:sz w:val="24"/>
                <w:vertAlign w:val="superscript"/>
              </w:rPr>
              <w:t>2</w:t>
            </w:r>
            <w:r>
              <w:rPr>
                <w:rFonts w:hint="eastAsia" w:ascii="宋体" w:hAnsi="宋体"/>
                <w:sz w:val="24"/>
              </w:rPr>
              <w:t>；其余同上。</w:t>
            </w:r>
          </w:p>
          <w:p w14:paraId="082361A5">
            <w:pPr>
              <w:adjustRightInd w:val="0"/>
              <w:spacing w:line="360" w:lineRule="auto"/>
              <w:ind w:firstLine="480" w:firstLineChars="200"/>
              <w:rPr>
                <w:sz w:val="24"/>
              </w:rPr>
            </w:pPr>
            <w:r>
              <w:rPr>
                <w:rFonts w:hint="eastAsia" w:ascii="宋体" w:hAnsi="宋体"/>
                <w:sz w:val="24"/>
              </w:rPr>
              <w:t>⑤等效室外声源的位置为围护结构的位置，其倍频带声功率级为</w:t>
            </w:r>
            <w:r>
              <w:rPr>
                <w:rFonts w:hint="eastAsia"/>
                <w:sz w:val="24"/>
              </w:rPr>
              <w:t>L</w:t>
            </w:r>
            <w:r>
              <w:rPr>
                <w:iCs/>
                <w:w w:val="120"/>
                <w:position w:val="-4"/>
              </w:rPr>
              <w:t>w</w:t>
            </w:r>
            <w:r>
              <w:rPr>
                <w:rFonts w:hint="eastAsia" w:ascii="宋体" w:hAnsi="宋体"/>
                <w:sz w:val="24"/>
              </w:rPr>
              <w:t>，由此按室外声源方法计算等效室外声源在预测点产生的声级。</w:t>
            </w:r>
          </w:p>
          <w:p w14:paraId="5065BD00">
            <w:pPr>
              <w:adjustRightInd w:val="0"/>
              <w:spacing w:line="360" w:lineRule="auto"/>
              <w:ind w:firstLine="480" w:firstLineChars="200"/>
              <w:rPr>
                <w:rFonts w:hint="eastAsia" w:ascii="宋体" w:hAnsi="宋体"/>
                <w:sz w:val="24"/>
                <w:lang w:val="de-DE"/>
              </w:rPr>
            </w:pPr>
            <w:r>
              <w:rPr>
                <w:rFonts w:hint="eastAsia" w:ascii="宋体" w:hAnsi="宋体"/>
                <w:sz w:val="24"/>
                <w:lang w:val="de-DE"/>
              </w:rPr>
              <w:t>⑥贡献值计算</w:t>
            </w:r>
          </w:p>
          <w:p w14:paraId="6A107C78">
            <w:pPr>
              <w:pStyle w:val="91"/>
              <w:spacing w:line="360" w:lineRule="auto"/>
              <w:ind w:firstLine="480"/>
              <w:textAlignment w:val="baseline"/>
              <w:rPr>
                <w:rFonts w:eastAsia="宋体"/>
                <w:snapToGrid w:val="0"/>
                <w:sz w:val="24"/>
              </w:rPr>
            </w:pPr>
            <w:r>
              <w:rPr>
                <w:rFonts w:hint="eastAsia" w:eastAsia="宋体"/>
                <w:snapToGrid w:val="0"/>
                <w:sz w:val="24"/>
              </w:rPr>
              <w:t>声源处于半自由声场，按室外声源预测方法计算预测点处的A声级：</w:t>
            </w:r>
          </w:p>
          <w:p w14:paraId="1583EEC6">
            <w:pPr>
              <w:adjustRightInd w:val="0"/>
              <w:snapToGrid w:val="0"/>
              <w:spacing w:before="48" w:beforeLines="20" w:after="48" w:afterLines="20"/>
              <w:ind w:firstLine="574"/>
              <w:jc w:val="center"/>
              <w:rPr>
                <w:iCs/>
                <w:w w:val="120"/>
              </w:rPr>
            </w:pPr>
            <w:r>
              <w:rPr>
                <w:rFonts w:hint="eastAsia"/>
                <w:iCs/>
                <w:w w:val="120"/>
              </w:rPr>
              <w:t>Lp</w:t>
            </w:r>
            <w:r>
              <w:rPr>
                <w:rFonts w:hint="eastAsia"/>
                <w:iCs/>
                <w:w w:val="120"/>
                <w:lang w:eastAsia="zh-CN"/>
              </w:rPr>
              <w:t>(</w:t>
            </w:r>
            <w:r>
              <w:rPr>
                <w:rFonts w:hint="eastAsia"/>
                <w:iCs/>
                <w:w w:val="120"/>
              </w:rPr>
              <w:t>r</w:t>
            </w:r>
            <w:r>
              <w:rPr>
                <w:rFonts w:hint="eastAsia"/>
                <w:iCs/>
                <w:w w:val="120"/>
                <w:lang w:eastAsia="zh-CN"/>
              </w:rPr>
              <w:t>)</w:t>
            </w:r>
            <w:r>
              <w:rPr>
                <w:rFonts w:hint="eastAsia"/>
                <w:iCs/>
                <w:w w:val="120"/>
              </w:rPr>
              <w:t>=Lw-20lgr-8</w:t>
            </w:r>
          </w:p>
          <w:p w14:paraId="016BD9FB">
            <w:pPr>
              <w:pStyle w:val="91"/>
              <w:spacing w:line="360" w:lineRule="auto"/>
              <w:ind w:firstLine="480"/>
              <w:textAlignment w:val="baseline"/>
              <w:rPr>
                <w:rFonts w:eastAsia="宋体"/>
                <w:snapToGrid w:val="0"/>
                <w:sz w:val="24"/>
              </w:rPr>
            </w:pPr>
            <w:r>
              <w:rPr>
                <w:rFonts w:hint="eastAsia" w:eastAsia="宋体"/>
                <w:snapToGrid w:val="0"/>
                <w:sz w:val="24"/>
              </w:rPr>
              <w:t>式中：</w:t>
            </w:r>
          </w:p>
          <w:p w14:paraId="21962091">
            <w:pPr>
              <w:pStyle w:val="91"/>
              <w:spacing w:line="360" w:lineRule="auto"/>
              <w:ind w:firstLine="574"/>
              <w:textAlignment w:val="baseline"/>
              <w:rPr>
                <w:rFonts w:eastAsia="宋体"/>
                <w:snapToGrid w:val="0"/>
                <w:sz w:val="24"/>
              </w:rPr>
            </w:pPr>
            <w:r>
              <w:rPr>
                <w:rFonts w:hint="eastAsia"/>
                <w:w w:val="120"/>
                <w:sz w:val="24"/>
              </w:rPr>
              <w:t>L</w:t>
            </w:r>
            <w:r>
              <w:rPr>
                <w:rFonts w:hint="eastAsia"/>
                <w:w w:val="120"/>
                <w:sz w:val="24"/>
                <w:vertAlign w:val="subscript"/>
              </w:rPr>
              <w:t>p</w:t>
            </w:r>
            <w:r>
              <w:rPr>
                <w:rFonts w:hint="eastAsia"/>
                <w:w w:val="120"/>
                <w:sz w:val="24"/>
              </w:rPr>
              <w:t>（r）</w:t>
            </w:r>
            <w:r>
              <w:rPr>
                <w:rFonts w:hint="eastAsia" w:eastAsia="宋体"/>
                <w:snapToGrid w:val="0"/>
                <w:sz w:val="24"/>
              </w:rPr>
              <w:t>—预测点声压值，dB；</w:t>
            </w:r>
          </w:p>
          <w:p w14:paraId="176C1EDD">
            <w:pPr>
              <w:pStyle w:val="91"/>
              <w:spacing w:line="360" w:lineRule="auto"/>
              <w:ind w:firstLine="480"/>
              <w:textAlignment w:val="baseline"/>
              <w:rPr>
                <w:rFonts w:eastAsia="宋体"/>
                <w:snapToGrid w:val="0"/>
                <w:sz w:val="24"/>
              </w:rPr>
            </w:pPr>
            <w:r>
              <w:rPr>
                <w:rFonts w:hint="eastAsia" w:eastAsia="宋体"/>
                <w:snapToGrid w:val="0"/>
                <w:sz w:val="24"/>
              </w:rPr>
              <w:t>Lw—由点声源产生的倍频带声压级，dB；</w:t>
            </w:r>
          </w:p>
          <w:p w14:paraId="29E8CE81">
            <w:pPr>
              <w:pStyle w:val="91"/>
              <w:spacing w:line="360" w:lineRule="auto"/>
              <w:ind w:firstLine="480"/>
              <w:textAlignment w:val="baseline"/>
              <w:rPr>
                <w:rFonts w:eastAsia="宋体"/>
                <w:snapToGrid w:val="0"/>
                <w:sz w:val="24"/>
              </w:rPr>
            </w:pPr>
            <w:r>
              <w:rPr>
                <w:rFonts w:hint="eastAsia" w:eastAsia="宋体"/>
                <w:snapToGrid w:val="0"/>
                <w:sz w:val="24"/>
              </w:rPr>
              <w:t>r—预测点距声源的距离，m</w:t>
            </w:r>
            <w:r>
              <w:rPr>
                <w:rFonts w:eastAsia="宋体"/>
                <w:snapToGrid w:val="0"/>
                <w:sz w:val="24"/>
                <w:vertAlign w:val="superscript"/>
              </w:rPr>
              <w:t>2</w:t>
            </w:r>
            <w:r>
              <w:rPr>
                <w:rFonts w:hint="eastAsia" w:eastAsia="宋体"/>
                <w:snapToGrid w:val="0"/>
                <w:sz w:val="24"/>
              </w:rPr>
              <w:t>。</w:t>
            </w:r>
          </w:p>
          <w:p w14:paraId="6346EE42">
            <w:pPr>
              <w:adjustRightInd w:val="0"/>
              <w:spacing w:line="360" w:lineRule="auto"/>
              <w:ind w:firstLine="480" w:firstLineChars="200"/>
              <w:rPr>
                <w:rFonts w:hint="eastAsia" w:ascii="宋体" w:hAnsi="宋体"/>
                <w:sz w:val="24"/>
                <w:lang w:val="de-DE"/>
              </w:rPr>
            </w:pPr>
            <w:r>
              <w:rPr>
                <w:rFonts w:hint="eastAsia" w:ascii="宋体" w:hAnsi="宋体"/>
                <w:sz w:val="24"/>
                <w:lang w:val="de-DE"/>
              </w:rPr>
              <w:t>⑦噪声预测值（Leq）计算公式：</w:t>
            </w:r>
          </w:p>
          <w:p w14:paraId="332F55CC">
            <w:pPr>
              <w:adjustRightInd w:val="0"/>
              <w:snapToGrid w:val="0"/>
              <w:spacing w:before="48" w:beforeLines="20" w:after="48" w:afterLines="20"/>
              <w:ind w:firstLine="574"/>
              <w:jc w:val="center"/>
              <w:rPr>
                <w:iCs/>
                <w:w w:val="120"/>
              </w:rPr>
            </w:pPr>
            <w:r>
              <w:rPr>
                <w:rFonts w:hint="eastAsia"/>
                <w:iCs/>
                <w:w w:val="120"/>
              </w:rPr>
              <w:object>
                <v:shape id="_x0000_i1026" o:spt="75" type="#_x0000_t75" style="height:29.2pt;width:168.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5" r:id="rId22">
                  <o:LockedField>false</o:LockedField>
                </o:OLEObject>
              </w:object>
            </w:r>
          </w:p>
          <w:p w14:paraId="39FB3FFD">
            <w:pPr>
              <w:pStyle w:val="91"/>
              <w:spacing w:line="360" w:lineRule="auto"/>
              <w:ind w:firstLine="480"/>
              <w:textAlignment w:val="baseline"/>
              <w:rPr>
                <w:rFonts w:eastAsia="宋体"/>
                <w:snapToGrid w:val="0"/>
                <w:sz w:val="24"/>
              </w:rPr>
            </w:pPr>
            <w:r>
              <w:rPr>
                <w:rFonts w:hint="eastAsia" w:eastAsia="宋体"/>
                <w:snapToGrid w:val="0"/>
                <w:sz w:val="24"/>
              </w:rPr>
              <w:t>式中：Leq—预测点的噪声预测值，dB；</w:t>
            </w:r>
          </w:p>
          <w:p w14:paraId="76D28E52">
            <w:pPr>
              <w:pStyle w:val="91"/>
              <w:spacing w:line="360" w:lineRule="auto"/>
              <w:ind w:firstLine="480"/>
              <w:textAlignment w:val="baseline"/>
              <w:rPr>
                <w:rFonts w:eastAsia="宋体"/>
                <w:snapToGrid w:val="0"/>
                <w:sz w:val="24"/>
              </w:rPr>
            </w:pPr>
            <w:r>
              <w:rPr>
                <w:rFonts w:hint="eastAsia" w:eastAsia="宋体"/>
                <w:snapToGrid w:val="0"/>
                <w:sz w:val="24"/>
              </w:rPr>
              <w:t>Leqg—建设项目声源在预测点产生的噪声贡献值，dB；</w:t>
            </w:r>
          </w:p>
          <w:p w14:paraId="06AACF96">
            <w:pPr>
              <w:pStyle w:val="91"/>
              <w:spacing w:line="360" w:lineRule="auto"/>
              <w:ind w:firstLine="480"/>
              <w:textAlignment w:val="baseline"/>
              <w:rPr>
                <w:rFonts w:eastAsia="宋体"/>
                <w:snapToGrid w:val="0"/>
                <w:sz w:val="24"/>
              </w:rPr>
            </w:pPr>
            <w:r>
              <w:rPr>
                <w:rFonts w:hint="eastAsia" w:eastAsia="宋体"/>
                <w:snapToGrid w:val="0"/>
                <w:sz w:val="24"/>
              </w:rPr>
              <w:t>Leqb—预测点的背景噪声值，dB。</w:t>
            </w:r>
          </w:p>
          <w:p w14:paraId="61EA6144">
            <w:pPr>
              <w:widowControl/>
              <w:numPr>
                <w:ilvl w:val="0"/>
                <w:numId w:val="11"/>
              </w:numPr>
              <w:spacing w:line="360" w:lineRule="auto"/>
              <w:ind w:firstLine="482" w:firstLineChars="200"/>
              <w:jc w:val="left"/>
              <w:rPr>
                <w:b/>
                <w:bCs/>
                <w:sz w:val="24"/>
              </w:rPr>
            </w:pPr>
            <w:r>
              <w:rPr>
                <w:rFonts w:hint="eastAsia"/>
                <w:b/>
                <w:bCs/>
                <w:sz w:val="24"/>
              </w:rPr>
              <w:t>厂界预测结果</w:t>
            </w:r>
          </w:p>
          <w:p w14:paraId="77A25B3F">
            <w:pPr>
              <w:jc w:val="center"/>
              <w:rPr>
                <w:b/>
                <w:bCs/>
                <w:szCs w:val="21"/>
              </w:rPr>
            </w:pPr>
            <w:r>
              <w:rPr>
                <w:rFonts w:hint="eastAsia"/>
                <w:b/>
                <w:bCs/>
                <w:szCs w:val="21"/>
              </w:rPr>
              <w:t>表4-19  厂界噪声预测结果与达标分析表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713"/>
              <w:gridCol w:w="786"/>
              <w:gridCol w:w="496"/>
              <w:gridCol w:w="450"/>
              <w:gridCol w:w="1255"/>
              <w:gridCol w:w="1255"/>
              <w:gridCol w:w="1255"/>
              <w:gridCol w:w="1277"/>
              <w:gridCol w:w="495"/>
            </w:tblGrid>
            <w:tr w14:paraId="42E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495" w:type="dxa"/>
                  <w:vMerge w:val="restart"/>
                  <w:vAlign w:val="center"/>
                </w:tcPr>
                <w:p w14:paraId="2A936F28">
                  <w:pPr>
                    <w:jc w:val="center"/>
                    <w:rPr>
                      <w:szCs w:val="21"/>
                    </w:rPr>
                  </w:pPr>
                  <w:r>
                    <w:rPr>
                      <w:b/>
                      <w:szCs w:val="21"/>
                    </w:rPr>
                    <w:t>预测方位</w:t>
                  </w:r>
                </w:p>
              </w:tc>
              <w:tc>
                <w:tcPr>
                  <w:tcW w:w="1995" w:type="dxa"/>
                  <w:gridSpan w:val="3"/>
                  <w:vAlign w:val="center"/>
                </w:tcPr>
                <w:p w14:paraId="751C2154">
                  <w:pPr>
                    <w:jc w:val="center"/>
                    <w:rPr>
                      <w:szCs w:val="21"/>
                    </w:rPr>
                  </w:pPr>
                  <w:r>
                    <w:rPr>
                      <w:rFonts w:hint="eastAsia"/>
                      <w:b/>
                      <w:szCs w:val="21"/>
                    </w:rPr>
                    <w:t>最大值点</w:t>
                  </w:r>
                  <w:r>
                    <w:rPr>
                      <w:b/>
                      <w:szCs w:val="21"/>
                    </w:rPr>
                    <w:t>空间相对位置/m</w:t>
                  </w:r>
                </w:p>
              </w:tc>
              <w:tc>
                <w:tcPr>
                  <w:tcW w:w="450" w:type="dxa"/>
                  <w:vMerge w:val="restart"/>
                  <w:vAlign w:val="center"/>
                </w:tcPr>
                <w:p w14:paraId="53377E83">
                  <w:pPr>
                    <w:jc w:val="center"/>
                    <w:rPr>
                      <w:szCs w:val="21"/>
                    </w:rPr>
                  </w:pPr>
                  <w:r>
                    <w:rPr>
                      <w:b/>
                      <w:szCs w:val="21"/>
                    </w:rPr>
                    <w:t>时段</w:t>
                  </w:r>
                </w:p>
              </w:tc>
              <w:tc>
                <w:tcPr>
                  <w:tcW w:w="1255" w:type="dxa"/>
                  <w:vMerge w:val="restart"/>
                  <w:vAlign w:val="center"/>
                </w:tcPr>
                <w:p w14:paraId="12FD501E">
                  <w:pPr>
                    <w:jc w:val="center"/>
                    <w:rPr>
                      <w:szCs w:val="21"/>
                    </w:rPr>
                  </w:pPr>
                  <w:r>
                    <w:rPr>
                      <w:rFonts w:hint="eastAsia"/>
                      <w:b/>
                      <w:szCs w:val="21"/>
                    </w:rPr>
                    <w:t>贡献值</w:t>
                  </w:r>
                  <w:r>
                    <w:rPr>
                      <w:b/>
                      <w:szCs w:val="21"/>
                    </w:rPr>
                    <w:t>dB(A)）</w:t>
                  </w:r>
                </w:p>
              </w:tc>
              <w:tc>
                <w:tcPr>
                  <w:tcW w:w="1255" w:type="dxa"/>
                  <w:vMerge w:val="restart"/>
                  <w:vAlign w:val="center"/>
                </w:tcPr>
                <w:p w14:paraId="1AF7514A">
                  <w:pPr>
                    <w:jc w:val="center"/>
                    <w:rPr>
                      <w:b/>
                      <w:szCs w:val="21"/>
                    </w:rPr>
                  </w:pPr>
                  <w:r>
                    <w:rPr>
                      <w:rFonts w:hint="eastAsia"/>
                      <w:b/>
                      <w:szCs w:val="21"/>
                    </w:rPr>
                    <w:t>背景值dB(A)）</w:t>
                  </w:r>
                </w:p>
              </w:tc>
              <w:tc>
                <w:tcPr>
                  <w:tcW w:w="1255" w:type="dxa"/>
                  <w:vMerge w:val="restart"/>
                  <w:vAlign w:val="center"/>
                </w:tcPr>
                <w:p w14:paraId="1CF634D0">
                  <w:pPr>
                    <w:jc w:val="center"/>
                    <w:rPr>
                      <w:b/>
                      <w:szCs w:val="21"/>
                    </w:rPr>
                  </w:pPr>
                  <w:r>
                    <w:rPr>
                      <w:rFonts w:hint="eastAsia"/>
                      <w:b/>
                      <w:szCs w:val="21"/>
                    </w:rPr>
                    <w:t>叠加值（dB(A)）</w:t>
                  </w:r>
                </w:p>
              </w:tc>
              <w:tc>
                <w:tcPr>
                  <w:tcW w:w="1276" w:type="dxa"/>
                  <w:vMerge w:val="restart"/>
                  <w:vAlign w:val="center"/>
                </w:tcPr>
                <w:p w14:paraId="2C54DA7E">
                  <w:pPr>
                    <w:jc w:val="center"/>
                    <w:rPr>
                      <w:b/>
                      <w:szCs w:val="21"/>
                    </w:rPr>
                  </w:pPr>
                  <w:r>
                    <w:rPr>
                      <w:rFonts w:hint="eastAsia"/>
                      <w:b/>
                      <w:szCs w:val="21"/>
                    </w:rPr>
                    <w:t>标准限值（dB(A)）</w:t>
                  </w:r>
                </w:p>
              </w:tc>
              <w:tc>
                <w:tcPr>
                  <w:tcW w:w="495" w:type="dxa"/>
                  <w:vMerge w:val="restart"/>
                  <w:vAlign w:val="center"/>
                </w:tcPr>
                <w:p w14:paraId="4E4EDFD3">
                  <w:pPr>
                    <w:jc w:val="center"/>
                    <w:rPr>
                      <w:szCs w:val="21"/>
                    </w:rPr>
                  </w:pPr>
                  <w:r>
                    <w:rPr>
                      <w:b/>
                      <w:szCs w:val="21"/>
                    </w:rPr>
                    <w:t>达标情况</w:t>
                  </w:r>
                </w:p>
              </w:tc>
            </w:tr>
            <w:tr w14:paraId="5BB5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5" w:type="dxa"/>
                  <w:vMerge w:val="continue"/>
                  <w:shd w:val="clear" w:color="auto" w:fill="FFFFFF"/>
                  <w:vAlign w:val="center"/>
                </w:tcPr>
                <w:p w14:paraId="2DC0EA43">
                  <w:pPr>
                    <w:jc w:val="center"/>
                    <w:rPr>
                      <w:szCs w:val="21"/>
                    </w:rPr>
                  </w:pPr>
                </w:p>
              </w:tc>
              <w:tc>
                <w:tcPr>
                  <w:tcW w:w="713" w:type="dxa"/>
                  <w:shd w:val="clear" w:color="auto" w:fill="FFFFFF"/>
                  <w:vAlign w:val="center"/>
                </w:tcPr>
                <w:p w14:paraId="5CE7E25B">
                  <w:pPr>
                    <w:jc w:val="center"/>
                    <w:rPr>
                      <w:szCs w:val="21"/>
                    </w:rPr>
                  </w:pPr>
                  <w:r>
                    <w:rPr>
                      <w:szCs w:val="21"/>
                    </w:rPr>
                    <w:t>X</w:t>
                  </w:r>
                </w:p>
              </w:tc>
              <w:tc>
                <w:tcPr>
                  <w:tcW w:w="786" w:type="dxa"/>
                  <w:shd w:val="clear" w:color="auto" w:fill="FFFFFF"/>
                  <w:vAlign w:val="center"/>
                </w:tcPr>
                <w:p w14:paraId="46E3AAFA">
                  <w:pPr>
                    <w:jc w:val="center"/>
                    <w:rPr>
                      <w:szCs w:val="21"/>
                    </w:rPr>
                  </w:pPr>
                  <w:r>
                    <w:rPr>
                      <w:szCs w:val="21"/>
                    </w:rPr>
                    <w:t>Y</w:t>
                  </w:r>
                </w:p>
              </w:tc>
              <w:tc>
                <w:tcPr>
                  <w:tcW w:w="496" w:type="dxa"/>
                  <w:shd w:val="clear" w:color="auto" w:fill="FFFFFF"/>
                  <w:vAlign w:val="center"/>
                </w:tcPr>
                <w:p w14:paraId="27232492">
                  <w:pPr>
                    <w:jc w:val="center"/>
                    <w:rPr>
                      <w:szCs w:val="21"/>
                    </w:rPr>
                  </w:pPr>
                  <w:r>
                    <w:rPr>
                      <w:szCs w:val="21"/>
                    </w:rPr>
                    <w:t>Z</w:t>
                  </w:r>
                </w:p>
              </w:tc>
              <w:tc>
                <w:tcPr>
                  <w:tcW w:w="450" w:type="dxa"/>
                  <w:vMerge w:val="continue"/>
                  <w:shd w:val="clear" w:color="auto" w:fill="FFFFFF"/>
                  <w:vAlign w:val="center"/>
                </w:tcPr>
                <w:p w14:paraId="0A3EB029">
                  <w:pPr>
                    <w:jc w:val="center"/>
                    <w:rPr>
                      <w:szCs w:val="21"/>
                    </w:rPr>
                  </w:pPr>
                </w:p>
              </w:tc>
              <w:tc>
                <w:tcPr>
                  <w:tcW w:w="1255" w:type="dxa"/>
                  <w:vMerge w:val="continue"/>
                  <w:shd w:val="clear" w:color="auto" w:fill="FFFFFF"/>
                  <w:vAlign w:val="center"/>
                </w:tcPr>
                <w:p w14:paraId="21F8D470">
                  <w:pPr>
                    <w:jc w:val="center"/>
                    <w:rPr>
                      <w:szCs w:val="21"/>
                    </w:rPr>
                  </w:pPr>
                </w:p>
              </w:tc>
              <w:tc>
                <w:tcPr>
                  <w:tcW w:w="1255" w:type="dxa"/>
                  <w:vMerge w:val="continue"/>
                  <w:shd w:val="clear" w:color="auto" w:fill="FFFFFF"/>
                  <w:vAlign w:val="center"/>
                </w:tcPr>
                <w:p w14:paraId="61FA815C">
                  <w:pPr>
                    <w:jc w:val="center"/>
                    <w:rPr>
                      <w:szCs w:val="21"/>
                    </w:rPr>
                  </w:pPr>
                </w:p>
              </w:tc>
              <w:tc>
                <w:tcPr>
                  <w:tcW w:w="1255" w:type="dxa"/>
                  <w:vMerge w:val="continue"/>
                  <w:shd w:val="clear" w:color="auto" w:fill="FFFFFF"/>
                  <w:vAlign w:val="center"/>
                </w:tcPr>
                <w:p w14:paraId="62419ADC">
                  <w:pPr>
                    <w:jc w:val="center"/>
                    <w:rPr>
                      <w:szCs w:val="21"/>
                    </w:rPr>
                  </w:pPr>
                </w:p>
              </w:tc>
              <w:tc>
                <w:tcPr>
                  <w:tcW w:w="1276" w:type="dxa"/>
                  <w:vMerge w:val="continue"/>
                  <w:shd w:val="clear" w:color="auto" w:fill="FFFFFF"/>
                  <w:vAlign w:val="center"/>
                </w:tcPr>
                <w:p w14:paraId="09DECE1B">
                  <w:pPr>
                    <w:jc w:val="center"/>
                    <w:rPr>
                      <w:szCs w:val="21"/>
                    </w:rPr>
                  </w:pPr>
                </w:p>
              </w:tc>
              <w:tc>
                <w:tcPr>
                  <w:tcW w:w="495" w:type="dxa"/>
                  <w:vMerge w:val="continue"/>
                  <w:shd w:val="clear" w:color="auto" w:fill="FFFFFF"/>
                  <w:vAlign w:val="center"/>
                </w:tcPr>
                <w:p w14:paraId="43958FAA">
                  <w:pPr>
                    <w:jc w:val="center"/>
                    <w:rPr>
                      <w:szCs w:val="21"/>
                    </w:rPr>
                  </w:pPr>
                </w:p>
              </w:tc>
            </w:tr>
            <w:tr w14:paraId="6C38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8" w:hRule="exact"/>
                <w:jc w:val="center"/>
              </w:trPr>
              <w:tc>
                <w:tcPr>
                  <w:tcW w:w="495" w:type="dxa"/>
                  <w:shd w:val="clear" w:color="auto" w:fill="FFFFFF"/>
                  <w:vAlign w:val="center"/>
                </w:tcPr>
                <w:p w14:paraId="5553A264">
                  <w:pPr>
                    <w:jc w:val="center"/>
                  </w:pPr>
                  <w:r>
                    <w:rPr>
                      <w:rFonts w:cs="Arial"/>
                      <w:sz w:val="20"/>
                    </w:rPr>
                    <w:t>东侧</w:t>
                  </w:r>
                </w:p>
              </w:tc>
              <w:tc>
                <w:tcPr>
                  <w:tcW w:w="713" w:type="dxa"/>
                  <w:shd w:val="clear" w:color="auto" w:fill="FFFFFF"/>
                  <w:vAlign w:val="center"/>
                </w:tcPr>
                <w:p w14:paraId="0489AED3">
                  <w:pPr>
                    <w:jc w:val="center"/>
                  </w:pPr>
                  <w:r>
                    <w:rPr>
                      <w:rFonts w:hint="eastAsia"/>
                    </w:rPr>
                    <w:t>77.43</w:t>
                  </w:r>
                </w:p>
              </w:tc>
              <w:tc>
                <w:tcPr>
                  <w:tcW w:w="786" w:type="dxa"/>
                  <w:shd w:val="clear" w:color="auto" w:fill="FFFFFF"/>
                  <w:vAlign w:val="center"/>
                </w:tcPr>
                <w:p w14:paraId="3104759F">
                  <w:pPr>
                    <w:jc w:val="center"/>
                  </w:pPr>
                  <w:r>
                    <w:rPr>
                      <w:rFonts w:hint="eastAsia"/>
                    </w:rPr>
                    <w:t>-33.84</w:t>
                  </w:r>
                </w:p>
              </w:tc>
              <w:tc>
                <w:tcPr>
                  <w:tcW w:w="496" w:type="dxa"/>
                  <w:shd w:val="clear" w:color="auto" w:fill="FFFFFF"/>
                  <w:vAlign w:val="center"/>
                </w:tcPr>
                <w:p w14:paraId="13212B9B">
                  <w:pPr>
                    <w:jc w:val="center"/>
                  </w:pPr>
                  <w:r>
                    <w:rPr>
                      <w:rFonts w:hint="eastAsia"/>
                    </w:rPr>
                    <w:t>1.2</w:t>
                  </w:r>
                </w:p>
              </w:tc>
              <w:tc>
                <w:tcPr>
                  <w:tcW w:w="450" w:type="dxa"/>
                  <w:shd w:val="clear" w:color="auto" w:fill="FFFFFF"/>
                  <w:vAlign w:val="center"/>
                </w:tcPr>
                <w:p w14:paraId="7A92A0C9">
                  <w:pPr>
                    <w:jc w:val="center"/>
                  </w:pPr>
                  <w:r>
                    <w:rPr>
                      <w:rFonts w:cs="Arial"/>
                      <w:sz w:val="20"/>
                    </w:rPr>
                    <w:t>昼间</w:t>
                  </w:r>
                </w:p>
              </w:tc>
              <w:tc>
                <w:tcPr>
                  <w:tcW w:w="1255" w:type="dxa"/>
                  <w:shd w:val="clear" w:color="auto" w:fill="FFFFFF"/>
                  <w:vAlign w:val="center"/>
                </w:tcPr>
                <w:p w14:paraId="662F4A29">
                  <w:pPr>
                    <w:jc w:val="center"/>
                  </w:pPr>
                  <w:r>
                    <w:rPr>
                      <w:rFonts w:hint="eastAsia"/>
                    </w:rPr>
                    <w:t>44.34</w:t>
                  </w:r>
                </w:p>
              </w:tc>
              <w:tc>
                <w:tcPr>
                  <w:tcW w:w="1255" w:type="dxa"/>
                  <w:shd w:val="clear" w:color="auto" w:fill="FFFFFF"/>
                  <w:vAlign w:val="center"/>
                </w:tcPr>
                <w:p w14:paraId="3F3CEC93">
                  <w:pPr>
                    <w:jc w:val="center"/>
                  </w:pPr>
                  <w:r>
                    <w:rPr>
                      <w:rFonts w:hint="eastAsia"/>
                    </w:rPr>
                    <w:t xml:space="preserve">53 </w:t>
                  </w:r>
                </w:p>
              </w:tc>
              <w:tc>
                <w:tcPr>
                  <w:tcW w:w="1255" w:type="dxa"/>
                  <w:shd w:val="clear" w:color="auto" w:fill="FFFFFF"/>
                  <w:vAlign w:val="center"/>
                </w:tcPr>
                <w:p w14:paraId="1F4C898A">
                  <w:pPr>
                    <w:jc w:val="center"/>
                  </w:pPr>
                  <w:r>
                    <w:rPr>
                      <w:rFonts w:hint="eastAsia"/>
                    </w:rPr>
                    <w:t xml:space="preserve">53.55 </w:t>
                  </w:r>
                </w:p>
              </w:tc>
              <w:tc>
                <w:tcPr>
                  <w:tcW w:w="1277" w:type="dxa"/>
                  <w:shd w:val="clear" w:color="auto" w:fill="FFFFFF"/>
                  <w:vAlign w:val="center"/>
                </w:tcPr>
                <w:p w14:paraId="56452735">
                  <w:pPr>
                    <w:jc w:val="center"/>
                    <w:rPr>
                      <w:rFonts w:cs="Arial"/>
                      <w:sz w:val="20"/>
                    </w:rPr>
                  </w:pPr>
                  <w:r>
                    <w:rPr>
                      <w:rFonts w:cs="Arial"/>
                      <w:sz w:val="20"/>
                    </w:rPr>
                    <w:t>60</w:t>
                  </w:r>
                </w:p>
              </w:tc>
              <w:tc>
                <w:tcPr>
                  <w:tcW w:w="495" w:type="dxa"/>
                  <w:shd w:val="clear" w:color="auto" w:fill="FFFFFF"/>
                  <w:vAlign w:val="center"/>
                </w:tcPr>
                <w:p w14:paraId="35FDFF4F">
                  <w:pPr>
                    <w:jc w:val="center"/>
                  </w:pPr>
                  <w:r>
                    <w:rPr>
                      <w:rFonts w:cs="Arial"/>
                      <w:sz w:val="20"/>
                    </w:rPr>
                    <w:t>达标</w:t>
                  </w:r>
                </w:p>
              </w:tc>
            </w:tr>
            <w:tr w14:paraId="4FAC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6" w:hRule="exact"/>
                <w:jc w:val="center"/>
              </w:trPr>
              <w:tc>
                <w:tcPr>
                  <w:tcW w:w="495" w:type="dxa"/>
                  <w:shd w:val="clear" w:color="auto" w:fill="FFFFFF"/>
                  <w:vAlign w:val="center"/>
                </w:tcPr>
                <w:p w14:paraId="48A75E45">
                  <w:pPr>
                    <w:jc w:val="center"/>
                  </w:pPr>
                  <w:r>
                    <w:rPr>
                      <w:rFonts w:cs="Arial"/>
                      <w:sz w:val="20"/>
                    </w:rPr>
                    <w:t>南侧</w:t>
                  </w:r>
                </w:p>
              </w:tc>
              <w:tc>
                <w:tcPr>
                  <w:tcW w:w="713" w:type="dxa"/>
                  <w:shd w:val="clear" w:color="auto" w:fill="FFFFFF"/>
                  <w:vAlign w:val="center"/>
                </w:tcPr>
                <w:p w14:paraId="57D85302">
                  <w:pPr>
                    <w:jc w:val="center"/>
                  </w:pPr>
                  <w:r>
                    <w:rPr>
                      <w:rFonts w:hint="eastAsia"/>
                    </w:rPr>
                    <w:t>10.61</w:t>
                  </w:r>
                </w:p>
              </w:tc>
              <w:tc>
                <w:tcPr>
                  <w:tcW w:w="786" w:type="dxa"/>
                  <w:shd w:val="clear" w:color="auto" w:fill="FFFFFF"/>
                  <w:vAlign w:val="center"/>
                </w:tcPr>
                <w:p w14:paraId="20F55AAE">
                  <w:pPr>
                    <w:jc w:val="center"/>
                  </w:pPr>
                  <w:r>
                    <w:rPr>
                      <w:rFonts w:hint="eastAsia"/>
                    </w:rPr>
                    <w:t>-36.93</w:t>
                  </w:r>
                </w:p>
              </w:tc>
              <w:tc>
                <w:tcPr>
                  <w:tcW w:w="496" w:type="dxa"/>
                  <w:shd w:val="clear" w:color="auto" w:fill="FFFFFF"/>
                  <w:vAlign w:val="center"/>
                </w:tcPr>
                <w:p w14:paraId="7FA48EB6">
                  <w:pPr>
                    <w:jc w:val="center"/>
                  </w:pPr>
                  <w:r>
                    <w:rPr>
                      <w:rFonts w:hint="eastAsia"/>
                    </w:rPr>
                    <w:t>1.2</w:t>
                  </w:r>
                </w:p>
              </w:tc>
              <w:tc>
                <w:tcPr>
                  <w:tcW w:w="450" w:type="dxa"/>
                  <w:shd w:val="clear" w:color="auto" w:fill="FFFFFF"/>
                  <w:vAlign w:val="center"/>
                </w:tcPr>
                <w:p w14:paraId="6703E396">
                  <w:pPr>
                    <w:jc w:val="center"/>
                  </w:pPr>
                  <w:r>
                    <w:rPr>
                      <w:rFonts w:cs="Arial"/>
                      <w:sz w:val="20"/>
                    </w:rPr>
                    <w:t>昼间</w:t>
                  </w:r>
                </w:p>
              </w:tc>
              <w:tc>
                <w:tcPr>
                  <w:tcW w:w="1255" w:type="dxa"/>
                  <w:shd w:val="clear" w:color="auto" w:fill="FFFFFF"/>
                  <w:vAlign w:val="center"/>
                </w:tcPr>
                <w:p w14:paraId="1B3EDAEB">
                  <w:pPr>
                    <w:jc w:val="center"/>
                  </w:pPr>
                  <w:r>
                    <w:rPr>
                      <w:rFonts w:hint="eastAsia"/>
                    </w:rPr>
                    <w:t>51.00</w:t>
                  </w:r>
                </w:p>
              </w:tc>
              <w:tc>
                <w:tcPr>
                  <w:tcW w:w="1255" w:type="dxa"/>
                  <w:shd w:val="clear" w:color="auto" w:fill="FFFFFF"/>
                  <w:vAlign w:val="center"/>
                </w:tcPr>
                <w:p w14:paraId="556132A6">
                  <w:pPr>
                    <w:jc w:val="center"/>
                  </w:pPr>
                  <w:r>
                    <w:rPr>
                      <w:rFonts w:hint="eastAsia"/>
                    </w:rPr>
                    <w:t>52</w:t>
                  </w:r>
                </w:p>
              </w:tc>
              <w:tc>
                <w:tcPr>
                  <w:tcW w:w="1255" w:type="dxa"/>
                  <w:shd w:val="clear" w:color="auto" w:fill="FFFFFF"/>
                  <w:vAlign w:val="center"/>
                </w:tcPr>
                <w:p w14:paraId="0CE0FCE0">
                  <w:pPr>
                    <w:jc w:val="center"/>
                  </w:pPr>
                  <w:r>
                    <w:rPr>
                      <w:rFonts w:hint="eastAsia"/>
                    </w:rPr>
                    <w:t xml:space="preserve">54.54 </w:t>
                  </w:r>
                </w:p>
              </w:tc>
              <w:tc>
                <w:tcPr>
                  <w:tcW w:w="1277" w:type="dxa"/>
                  <w:shd w:val="clear" w:color="auto" w:fill="FFFFFF"/>
                  <w:vAlign w:val="center"/>
                </w:tcPr>
                <w:p w14:paraId="2E51C670">
                  <w:pPr>
                    <w:jc w:val="center"/>
                    <w:rPr>
                      <w:rFonts w:cs="Arial"/>
                      <w:sz w:val="20"/>
                    </w:rPr>
                  </w:pPr>
                  <w:r>
                    <w:rPr>
                      <w:rFonts w:cs="Arial"/>
                      <w:sz w:val="20"/>
                    </w:rPr>
                    <w:t>60</w:t>
                  </w:r>
                </w:p>
              </w:tc>
              <w:tc>
                <w:tcPr>
                  <w:tcW w:w="495" w:type="dxa"/>
                  <w:shd w:val="clear" w:color="auto" w:fill="FFFFFF"/>
                  <w:vAlign w:val="center"/>
                </w:tcPr>
                <w:p w14:paraId="12367ED9">
                  <w:pPr>
                    <w:jc w:val="center"/>
                  </w:pPr>
                  <w:r>
                    <w:rPr>
                      <w:rFonts w:cs="Arial"/>
                      <w:sz w:val="20"/>
                    </w:rPr>
                    <w:t>达标</w:t>
                  </w:r>
                </w:p>
              </w:tc>
            </w:tr>
            <w:tr w14:paraId="77E8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4" w:hRule="exact"/>
                <w:jc w:val="center"/>
              </w:trPr>
              <w:tc>
                <w:tcPr>
                  <w:tcW w:w="495" w:type="dxa"/>
                  <w:shd w:val="clear" w:color="auto" w:fill="FFFFFF"/>
                  <w:vAlign w:val="center"/>
                </w:tcPr>
                <w:p w14:paraId="3A2F13AD">
                  <w:pPr>
                    <w:jc w:val="center"/>
                  </w:pPr>
                  <w:r>
                    <w:rPr>
                      <w:rFonts w:cs="Arial"/>
                      <w:sz w:val="20"/>
                    </w:rPr>
                    <w:t>西侧</w:t>
                  </w:r>
                </w:p>
              </w:tc>
              <w:tc>
                <w:tcPr>
                  <w:tcW w:w="713" w:type="dxa"/>
                  <w:shd w:val="clear" w:color="auto" w:fill="FFFFFF"/>
                  <w:vAlign w:val="center"/>
                </w:tcPr>
                <w:p w14:paraId="3B129662">
                  <w:pPr>
                    <w:jc w:val="center"/>
                  </w:pPr>
                  <w:r>
                    <w:rPr>
                      <w:rFonts w:hint="eastAsia"/>
                    </w:rPr>
                    <w:t>-5.13</w:t>
                  </w:r>
                </w:p>
              </w:tc>
              <w:tc>
                <w:tcPr>
                  <w:tcW w:w="786" w:type="dxa"/>
                  <w:shd w:val="clear" w:color="auto" w:fill="FFFFFF"/>
                  <w:vAlign w:val="center"/>
                </w:tcPr>
                <w:p w14:paraId="532012D4">
                  <w:pPr>
                    <w:jc w:val="center"/>
                  </w:pPr>
                  <w:r>
                    <w:rPr>
                      <w:rFonts w:hint="eastAsia"/>
                    </w:rPr>
                    <w:t>4.83</w:t>
                  </w:r>
                </w:p>
              </w:tc>
              <w:tc>
                <w:tcPr>
                  <w:tcW w:w="496" w:type="dxa"/>
                  <w:shd w:val="clear" w:color="auto" w:fill="FFFFFF"/>
                  <w:vAlign w:val="center"/>
                </w:tcPr>
                <w:p w14:paraId="107F3811">
                  <w:pPr>
                    <w:jc w:val="center"/>
                  </w:pPr>
                  <w:r>
                    <w:rPr>
                      <w:rFonts w:hint="eastAsia"/>
                    </w:rPr>
                    <w:t>1.2</w:t>
                  </w:r>
                </w:p>
              </w:tc>
              <w:tc>
                <w:tcPr>
                  <w:tcW w:w="450" w:type="dxa"/>
                  <w:shd w:val="clear" w:color="auto" w:fill="FFFFFF"/>
                  <w:vAlign w:val="center"/>
                </w:tcPr>
                <w:p w14:paraId="7B96B0F9">
                  <w:pPr>
                    <w:jc w:val="center"/>
                  </w:pPr>
                  <w:r>
                    <w:rPr>
                      <w:rFonts w:cs="Arial"/>
                      <w:sz w:val="20"/>
                    </w:rPr>
                    <w:t>昼间</w:t>
                  </w:r>
                </w:p>
              </w:tc>
              <w:tc>
                <w:tcPr>
                  <w:tcW w:w="1255" w:type="dxa"/>
                  <w:shd w:val="clear" w:color="auto" w:fill="FFFFFF"/>
                  <w:vAlign w:val="center"/>
                </w:tcPr>
                <w:p w14:paraId="5F1047A0">
                  <w:pPr>
                    <w:jc w:val="center"/>
                  </w:pPr>
                  <w:r>
                    <w:rPr>
                      <w:rFonts w:hint="eastAsia"/>
                    </w:rPr>
                    <w:t>56.54</w:t>
                  </w:r>
                </w:p>
              </w:tc>
              <w:tc>
                <w:tcPr>
                  <w:tcW w:w="1255" w:type="dxa"/>
                  <w:shd w:val="clear" w:color="auto" w:fill="FFFFFF"/>
                  <w:vAlign w:val="center"/>
                </w:tcPr>
                <w:p w14:paraId="0E98B90B">
                  <w:pPr>
                    <w:jc w:val="center"/>
                  </w:pPr>
                  <w:r>
                    <w:rPr>
                      <w:rFonts w:hint="eastAsia"/>
                    </w:rPr>
                    <w:t xml:space="preserve">54 </w:t>
                  </w:r>
                </w:p>
              </w:tc>
              <w:tc>
                <w:tcPr>
                  <w:tcW w:w="1255" w:type="dxa"/>
                  <w:shd w:val="clear" w:color="auto" w:fill="FFFFFF"/>
                  <w:vAlign w:val="center"/>
                </w:tcPr>
                <w:p w14:paraId="13FF8E66">
                  <w:pPr>
                    <w:jc w:val="center"/>
                  </w:pPr>
                  <w:r>
                    <w:rPr>
                      <w:rFonts w:hint="eastAsia"/>
                    </w:rPr>
                    <w:t xml:space="preserve">58.46 </w:t>
                  </w:r>
                </w:p>
              </w:tc>
              <w:tc>
                <w:tcPr>
                  <w:tcW w:w="1277" w:type="dxa"/>
                  <w:shd w:val="clear" w:color="auto" w:fill="FFFFFF"/>
                  <w:vAlign w:val="center"/>
                </w:tcPr>
                <w:p w14:paraId="4E06A9C2">
                  <w:pPr>
                    <w:jc w:val="center"/>
                    <w:rPr>
                      <w:rFonts w:cs="Arial"/>
                      <w:sz w:val="20"/>
                    </w:rPr>
                  </w:pPr>
                  <w:r>
                    <w:rPr>
                      <w:rFonts w:cs="Arial"/>
                      <w:sz w:val="20"/>
                    </w:rPr>
                    <w:t>60</w:t>
                  </w:r>
                </w:p>
              </w:tc>
              <w:tc>
                <w:tcPr>
                  <w:tcW w:w="495" w:type="dxa"/>
                  <w:shd w:val="clear" w:color="auto" w:fill="FFFFFF"/>
                  <w:vAlign w:val="center"/>
                </w:tcPr>
                <w:p w14:paraId="70AB54FC">
                  <w:pPr>
                    <w:jc w:val="center"/>
                  </w:pPr>
                  <w:r>
                    <w:rPr>
                      <w:rFonts w:cs="Arial"/>
                      <w:sz w:val="20"/>
                    </w:rPr>
                    <w:t>达标</w:t>
                  </w:r>
                </w:p>
              </w:tc>
            </w:tr>
            <w:tr w14:paraId="30F8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exact"/>
                <w:jc w:val="center"/>
              </w:trPr>
              <w:tc>
                <w:tcPr>
                  <w:tcW w:w="495" w:type="dxa"/>
                  <w:shd w:val="clear" w:color="auto" w:fill="FFFFFF"/>
                  <w:vAlign w:val="center"/>
                </w:tcPr>
                <w:p w14:paraId="23497731">
                  <w:pPr>
                    <w:jc w:val="center"/>
                  </w:pPr>
                  <w:r>
                    <w:rPr>
                      <w:rFonts w:cs="Arial"/>
                      <w:sz w:val="20"/>
                    </w:rPr>
                    <w:t>北侧</w:t>
                  </w:r>
                </w:p>
              </w:tc>
              <w:tc>
                <w:tcPr>
                  <w:tcW w:w="713" w:type="dxa"/>
                  <w:shd w:val="clear" w:color="auto" w:fill="FFFFFF"/>
                  <w:vAlign w:val="center"/>
                </w:tcPr>
                <w:p w14:paraId="546E5410">
                  <w:pPr>
                    <w:jc w:val="center"/>
                  </w:pPr>
                  <w:r>
                    <w:rPr>
                      <w:rFonts w:hint="eastAsia"/>
                    </w:rPr>
                    <w:t>15.39</w:t>
                  </w:r>
                </w:p>
              </w:tc>
              <w:tc>
                <w:tcPr>
                  <w:tcW w:w="786" w:type="dxa"/>
                  <w:shd w:val="clear" w:color="auto" w:fill="FFFFFF"/>
                  <w:vAlign w:val="center"/>
                </w:tcPr>
                <w:p w14:paraId="279BCBAC">
                  <w:pPr>
                    <w:jc w:val="center"/>
                  </w:pPr>
                  <w:r>
                    <w:rPr>
                      <w:rFonts w:hint="eastAsia"/>
                    </w:rPr>
                    <w:t>28.23</w:t>
                  </w:r>
                </w:p>
              </w:tc>
              <w:tc>
                <w:tcPr>
                  <w:tcW w:w="496" w:type="dxa"/>
                  <w:shd w:val="clear" w:color="auto" w:fill="FFFFFF"/>
                  <w:vAlign w:val="center"/>
                </w:tcPr>
                <w:p w14:paraId="1EE14181">
                  <w:pPr>
                    <w:jc w:val="center"/>
                  </w:pPr>
                  <w:r>
                    <w:rPr>
                      <w:rFonts w:hint="eastAsia"/>
                    </w:rPr>
                    <w:t>1.2</w:t>
                  </w:r>
                </w:p>
              </w:tc>
              <w:tc>
                <w:tcPr>
                  <w:tcW w:w="450" w:type="dxa"/>
                  <w:shd w:val="clear" w:color="auto" w:fill="FFFFFF"/>
                  <w:vAlign w:val="center"/>
                </w:tcPr>
                <w:p w14:paraId="429AB84C">
                  <w:pPr>
                    <w:jc w:val="center"/>
                  </w:pPr>
                  <w:r>
                    <w:rPr>
                      <w:rFonts w:cs="Arial"/>
                      <w:sz w:val="20"/>
                    </w:rPr>
                    <w:t>昼间</w:t>
                  </w:r>
                </w:p>
              </w:tc>
              <w:tc>
                <w:tcPr>
                  <w:tcW w:w="1255" w:type="dxa"/>
                  <w:shd w:val="clear" w:color="auto" w:fill="FFFFFF"/>
                  <w:vAlign w:val="center"/>
                </w:tcPr>
                <w:p w14:paraId="449D0B8F">
                  <w:pPr>
                    <w:jc w:val="center"/>
                  </w:pPr>
                  <w:r>
                    <w:rPr>
                      <w:rFonts w:hint="eastAsia"/>
                    </w:rPr>
                    <w:t>56.37</w:t>
                  </w:r>
                </w:p>
              </w:tc>
              <w:tc>
                <w:tcPr>
                  <w:tcW w:w="1255" w:type="dxa"/>
                  <w:shd w:val="clear" w:color="auto" w:fill="FFFFFF"/>
                  <w:vAlign w:val="center"/>
                </w:tcPr>
                <w:p w14:paraId="57D13F85">
                  <w:pPr>
                    <w:jc w:val="center"/>
                  </w:pPr>
                  <w:r>
                    <w:rPr>
                      <w:rFonts w:hint="eastAsia"/>
                    </w:rPr>
                    <w:t xml:space="preserve">53 </w:t>
                  </w:r>
                </w:p>
              </w:tc>
              <w:tc>
                <w:tcPr>
                  <w:tcW w:w="1255" w:type="dxa"/>
                  <w:shd w:val="clear" w:color="auto" w:fill="FFFFFF"/>
                  <w:vAlign w:val="center"/>
                </w:tcPr>
                <w:p w14:paraId="117EB19A">
                  <w:pPr>
                    <w:jc w:val="center"/>
                  </w:pPr>
                  <w:r>
                    <w:rPr>
                      <w:rFonts w:hint="eastAsia"/>
                    </w:rPr>
                    <w:t xml:space="preserve">58.01 </w:t>
                  </w:r>
                </w:p>
              </w:tc>
              <w:tc>
                <w:tcPr>
                  <w:tcW w:w="1277" w:type="dxa"/>
                  <w:shd w:val="clear" w:color="auto" w:fill="FFFFFF"/>
                  <w:vAlign w:val="center"/>
                </w:tcPr>
                <w:p w14:paraId="44702415">
                  <w:pPr>
                    <w:jc w:val="center"/>
                    <w:rPr>
                      <w:rFonts w:cs="Arial"/>
                      <w:sz w:val="20"/>
                    </w:rPr>
                  </w:pPr>
                  <w:r>
                    <w:rPr>
                      <w:rFonts w:cs="Arial"/>
                      <w:sz w:val="20"/>
                    </w:rPr>
                    <w:t>60</w:t>
                  </w:r>
                </w:p>
              </w:tc>
              <w:tc>
                <w:tcPr>
                  <w:tcW w:w="495" w:type="dxa"/>
                  <w:shd w:val="clear" w:color="auto" w:fill="FFFFFF"/>
                  <w:vAlign w:val="center"/>
                </w:tcPr>
                <w:p w14:paraId="1D2509E1">
                  <w:pPr>
                    <w:jc w:val="center"/>
                  </w:pPr>
                  <w:r>
                    <w:rPr>
                      <w:rFonts w:cs="Arial"/>
                      <w:sz w:val="20"/>
                    </w:rPr>
                    <w:t>达标</w:t>
                  </w:r>
                </w:p>
              </w:tc>
            </w:tr>
            <w:tr w14:paraId="64DC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8476" w:type="dxa"/>
                  <w:gridSpan w:val="10"/>
                  <w:shd w:val="clear" w:color="auto" w:fill="FFFFFF"/>
                  <w:vAlign w:val="center"/>
                </w:tcPr>
                <w:p w14:paraId="52A37C16">
                  <w:pPr>
                    <w:rPr>
                      <w:rFonts w:cs="Arial"/>
                      <w:sz w:val="20"/>
                    </w:rPr>
                  </w:pPr>
                  <w:r>
                    <w:rPr>
                      <w:rFonts w:hint="eastAsia" w:cs="Arial"/>
                      <w:sz w:val="20"/>
                    </w:rPr>
                    <w:t>注：本项目主体工程夜间不生产，仅预测昼间噪声影响。</w:t>
                  </w:r>
                </w:p>
              </w:tc>
            </w:tr>
          </w:tbl>
          <w:p w14:paraId="7102CC6F">
            <w:pPr>
              <w:widowControl/>
              <w:spacing w:line="360" w:lineRule="auto"/>
              <w:ind w:firstLine="480" w:firstLineChars="200"/>
              <w:jc w:val="left"/>
              <w:rPr>
                <w:rFonts w:hint="eastAsia" w:ascii="宋体" w:hAnsi="宋体" w:cs="宋体"/>
                <w:color w:val="000000"/>
                <w:kern w:val="0"/>
                <w:sz w:val="24"/>
                <w:lang w:bidi="ar"/>
              </w:rPr>
            </w:pPr>
            <w:r>
              <w:rPr>
                <w:rFonts w:hint="eastAsia" w:ascii="宋体" w:hAnsi="宋体" w:cs="宋体"/>
                <w:color w:val="000000"/>
                <w:kern w:val="0"/>
                <w:sz w:val="24"/>
                <w:lang w:bidi="ar"/>
              </w:rPr>
              <w:t>厂界噪声满足《工业企业厂界环境噪声排放标准》（</w:t>
            </w:r>
            <w:r>
              <w:rPr>
                <w:rFonts w:ascii="宋体" w:hAnsi="宋体" w:cs="宋体"/>
                <w:color w:val="000000"/>
                <w:kern w:val="0"/>
                <w:sz w:val="24"/>
                <w:lang w:bidi="ar"/>
              </w:rPr>
              <w:t>GB12348-2008</w:t>
            </w:r>
            <w:r>
              <w:rPr>
                <w:rFonts w:hint="eastAsia" w:ascii="宋体" w:hAnsi="宋体" w:cs="宋体"/>
                <w:color w:val="000000"/>
                <w:kern w:val="0"/>
                <w:sz w:val="24"/>
                <w:lang w:bidi="ar"/>
              </w:rPr>
              <w:t>）中2类标准。</w:t>
            </w:r>
          </w:p>
          <w:p w14:paraId="1369A714">
            <w:pPr>
              <w:widowControl/>
              <w:numPr>
                <w:ilvl w:val="0"/>
                <w:numId w:val="11"/>
              </w:numPr>
              <w:spacing w:line="360" w:lineRule="auto"/>
              <w:ind w:firstLine="482" w:firstLineChars="200"/>
              <w:jc w:val="left"/>
              <w:rPr>
                <w:b/>
                <w:bCs/>
                <w:sz w:val="24"/>
              </w:rPr>
            </w:pPr>
            <w:r>
              <w:rPr>
                <w:rFonts w:hint="eastAsia"/>
                <w:b/>
                <w:bCs/>
                <w:sz w:val="24"/>
              </w:rPr>
              <w:t>声环境监测计划</w:t>
            </w:r>
          </w:p>
          <w:p w14:paraId="573B5B58">
            <w:pPr>
              <w:widowControl/>
              <w:spacing w:line="360" w:lineRule="auto"/>
              <w:ind w:firstLine="480" w:firstLineChars="200"/>
              <w:jc w:val="left"/>
              <w:rPr>
                <w:sz w:val="24"/>
              </w:rPr>
            </w:pPr>
            <w:r>
              <w:rPr>
                <w:rFonts w:hint="eastAsia" w:ascii="宋体" w:hAnsi="宋体" w:cs="宋体"/>
                <w:color w:val="000000"/>
                <w:kern w:val="0"/>
                <w:sz w:val="24"/>
                <w:lang w:bidi="ar"/>
              </w:rPr>
              <w:t>根据《排污许可证申请与核发技术规范 总则》（HJ942-2018）和《排污许可证申请与核发技术规范 环境卫生管理业》（HJ1066-2020），本项目运营期噪声环境监测</w:t>
            </w:r>
            <w:r>
              <w:rPr>
                <w:rFonts w:hint="eastAsia" w:ascii="宋体" w:hAnsi="宋体" w:cs="宋体"/>
                <w:color w:val="000000"/>
                <w:kern w:val="0"/>
                <w:sz w:val="24"/>
                <w:lang w:eastAsia="zh-CN" w:bidi="ar"/>
              </w:rPr>
              <w:t>计划</w:t>
            </w:r>
            <w:r>
              <w:rPr>
                <w:rFonts w:hint="eastAsia" w:ascii="宋体" w:hAnsi="宋体" w:cs="宋体"/>
                <w:color w:val="000000"/>
                <w:kern w:val="0"/>
                <w:sz w:val="24"/>
                <w:lang w:bidi="ar"/>
              </w:rPr>
              <w:t>如下表所示</w:t>
            </w:r>
            <w:r>
              <w:rPr>
                <w:sz w:val="24"/>
              </w:rPr>
              <w:t>。</w:t>
            </w:r>
          </w:p>
          <w:p w14:paraId="1B2C17D6">
            <w:pPr>
              <w:jc w:val="center"/>
              <w:rPr>
                <w:b/>
                <w:bCs/>
                <w:szCs w:val="21"/>
              </w:rPr>
            </w:pPr>
            <w:r>
              <w:rPr>
                <w:b/>
                <w:bCs/>
                <w:szCs w:val="21"/>
              </w:rPr>
              <w:t>表4-</w:t>
            </w:r>
            <w:r>
              <w:rPr>
                <w:rFonts w:hint="eastAsia"/>
                <w:b/>
                <w:bCs/>
                <w:szCs w:val="21"/>
              </w:rPr>
              <w:t xml:space="preserve">20  </w:t>
            </w:r>
            <w:r>
              <w:rPr>
                <w:b/>
                <w:bCs/>
                <w:szCs w:val="21"/>
              </w:rPr>
              <w:t>项目运营期噪声监测计划一览表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226"/>
              <w:gridCol w:w="785"/>
              <w:gridCol w:w="1473"/>
              <w:gridCol w:w="4443"/>
            </w:tblGrid>
            <w:tr w14:paraId="3EC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tcBorders>
                    <w:tl2br w:val="nil"/>
                    <w:tr2bl w:val="nil"/>
                  </w:tcBorders>
                  <w:vAlign w:val="center"/>
                </w:tcPr>
                <w:p w14:paraId="059B308E">
                  <w:pPr>
                    <w:adjustRightInd w:val="0"/>
                    <w:snapToGrid w:val="0"/>
                    <w:spacing w:line="25" w:lineRule="atLeast"/>
                    <w:jc w:val="center"/>
                    <w:rPr>
                      <w:b/>
                      <w:bCs/>
                      <w:color w:val="000000"/>
                      <w:kern w:val="0"/>
                      <w:szCs w:val="21"/>
                    </w:rPr>
                  </w:pPr>
                  <w:r>
                    <w:rPr>
                      <w:rFonts w:hint="eastAsia"/>
                      <w:b/>
                      <w:bCs/>
                      <w:color w:val="000000"/>
                      <w:kern w:val="0"/>
                      <w:szCs w:val="21"/>
                    </w:rPr>
                    <w:t>类型</w:t>
                  </w:r>
                </w:p>
              </w:tc>
              <w:tc>
                <w:tcPr>
                  <w:tcW w:w="723" w:type="pct"/>
                  <w:tcBorders>
                    <w:tl2br w:val="nil"/>
                    <w:tr2bl w:val="nil"/>
                  </w:tcBorders>
                  <w:vAlign w:val="center"/>
                </w:tcPr>
                <w:p w14:paraId="2DA279D3">
                  <w:pPr>
                    <w:adjustRightInd w:val="0"/>
                    <w:snapToGrid w:val="0"/>
                    <w:spacing w:line="25" w:lineRule="atLeast"/>
                    <w:jc w:val="center"/>
                    <w:rPr>
                      <w:b/>
                      <w:bCs/>
                      <w:color w:val="000000"/>
                      <w:kern w:val="0"/>
                      <w:szCs w:val="21"/>
                    </w:rPr>
                  </w:pPr>
                  <w:r>
                    <w:rPr>
                      <w:rFonts w:hint="eastAsia"/>
                      <w:b/>
                      <w:bCs/>
                      <w:color w:val="000000"/>
                      <w:kern w:val="0"/>
                      <w:szCs w:val="21"/>
                    </w:rPr>
                    <w:t>监测因子</w:t>
                  </w:r>
                </w:p>
              </w:tc>
              <w:tc>
                <w:tcPr>
                  <w:tcW w:w="463" w:type="pct"/>
                  <w:tcBorders>
                    <w:tl2br w:val="nil"/>
                    <w:tr2bl w:val="nil"/>
                  </w:tcBorders>
                  <w:vAlign w:val="center"/>
                </w:tcPr>
                <w:p w14:paraId="4D285D02">
                  <w:pPr>
                    <w:adjustRightInd w:val="0"/>
                    <w:snapToGrid w:val="0"/>
                    <w:spacing w:line="25" w:lineRule="atLeast"/>
                    <w:jc w:val="center"/>
                    <w:rPr>
                      <w:b/>
                      <w:bCs/>
                      <w:color w:val="000000"/>
                      <w:kern w:val="0"/>
                      <w:szCs w:val="21"/>
                    </w:rPr>
                  </w:pPr>
                  <w:r>
                    <w:rPr>
                      <w:rFonts w:hint="eastAsia"/>
                      <w:b/>
                      <w:bCs/>
                      <w:color w:val="000000"/>
                      <w:kern w:val="0"/>
                      <w:szCs w:val="21"/>
                    </w:rPr>
                    <w:t>监测点位</w:t>
                  </w:r>
                </w:p>
              </w:tc>
              <w:tc>
                <w:tcPr>
                  <w:tcW w:w="869" w:type="pct"/>
                  <w:tcBorders>
                    <w:tl2br w:val="nil"/>
                    <w:tr2bl w:val="nil"/>
                  </w:tcBorders>
                  <w:vAlign w:val="center"/>
                </w:tcPr>
                <w:p w14:paraId="2084E8E6">
                  <w:pPr>
                    <w:adjustRightInd w:val="0"/>
                    <w:snapToGrid w:val="0"/>
                    <w:spacing w:line="25" w:lineRule="atLeast"/>
                    <w:jc w:val="center"/>
                    <w:rPr>
                      <w:b/>
                      <w:bCs/>
                      <w:color w:val="000000"/>
                      <w:kern w:val="0"/>
                      <w:szCs w:val="21"/>
                    </w:rPr>
                  </w:pPr>
                  <w:r>
                    <w:rPr>
                      <w:rFonts w:hint="eastAsia"/>
                      <w:b/>
                      <w:bCs/>
                      <w:color w:val="000000"/>
                      <w:kern w:val="0"/>
                      <w:szCs w:val="21"/>
                    </w:rPr>
                    <w:t>监测频次</w:t>
                  </w:r>
                </w:p>
              </w:tc>
              <w:tc>
                <w:tcPr>
                  <w:tcW w:w="2621" w:type="pct"/>
                  <w:tcBorders>
                    <w:tl2br w:val="nil"/>
                    <w:tr2bl w:val="nil"/>
                  </w:tcBorders>
                  <w:vAlign w:val="center"/>
                </w:tcPr>
                <w:p w14:paraId="25E78ADC">
                  <w:pPr>
                    <w:adjustRightInd w:val="0"/>
                    <w:snapToGrid w:val="0"/>
                    <w:spacing w:line="25" w:lineRule="atLeast"/>
                    <w:jc w:val="center"/>
                    <w:rPr>
                      <w:b/>
                      <w:bCs/>
                      <w:color w:val="000000"/>
                      <w:kern w:val="0"/>
                      <w:szCs w:val="21"/>
                    </w:rPr>
                  </w:pPr>
                  <w:r>
                    <w:rPr>
                      <w:rFonts w:hint="eastAsia"/>
                      <w:b/>
                      <w:bCs/>
                      <w:color w:val="000000"/>
                      <w:kern w:val="0"/>
                      <w:szCs w:val="21"/>
                    </w:rPr>
                    <w:t>备注</w:t>
                  </w:r>
                </w:p>
              </w:tc>
            </w:tr>
            <w:tr w14:paraId="727D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22" w:type="pct"/>
                  <w:tcBorders>
                    <w:tl2br w:val="nil"/>
                    <w:tr2bl w:val="nil"/>
                  </w:tcBorders>
                  <w:vAlign w:val="center"/>
                </w:tcPr>
                <w:p w14:paraId="6EEA4F62">
                  <w:pPr>
                    <w:adjustRightInd w:val="0"/>
                    <w:snapToGrid w:val="0"/>
                    <w:spacing w:line="25" w:lineRule="atLeast"/>
                    <w:jc w:val="center"/>
                    <w:rPr>
                      <w:color w:val="000000"/>
                      <w:kern w:val="0"/>
                      <w:szCs w:val="21"/>
                    </w:rPr>
                  </w:pPr>
                  <w:r>
                    <w:rPr>
                      <w:rFonts w:hint="eastAsia"/>
                      <w:color w:val="000000"/>
                      <w:kern w:val="0"/>
                      <w:szCs w:val="21"/>
                    </w:rPr>
                    <w:t>噪声</w:t>
                  </w:r>
                </w:p>
              </w:tc>
              <w:tc>
                <w:tcPr>
                  <w:tcW w:w="723" w:type="pct"/>
                  <w:tcBorders>
                    <w:tl2br w:val="nil"/>
                    <w:tr2bl w:val="nil"/>
                  </w:tcBorders>
                  <w:vAlign w:val="center"/>
                </w:tcPr>
                <w:p w14:paraId="2DF45B3D">
                  <w:pPr>
                    <w:widowControl/>
                    <w:jc w:val="center"/>
                    <w:rPr>
                      <w:color w:val="000000"/>
                      <w:kern w:val="0"/>
                      <w:szCs w:val="21"/>
                    </w:rPr>
                  </w:pPr>
                  <w:r>
                    <w:rPr>
                      <w:rFonts w:hint="eastAsia" w:ascii="宋体" w:hAnsi="宋体" w:cs="宋体"/>
                      <w:color w:val="000000"/>
                      <w:kern w:val="0"/>
                      <w:szCs w:val="21"/>
                      <w:lang w:bidi="ar"/>
                    </w:rPr>
                    <w:t xml:space="preserve">等效连续 </w:t>
                  </w:r>
                  <w:r>
                    <w:rPr>
                      <w:color w:val="000000"/>
                      <w:kern w:val="0"/>
                      <w:szCs w:val="21"/>
                      <w:lang w:bidi="ar"/>
                    </w:rPr>
                    <w:t xml:space="preserve">A </w:t>
                  </w:r>
                  <w:r>
                    <w:rPr>
                      <w:rFonts w:hint="eastAsia" w:ascii="宋体" w:hAnsi="宋体" w:cs="宋体"/>
                      <w:color w:val="000000"/>
                      <w:kern w:val="0"/>
                      <w:szCs w:val="21"/>
                      <w:lang w:bidi="ar"/>
                    </w:rPr>
                    <w:t>声级</w:t>
                  </w:r>
                </w:p>
              </w:tc>
              <w:tc>
                <w:tcPr>
                  <w:tcW w:w="463" w:type="pct"/>
                  <w:tcBorders>
                    <w:tl2br w:val="nil"/>
                    <w:tr2bl w:val="nil"/>
                  </w:tcBorders>
                  <w:vAlign w:val="center"/>
                </w:tcPr>
                <w:p w14:paraId="125CF7B9">
                  <w:pPr>
                    <w:adjustRightInd w:val="0"/>
                    <w:snapToGrid w:val="0"/>
                    <w:spacing w:line="25" w:lineRule="atLeast"/>
                    <w:jc w:val="center"/>
                    <w:rPr>
                      <w:color w:val="000000"/>
                      <w:kern w:val="0"/>
                      <w:szCs w:val="21"/>
                    </w:rPr>
                  </w:pPr>
                  <w:r>
                    <w:rPr>
                      <w:rFonts w:hint="eastAsia"/>
                      <w:color w:val="000000"/>
                      <w:kern w:val="0"/>
                      <w:szCs w:val="21"/>
                    </w:rPr>
                    <w:t>厂界四周</w:t>
                  </w:r>
                </w:p>
              </w:tc>
              <w:tc>
                <w:tcPr>
                  <w:tcW w:w="869" w:type="pct"/>
                  <w:tcBorders>
                    <w:tl2br w:val="nil"/>
                    <w:tr2bl w:val="nil"/>
                  </w:tcBorders>
                  <w:vAlign w:val="center"/>
                </w:tcPr>
                <w:p w14:paraId="13982F67">
                  <w:pPr>
                    <w:adjustRightInd w:val="0"/>
                    <w:snapToGrid w:val="0"/>
                    <w:spacing w:line="25" w:lineRule="atLeast"/>
                    <w:jc w:val="center"/>
                    <w:rPr>
                      <w:color w:val="000000"/>
                      <w:kern w:val="0"/>
                      <w:szCs w:val="21"/>
                    </w:rPr>
                  </w:pPr>
                  <w:r>
                    <w:rPr>
                      <w:rFonts w:hint="eastAsia"/>
                    </w:rPr>
                    <w:t>1次/季度</w:t>
                  </w:r>
                  <w:r>
                    <w:t>，</w:t>
                  </w:r>
                  <w:r>
                    <w:rPr>
                      <w:rFonts w:hint="eastAsia"/>
                    </w:rPr>
                    <w:t>昼间</w:t>
                  </w:r>
                  <w:r>
                    <w:t>一次</w:t>
                  </w:r>
                </w:p>
              </w:tc>
              <w:tc>
                <w:tcPr>
                  <w:tcW w:w="2621" w:type="pct"/>
                  <w:tcBorders>
                    <w:tl2br w:val="nil"/>
                    <w:tr2bl w:val="nil"/>
                  </w:tcBorders>
                  <w:vAlign w:val="center"/>
                </w:tcPr>
                <w:p w14:paraId="505F48ED">
                  <w:pPr>
                    <w:adjustRightInd w:val="0"/>
                    <w:snapToGrid w:val="0"/>
                    <w:spacing w:line="25" w:lineRule="atLeast"/>
                    <w:jc w:val="center"/>
                    <w:rPr>
                      <w:color w:val="000000"/>
                      <w:kern w:val="0"/>
                      <w:szCs w:val="21"/>
                    </w:rPr>
                  </w:pPr>
                  <w:r>
                    <w:rPr>
                      <w:szCs w:val="21"/>
                    </w:rPr>
                    <w:t>《工业企业厂界环境噪声排放标准》（GB12348-2008）中</w:t>
                  </w:r>
                  <w:r>
                    <w:rPr>
                      <w:rFonts w:hint="eastAsia"/>
                      <w:szCs w:val="21"/>
                    </w:rPr>
                    <w:t>2</w:t>
                  </w:r>
                  <w:r>
                    <w:rPr>
                      <w:szCs w:val="21"/>
                    </w:rPr>
                    <w:t>类标准</w:t>
                  </w:r>
                </w:p>
              </w:tc>
            </w:tr>
          </w:tbl>
          <w:p w14:paraId="5417FEE7">
            <w:pPr>
              <w:widowControl/>
              <w:spacing w:before="120" w:beforeLines="50" w:line="360" w:lineRule="auto"/>
              <w:jc w:val="left"/>
              <w:rPr>
                <w:b/>
                <w:bCs/>
                <w:sz w:val="24"/>
              </w:rPr>
            </w:pPr>
            <w:r>
              <w:rPr>
                <w:rFonts w:hint="eastAsia"/>
                <w:b/>
                <w:bCs/>
                <w:sz w:val="24"/>
              </w:rPr>
              <w:t>四、固废</w:t>
            </w:r>
          </w:p>
          <w:p w14:paraId="379AC4A7">
            <w:pPr>
              <w:widowControl/>
              <w:spacing w:line="360" w:lineRule="auto"/>
              <w:ind w:firstLine="480" w:firstLineChars="200"/>
              <w:jc w:val="left"/>
              <w:rPr>
                <w:sz w:val="24"/>
              </w:rPr>
            </w:pPr>
            <w:r>
              <w:rPr>
                <w:sz w:val="24"/>
              </w:rPr>
              <w:t>本项目营运过程中产生的固废主要为一般固废和危险废物。一般固废：生活垃圾、化粪池污泥、污水处理站污泥</w:t>
            </w:r>
            <w:r>
              <w:rPr>
                <w:rFonts w:hint="eastAsia"/>
                <w:sz w:val="24"/>
              </w:rPr>
              <w:t>、废包装材料</w:t>
            </w:r>
            <w:r>
              <w:rPr>
                <w:sz w:val="24"/>
              </w:rPr>
              <w:t>；危险废物：废</w:t>
            </w:r>
            <w:r>
              <w:rPr>
                <w:rFonts w:hint="eastAsia"/>
                <w:sz w:val="24"/>
              </w:rPr>
              <w:t>液压</w:t>
            </w:r>
            <w:r>
              <w:rPr>
                <w:sz w:val="24"/>
              </w:rPr>
              <w:t>油、</w:t>
            </w:r>
            <w:r>
              <w:rPr>
                <w:rFonts w:hint="eastAsia"/>
                <w:sz w:val="24"/>
              </w:rPr>
              <w:t>废润滑油、废油桶</w:t>
            </w:r>
            <w:r>
              <w:rPr>
                <w:sz w:val="24"/>
              </w:rPr>
              <w:t>。其具体产生和治理情况如下。</w:t>
            </w:r>
          </w:p>
          <w:p w14:paraId="47770140">
            <w:pPr>
              <w:widowControl/>
              <w:spacing w:line="360" w:lineRule="auto"/>
              <w:ind w:firstLine="482" w:firstLineChars="200"/>
              <w:jc w:val="left"/>
              <w:rPr>
                <w:b/>
                <w:bCs/>
                <w:color w:val="000000"/>
                <w:kern w:val="0"/>
                <w:sz w:val="24"/>
                <w:lang w:bidi="ar"/>
              </w:rPr>
            </w:pPr>
            <w:r>
              <w:rPr>
                <w:rFonts w:hint="eastAsia"/>
                <w:b/>
                <w:bCs/>
                <w:color w:val="000000"/>
                <w:kern w:val="0"/>
                <w:sz w:val="24"/>
                <w:lang w:bidi="ar"/>
              </w:rPr>
              <w:t>1、一般固废</w:t>
            </w:r>
          </w:p>
          <w:p w14:paraId="3B77D223">
            <w:pPr>
              <w:widowControl/>
              <w:spacing w:line="360" w:lineRule="auto"/>
              <w:ind w:firstLine="482" w:firstLineChars="200"/>
              <w:jc w:val="left"/>
              <w:rPr>
                <w:color w:val="000000"/>
                <w:kern w:val="0"/>
                <w:sz w:val="24"/>
                <w:lang w:bidi="ar"/>
              </w:rPr>
            </w:pPr>
            <w:r>
              <w:rPr>
                <w:rFonts w:hint="eastAsia" w:ascii="宋体" w:hAnsi="宋体" w:cs="宋体"/>
                <w:b/>
                <w:bCs/>
                <w:color w:val="000000"/>
                <w:kern w:val="0"/>
                <w:sz w:val="24"/>
                <w:lang w:bidi="ar"/>
              </w:rPr>
              <w:t>生活垃圾：</w:t>
            </w:r>
            <w:r>
              <w:rPr>
                <w:rFonts w:hint="eastAsia" w:ascii="宋体" w:hAnsi="宋体" w:cs="宋体"/>
                <w:color w:val="000000"/>
                <w:kern w:val="0"/>
                <w:sz w:val="24"/>
                <w:lang w:bidi="ar"/>
              </w:rPr>
              <w:t>本项目劳动定员</w:t>
            </w:r>
            <w:r>
              <w:rPr>
                <w:rFonts w:hint="eastAsia"/>
                <w:color w:val="000000"/>
                <w:kern w:val="0"/>
                <w:sz w:val="24"/>
                <w:lang w:bidi="ar"/>
              </w:rPr>
              <w:t>12</w:t>
            </w:r>
            <w:r>
              <w:rPr>
                <w:color w:val="000000"/>
                <w:kern w:val="0"/>
                <w:sz w:val="24"/>
                <w:lang w:bidi="ar"/>
              </w:rPr>
              <w:t>人，年工作</w:t>
            </w:r>
            <w:r>
              <w:rPr>
                <w:rFonts w:hint="eastAsia"/>
                <w:color w:val="000000"/>
                <w:kern w:val="0"/>
                <w:sz w:val="24"/>
                <w:lang w:bidi="ar"/>
              </w:rPr>
              <w:t>365</w:t>
            </w:r>
            <w:r>
              <w:rPr>
                <w:color w:val="000000"/>
                <w:kern w:val="0"/>
                <w:sz w:val="24"/>
                <w:lang w:bidi="ar"/>
              </w:rPr>
              <w:t>天</w:t>
            </w:r>
            <w:r>
              <w:rPr>
                <w:rFonts w:hint="eastAsia"/>
                <w:color w:val="000000"/>
                <w:kern w:val="0"/>
                <w:sz w:val="24"/>
                <w:lang w:bidi="ar"/>
              </w:rPr>
              <w:t>，</w:t>
            </w:r>
            <w:r>
              <w:rPr>
                <w:rFonts w:hint="eastAsia" w:ascii="宋体" w:hAnsi="宋体" w:cs="宋体"/>
                <w:color w:val="000000"/>
                <w:kern w:val="0"/>
                <w:sz w:val="24"/>
                <w:lang w:bidi="ar"/>
              </w:rPr>
              <w:t>生活垃圾产生量按照</w:t>
            </w:r>
            <w:r>
              <w:rPr>
                <w:color w:val="000000"/>
                <w:kern w:val="0"/>
                <w:sz w:val="24"/>
                <w:lang w:bidi="ar"/>
              </w:rPr>
              <w:t>0.5kg/</w:t>
            </w:r>
            <w:r>
              <w:rPr>
                <w:rFonts w:hint="eastAsia" w:ascii="宋体" w:hAnsi="宋体" w:cs="宋体"/>
                <w:color w:val="000000"/>
                <w:kern w:val="0"/>
                <w:sz w:val="24"/>
                <w:lang w:bidi="ar"/>
              </w:rPr>
              <w:t>人</w:t>
            </w:r>
            <w:r>
              <w:rPr>
                <w:color w:val="000000"/>
                <w:kern w:val="0"/>
                <w:sz w:val="24"/>
                <w:lang w:bidi="ar"/>
              </w:rPr>
              <w:t>·</w:t>
            </w:r>
            <w:r>
              <w:rPr>
                <w:rFonts w:hint="eastAsia" w:ascii="宋体" w:hAnsi="宋体" w:cs="宋体"/>
                <w:color w:val="000000"/>
                <w:kern w:val="0"/>
                <w:sz w:val="24"/>
                <w:lang w:bidi="ar"/>
              </w:rPr>
              <w:t>天，运营期生活垃圾产生量为</w:t>
            </w:r>
            <w:r>
              <w:rPr>
                <w:rFonts w:hint="eastAsia"/>
                <w:color w:val="000000"/>
                <w:kern w:val="0"/>
                <w:sz w:val="24"/>
                <w:lang w:bidi="ar"/>
              </w:rPr>
              <w:t>0.006t</w:t>
            </w:r>
            <w:r>
              <w:rPr>
                <w:color w:val="000000"/>
                <w:kern w:val="0"/>
                <w:sz w:val="24"/>
                <w:lang w:bidi="ar"/>
              </w:rPr>
              <w:t>/</w:t>
            </w:r>
            <w:r>
              <w:rPr>
                <w:rFonts w:hint="eastAsia"/>
                <w:color w:val="000000"/>
                <w:kern w:val="0"/>
                <w:sz w:val="24"/>
                <w:lang w:bidi="ar"/>
              </w:rPr>
              <w:t>d（2.19</w:t>
            </w:r>
            <w:r>
              <w:rPr>
                <w:color w:val="000000"/>
                <w:kern w:val="0"/>
                <w:sz w:val="24"/>
                <w:lang w:bidi="ar"/>
              </w:rPr>
              <w:t>t/a</w:t>
            </w:r>
            <w:r>
              <w:rPr>
                <w:rFonts w:hint="eastAsia"/>
                <w:color w:val="000000"/>
                <w:kern w:val="0"/>
                <w:sz w:val="24"/>
                <w:lang w:bidi="ar"/>
              </w:rPr>
              <w:t>）</w:t>
            </w:r>
            <w:r>
              <w:rPr>
                <w:rFonts w:hint="eastAsia" w:ascii="宋体" w:hAnsi="宋体" w:cs="宋体"/>
                <w:color w:val="000000"/>
                <w:kern w:val="0"/>
                <w:sz w:val="24"/>
                <w:lang w:bidi="ar"/>
              </w:rPr>
              <w:t>。根据《关于发布《固体废物分类与代码目录》的公告（生态环境部2024年4号）》，属于“</w:t>
            </w:r>
            <w:r>
              <w:rPr>
                <w:rFonts w:hint="eastAsia"/>
                <w:color w:val="000000"/>
                <w:kern w:val="0"/>
                <w:sz w:val="24"/>
                <w:lang w:bidi="ar"/>
              </w:rPr>
              <w:t>900-099-SW64”生活垃圾经统一收集后连同外运回来的生活垃圾一并进行压缩处理。</w:t>
            </w:r>
          </w:p>
          <w:p w14:paraId="7EC5530A">
            <w:pPr>
              <w:widowControl/>
              <w:spacing w:line="360" w:lineRule="auto"/>
              <w:ind w:firstLine="482" w:firstLineChars="200"/>
              <w:jc w:val="left"/>
              <w:rPr>
                <w:color w:val="000000"/>
                <w:kern w:val="0"/>
                <w:sz w:val="24"/>
                <w:lang w:bidi="ar"/>
              </w:rPr>
            </w:pPr>
            <w:r>
              <w:rPr>
                <w:b/>
                <w:bCs/>
                <w:color w:val="000000"/>
                <w:kern w:val="0"/>
                <w:sz w:val="24"/>
                <w:lang w:bidi="ar"/>
              </w:rPr>
              <w:t>化粪池污泥：</w:t>
            </w:r>
            <w:r>
              <w:rPr>
                <w:color w:val="000000"/>
                <w:kern w:val="0"/>
                <w:sz w:val="24"/>
                <w:lang w:bidi="ar"/>
              </w:rPr>
              <w:t>项目化粪池会产生污泥沉淀，</w:t>
            </w:r>
            <w:r>
              <w:rPr>
                <w:rFonts w:hint="eastAsia"/>
                <w:color w:val="000000"/>
                <w:kern w:val="0"/>
                <w:sz w:val="24"/>
                <w:lang w:bidi="ar"/>
              </w:rPr>
              <w:t>根据《关于发布《固体废物分类与代码目录》的公告（生态环境部2024年4号）》，属于“900-002-SW64”。</w:t>
            </w:r>
            <w:r>
              <w:rPr>
                <w:color w:val="000000"/>
                <w:kern w:val="0"/>
                <w:sz w:val="24"/>
                <w:lang w:bidi="ar"/>
              </w:rPr>
              <w:t>经</w:t>
            </w:r>
            <w:r>
              <w:rPr>
                <w:rFonts w:hint="eastAsia"/>
                <w:color w:val="000000"/>
                <w:kern w:val="0"/>
                <w:sz w:val="24"/>
                <w:lang w:bidi="ar"/>
              </w:rPr>
              <w:t>类比</w:t>
            </w:r>
            <w:r>
              <w:rPr>
                <w:color w:val="000000"/>
                <w:kern w:val="0"/>
                <w:sz w:val="24"/>
                <w:lang w:bidi="ar"/>
              </w:rPr>
              <w:t>化粪池污泥产生量约</w:t>
            </w:r>
            <w:r>
              <w:rPr>
                <w:rFonts w:hint="eastAsia"/>
                <w:color w:val="000000"/>
                <w:kern w:val="0"/>
                <w:sz w:val="24"/>
                <w:lang w:bidi="ar"/>
              </w:rPr>
              <w:t>0.2</w:t>
            </w:r>
            <w:r>
              <w:rPr>
                <w:color w:val="000000"/>
                <w:kern w:val="0"/>
                <w:sz w:val="24"/>
                <w:lang w:bidi="ar"/>
              </w:rPr>
              <w:t>t/a，在站内进行处理后与其他生活垃圾一并外运处置。</w:t>
            </w:r>
          </w:p>
          <w:p w14:paraId="730FAE07">
            <w:pPr>
              <w:widowControl/>
              <w:wordWrap w:val="0"/>
              <w:spacing w:line="360" w:lineRule="auto"/>
              <w:ind w:firstLine="482" w:firstLineChars="200"/>
              <w:jc w:val="left"/>
              <w:rPr>
                <w:rFonts w:hint="eastAsia" w:ascii="宋体" w:hAnsi="宋体" w:cs="宋体"/>
                <w:color w:val="000000"/>
                <w:kern w:val="0"/>
                <w:sz w:val="24"/>
                <w:lang w:bidi="ar"/>
              </w:rPr>
            </w:pPr>
            <w:r>
              <w:rPr>
                <w:rFonts w:hint="eastAsia" w:ascii="宋体" w:hAnsi="宋体" w:cs="宋体"/>
                <w:b/>
                <w:bCs/>
                <w:color w:val="000000"/>
                <w:kern w:val="0"/>
                <w:sz w:val="24"/>
                <w:lang w:bidi="ar"/>
              </w:rPr>
              <w:t>污水处理站污泥</w:t>
            </w:r>
            <w:r>
              <w:rPr>
                <w:rFonts w:ascii="宋体" w:hAnsi="宋体" w:cs="宋体"/>
                <w:b/>
                <w:bCs/>
                <w:color w:val="000000"/>
                <w:kern w:val="0"/>
                <w:sz w:val="24"/>
                <w:lang w:bidi="ar"/>
              </w:rPr>
              <w:t>：</w:t>
            </w:r>
            <w:r>
              <w:rPr>
                <w:rFonts w:hint="eastAsia" w:ascii="宋体" w:hAnsi="宋体" w:cs="宋体"/>
                <w:color w:val="000000"/>
                <w:kern w:val="0"/>
                <w:sz w:val="24"/>
                <w:lang w:bidi="ar"/>
              </w:rPr>
              <w:t>本项目污水处理过程中将产生污泥，根据《关于发布《固体废物分类与代码目录》的公告（生态环境部2024年4号）》，属于“900-099-S07”。在污泥池储存，用提升泵提升至叠螺式脱水机进行脱水，经机械脱水将污泥含率降至80%以下。根据设计资料，本项目污泥量取40kg/m</w:t>
            </w:r>
            <w:r>
              <w:rPr>
                <w:rFonts w:hint="eastAsia" w:ascii="宋体" w:hAnsi="宋体" w:cs="宋体"/>
                <w:color w:val="000000"/>
                <w:kern w:val="0"/>
                <w:sz w:val="24"/>
                <w:vertAlign w:val="superscript"/>
                <w:lang w:bidi="ar"/>
              </w:rPr>
              <w:t>3</w:t>
            </w:r>
            <w:r>
              <w:rPr>
                <w:rFonts w:hint="eastAsia" w:ascii="宋体" w:hAnsi="宋体" w:cs="宋体"/>
                <w:color w:val="000000"/>
                <w:kern w:val="0"/>
                <w:sz w:val="24"/>
                <w:lang w:bidi="ar"/>
              </w:rPr>
              <w:t>污水，则污泥产生量为406.4t/a。收集后暂存于污泥脱水机房，定期运至生活垃圾焚烧厂处理。</w:t>
            </w:r>
          </w:p>
          <w:p w14:paraId="3B942513">
            <w:pPr>
              <w:widowControl/>
              <w:wordWrap w:val="0"/>
              <w:spacing w:line="360" w:lineRule="auto"/>
              <w:ind w:firstLine="482" w:firstLineChars="200"/>
              <w:jc w:val="left"/>
              <w:rPr>
                <w:color w:val="000000"/>
                <w:kern w:val="0"/>
                <w:sz w:val="24"/>
                <w:lang w:bidi="ar"/>
              </w:rPr>
            </w:pPr>
            <w:r>
              <w:rPr>
                <w:rFonts w:hint="eastAsia" w:ascii="宋体" w:hAnsi="宋体" w:cs="宋体"/>
                <w:b/>
                <w:bCs/>
                <w:color w:val="000000"/>
                <w:kern w:val="0"/>
                <w:sz w:val="24"/>
                <w:lang w:bidi="ar"/>
              </w:rPr>
              <w:t>废包装材料：</w:t>
            </w:r>
            <w:r>
              <w:rPr>
                <w:rFonts w:ascii="宋体" w:hAnsi="宋体" w:cs="宋体"/>
                <w:color w:val="000000"/>
                <w:kern w:val="0"/>
                <w:sz w:val="24"/>
                <w:lang w:bidi="ar"/>
              </w:rPr>
              <w:t>项目</w:t>
            </w:r>
            <w:r>
              <w:rPr>
                <w:rFonts w:hint="eastAsia" w:ascii="宋体" w:hAnsi="宋体" w:cs="宋体"/>
                <w:color w:val="000000"/>
                <w:kern w:val="0"/>
                <w:sz w:val="24"/>
                <w:lang w:eastAsia="zh-CN" w:bidi="ar"/>
              </w:rPr>
              <w:t>涉及</w:t>
            </w:r>
            <w:r>
              <w:rPr>
                <w:rFonts w:ascii="宋体" w:hAnsi="宋体" w:cs="宋体"/>
                <w:color w:val="000000"/>
                <w:kern w:val="0"/>
                <w:sz w:val="24"/>
                <w:lang w:bidi="ar"/>
              </w:rPr>
              <w:t>的一般物料为除臭剂、PAC、PAM</w:t>
            </w:r>
            <w:r>
              <w:rPr>
                <w:rFonts w:hint="eastAsia" w:ascii="宋体" w:hAnsi="宋体" w:cs="宋体"/>
                <w:color w:val="000000"/>
                <w:kern w:val="0"/>
                <w:sz w:val="24"/>
                <w:lang w:eastAsia="zh-CN" w:bidi="ar"/>
              </w:rPr>
              <w:t>，根</w:t>
            </w:r>
            <w:r>
              <w:rPr>
                <w:rFonts w:hint="eastAsia" w:ascii="宋体" w:hAnsi="宋体" w:cs="宋体"/>
                <w:color w:val="000000"/>
                <w:kern w:val="0"/>
                <w:sz w:val="24"/>
                <w:lang w:bidi="ar"/>
              </w:rPr>
              <w:t>据《关于发布《固体废物分类与代码目录》的公告（生态环境部2024年4号）》，属于“900-003-S17”。</w:t>
            </w:r>
            <w:r>
              <w:rPr>
                <w:rFonts w:ascii="宋体" w:hAnsi="宋体" w:cs="宋体"/>
                <w:color w:val="000000"/>
                <w:kern w:val="0"/>
                <w:sz w:val="24"/>
                <w:lang w:bidi="ar"/>
              </w:rPr>
              <w:t>根据各物料年使</w:t>
            </w:r>
            <w:r>
              <w:rPr>
                <w:color w:val="000000"/>
                <w:kern w:val="0"/>
                <w:sz w:val="24"/>
                <w:lang w:bidi="ar"/>
              </w:rPr>
              <w:t>用量，废一般包装材料产生量为</w:t>
            </w:r>
            <w:r>
              <w:rPr>
                <w:rFonts w:hint="eastAsia"/>
                <w:color w:val="000000"/>
                <w:kern w:val="0"/>
                <w:sz w:val="24"/>
                <w:lang w:bidi="ar"/>
              </w:rPr>
              <w:t>1.048</w:t>
            </w:r>
            <w:r>
              <w:rPr>
                <w:color w:val="000000"/>
                <w:kern w:val="0"/>
                <w:sz w:val="24"/>
                <w:lang w:bidi="ar"/>
              </w:rPr>
              <w:t>t/a，收集后由物资部门回收利用。</w:t>
            </w:r>
          </w:p>
          <w:p w14:paraId="3D5F1E59">
            <w:pPr>
              <w:widowControl/>
              <w:spacing w:line="360" w:lineRule="auto"/>
              <w:ind w:firstLine="482" w:firstLineChars="200"/>
              <w:jc w:val="left"/>
              <w:rPr>
                <w:b/>
                <w:bCs/>
                <w:color w:val="000000"/>
                <w:kern w:val="0"/>
                <w:sz w:val="24"/>
                <w:lang w:bidi="ar"/>
              </w:rPr>
            </w:pPr>
            <w:r>
              <w:rPr>
                <w:b/>
                <w:bCs/>
                <w:color w:val="000000"/>
                <w:kern w:val="0"/>
                <w:sz w:val="24"/>
                <w:lang w:bidi="ar"/>
              </w:rPr>
              <w:t>2、危险废物</w:t>
            </w:r>
          </w:p>
          <w:p w14:paraId="051C0B03">
            <w:pPr>
              <w:widowControl/>
              <w:wordWrap w:val="0"/>
              <w:spacing w:line="360" w:lineRule="auto"/>
              <w:ind w:firstLine="482" w:firstLineChars="200"/>
              <w:jc w:val="left"/>
              <w:rPr>
                <w:rFonts w:hint="eastAsia" w:ascii="宋体" w:hAnsi="宋体" w:cs="宋体"/>
                <w:color w:val="000000"/>
                <w:kern w:val="0"/>
                <w:sz w:val="24"/>
                <w:lang w:bidi="ar"/>
              </w:rPr>
            </w:pPr>
            <w:r>
              <w:rPr>
                <w:rFonts w:hint="eastAsia" w:ascii="宋体" w:hAnsi="宋体" w:cs="宋体"/>
                <w:b/>
                <w:bCs/>
                <w:color w:val="000000"/>
                <w:kern w:val="0"/>
                <w:sz w:val="24"/>
                <w:lang w:bidi="ar"/>
              </w:rPr>
              <w:t>废</w:t>
            </w:r>
            <w:r>
              <w:rPr>
                <w:b/>
                <w:bCs/>
                <w:color w:val="000000"/>
                <w:kern w:val="0"/>
                <w:sz w:val="24"/>
                <w:lang w:bidi="ar"/>
              </w:rPr>
              <w:t>润滑油：</w:t>
            </w:r>
            <w:r>
              <w:rPr>
                <w:color w:val="000000"/>
                <w:kern w:val="0"/>
                <w:sz w:val="24"/>
                <w:lang w:bidi="ar"/>
              </w:rPr>
              <w:t>本项目在生产设备维护、维修过程中会产生少量的废润滑油，预计产生量约为0.097t/a。根据《国家危险废物名录》（2025版）中“HW08废矿物油与含矿物油废物非特定行业</w:t>
            </w:r>
            <w:r>
              <w:rPr>
                <w:rFonts w:hint="eastAsia"/>
                <w:color w:val="000000"/>
                <w:kern w:val="0"/>
                <w:sz w:val="24"/>
                <w:lang w:bidi="ar"/>
              </w:rPr>
              <w:t>-</w:t>
            </w:r>
            <w:r>
              <w:rPr>
                <w:color w:val="000000"/>
                <w:kern w:val="0"/>
                <w:sz w:val="24"/>
                <w:lang w:bidi="ar"/>
              </w:rPr>
              <w:t>900-214-08车辆、机械维修和拆解过程中产生的废发动润滑油、制动器油、自动变速器油、齿轮油等废润滑油”，属于危险废物。由容器密闭盛装暂存于危废贮存点，定期交由资质单位处置</w:t>
            </w:r>
            <w:r>
              <w:rPr>
                <w:rFonts w:hint="eastAsia" w:ascii="宋体" w:hAnsi="宋体" w:cs="宋体"/>
                <w:color w:val="000000"/>
                <w:kern w:val="0"/>
                <w:sz w:val="24"/>
                <w:lang w:bidi="ar"/>
              </w:rPr>
              <w:t>。</w:t>
            </w:r>
          </w:p>
          <w:p w14:paraId="1FDF1AEE">
            <w:pPr>
              <w:adjustRightInd w:val="0"/>
              <w:snapToGrid w:val="0"/>
              <w:spacing w:line="360" w:lineRule="auto"/>
              <w:ind w:firstLine="482" w:firstLineChars="200"/>
              <w:rPr>
                <w:color w:val="000000"/>
                <w:kern w:val="0"/>
                <w:sz w:val="24"/>
                <w:lang w:bidi="ar"/>
              </w:rPr>
            </w:pPr>
            <w:r>
              <w:rPr>
                <w:rFonts w:hint="eastAsia"/>
                <w:b/>
                <w:bCs/>
                <w:sz w:val="24"/>
              </w:rPr>
              <w:t>废液压油：</w:t>
            </w:r>
            <w:r>
              <w:rPr>
                <w:rFonts w:hint="eastAsia"/>
                <w:sz w:val="24"/>
              </w:rPr>
              <w:t>项目压实器和驱动机构采用液压驱动形式，为保证设备使用寿命，需定期更换液压油。</w:t>
            </w:r>
            <w:r>
              <w:rPr>
                <w:rFonts w:hint="eastAsia" w:ascii="宋体" w:hAnsi="宋体" w:cs="宋体"/>
                <w:color w:val="000000"/>
                <w:kern w:val="0"/>
                <w:sz w:val="24"/>
                <w:lang w:bidi="ar"/>
              </w:rPr>
              <w:t>根据《国家危险废物名录》（2025版）中“HW08废矿物油与含矿物油废物非特定行业-900-218-08液压设备维护、更换和拆解过程中产生的废液压油”，属于危险废物。</w:t>
            </w:r>
            <w:r>
              <w:rPr>
                <w:rFonts w:hint="eastAsia"/>
                <w:sz w:val="24"/>
              </w:rPr>
              <w:t>废液压油产生量约为1.25t/a，废液压油由容器密闭盛装暂存于危废贮存点，定期交由资质单位处置</w:t>
            </w:r>
            <w:r>
              <w:rPr>
                <w:color w:val="000000"/>
                <w:kern w:val="0"/>
                <w:sz w:val="24"/>
                <w:lang w:bidi="ar"/>
              </w:rPr>
              <w:t>。</w:t>
            </w:r>
          </w:p>
          <w:p w14:paraId="4D18CFB6">
            <w:pPr>
              <w:adjustRightInd w:val="0"/>
              <w:snapToGrid w:val="0"/>
              <w:spacing w:line="360" w:lineRule="auto"/>
              <w:ind w:firstLine="482" w:firstLineChars="200"/>
              <w:rPr>
                <w:color w:val="000000"/>
                <w:kern w:val="0"/>
                <w:sz w:val="24"/>
                <w:lang w:bidi="ar"/>
              </w:rPr>
            </w:pPr>
            <w:r>
              <w:rPr>
                <w:rFonts w:hint="eastAsia"/>
                <w:b/>
                <w:bCs/>
                <w:color w:val="000000"/>
                <w:kern w:val="0"/>
                <w:sz w:val="24"/>
                <w:lang w:bidi="ar"/>
              </w:rPr>
              <w:t>废油桶：</w:t>
            </w:r>
            <w:r>
              <w:rPr>
                <w:rFonts w:hint="eastAsia"/>
                <w:color w:val="000000"/>
                <w:kern w:val="0"/>
                <w:sz w:val="24"/>
                <w:lang w:bidi="ar"/>
              </w:rPr>
              <w:t>项目在使用润滑油、液压油过程中会产生一定的废油桶，项目润滑油、液压油总用量约1.4t/a，每个油桶可装油品约180</w:t>
            </w:r>
            <w:r>
              <w:rPr>
                <w:rFonts w:hint="eastAsia"/>
                <w:color w:val="000000"/>
                <w:kern w:val="0"/>
                <w:sz w:val="24"/>
                <w:lang w:eastAsia="zh-CN" w:bidi="ar"/>
              </w:rPr>
              <w:t>kg</w:t>
            </w:r>
            <w:r>
              <w:rPr>
                <w:rFonts w:hint="eastAsia"/>
                <w:color w:val="000000"/>
                <w:kern w:val="0"/>
                <w:sz w:val="24"/>
                <w:lang w:bidi="ar"/>
              </w:rPr>
              <w:t>，空油桶重约20kg/个，则项目废油桶产生量约0.18t/a（约 9个/a）。根据《国家危险废物名录》（2025年版）属于危险废物，危废类别：HW49其他废物-900-041-49含有或沾染毒性、感染性危险废物的废气包装物、容器、过滤吸附介质，需交由有危险废物处理资质单位处理。</w:t>
            </w:r>
          </w:p>
          <w:p w14:paraId="4BE55C3F">
            <w:pPr>
              <w:adjustRightInd w:val="0"/>
              <w:snapToGrid w:val="0"/>
              <w:spacing w:line="360" w:lineRule="auto"/>
              <w:ind w:firstLine="482" w:firstLineChars="200"/>
              <w:rPr>
                <w:color w:val="000000"/>
                <w:kern w:val="0"/>
                <w:sz w:val="24"/>
                <w:lang w:bidi="ar"/>
              </w:rPr>
            </w:pPr>
            <w:r>
              <w:rPr>
                <w:rFonts w:hint="eastAsia"/>
                <w:b/>
                <w:bCs/>
                <w:color w:val="000000"/>
                <w:kern w:val="0"/>
                <w:sz w:val="24"/>
                <w:lang w:bidi="ar"/>
              </w:rPr>
              <w:t>废化学品包装材料：</w:t>
            </w:r>
            <w:r>
              <w:rPr>
                <w:rFonts w:hint="eastAsia"/>
                <w:color w:val="000000"/>
                <w:kern w:val="0"/>
                <w:sz w:val="24"/>
                <w:lang w:bidi="ar"/>
              </w:rPr>
              <w:t>本项目涉及的危化品主要为次氯酸钠。包装规格为25kg的废桶单个质量约2kg。根据各危化品年使用量，废危化品包装材料年产</w:t>
            </w:r>
            <w:r>
              <w:rPr>
                <w:rFonts w:hint="eastAsia"/>
                <w:color w:val="000000"/>
                <w:kern w:val="0"/>
                <w:sz w:val="24"/>
                <w:lang w:eastAsia="zh-CN" w:bidi="ar"/>
              </w:rPr>
              <w:t>生量</w:t>
            </w:r>
            <w:r>
              <w:rPr>
                <w:rFonts w:hint="eastAsia"/>
                <w:color w:val="000000"/>
                <w:kern w:val="0"/>
                <w:sz w:val="24"/>
                <w:lang w:bidi="ar"/>
              </w:rPr>
              <w:t>为0.008t/a。根据《国家危险废物名录》（2025版），废危化品包装材料属于危险废物，其代码为HW49 900-041-49，收集后委托有相应的资质的单位处置。</w:t>
            </w:r>
          </w:p>
          <w:p w14:paraId="3910C2A4">
            <w:pPr>
              <w:widowControl/>
              <w:spacing w:line="360" w:lineRule="auto"/>
              <w:ind w:firstLine="480" w:firstLineChars="200"/>
              <w:jc w:val="left"/>
              <w:rPr>
                <w:sz w:val="24"/>
              </w:rPr>
            </w:pPr>
            <w:r>
              <w:rPr>
                <w:rFonts w:hint="eastAsia"/>
                <w:sz w:val="24"/>
              </w:rPr>
              <w:t>综上所述，本项目固体废物产生及处置情况见下表。</w:t>
            </w:r>
          </w:p>
          <w:p w14:paraId="5307DAAE">
            <w:pPr>
              <w:jc w:val="center"/>
              <w:rPr>
                <w:b/>
                <w:bCs/>
                <w:szCs w:val="21"/>
              </w:rPr>
            </w:pPr>
            <w:r>
              <w:rPr>
                <w:b/>
                <w:bCs/>
                <w:szCs w:val="21"/>
              </w:rPr>
              <w:t>表4-</w:t>
            </w:r>
            <w:r>
              <w:rPr>
                <w:rFonts w:hint="eastAsia"/>
                <w:b/>
                <w:bCs/>
                <w:szCs w:val="21"/>
              </w:rPr>
              <w:t xml:space="preserve">21  </w:t>
            </w:r>
            <w:r>
              <w:rPr>
                <w:b/>
                <w:bCs/>
                <w:szCs w:val="21"/>
              </w:rPr>
              <w:t>本项目固体废物产生及处置措施一览表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89"/>
              <w:gridCol w:w="1505"/>
              <w:gridCol w:w="1004"/>
              <w:gridCol w:w="601"/>
              <w:gridCol w:w="1418"/>
              <w:gridCol w:w="764"/>
              <w:gridCol w:w="1666"/>
              <w:gridCol w:w="1039"/>
            </w:tblGrid>
            <w:tr w14:paraId="0150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vAlign w:val="center"/>
                </w:tcPr>
                <w:p w14:paraId="6F5D1B87">
                  <w:pPr>
                    <w:jc w:val="center"/>
                    <w:rPr>
                      <w:bCs/>
                      <w:szCs w:val="21"/>
                    </w:rPr>
                  </w:pPr>
                  <w:r>
                    <w:rPr>
                      <w:bCs/>
                      <w:szCs w:val="21"/>
                    </w:rPr>
                    <w:t>序号</w:t>
                  </w:r>
                </w:p>
              </w:tc>
              <w:tc>
                <w:tcPr>
                  <w:tcW w:w="886" w:type="pct"/>
                  <w:tcBorders>
                    <w:tl2br w:val="nil"/>
                    <w:tr2bl w:val="nil"/>
                  </w:tcBorders>
                  <w:vAlign w:val="center"/>
                </w:tcPr>
                <w:p w14:paraId="61F5ED79">
                  <w:pPr>
                    <w:jc w:val="center"/>
                    <w:rPr>
                      <w:bCs/>
                      <w:szCs w:val="21"/>
                    </w:rPr>
                  </w:pPr>
                  <w:r>
                    <w:rPr>
                      <w:bCs/>
                      <w:szCs w:val="21"/>
                    </w:rPr>
                    <w:t>固废名称</w:t>
                  </w:r>
                </w:p>
              </w:tc>
              <w:tc>
                <w:tcPr>
                  <w:tcW w:w="591" w:type="pct"/>
                  <w:tcBorders>
                    <w:tl2br w:val="nil"/>
                    <w:tr2bl w:val="nil"/>
                  </w:tcBorders>
                  <w:vAlign w:val="center"/>
                </w:tcPr>
                <w:p w14:paraId="32A4164C">
                  <w:pPr>
                    <w:jc w:val="center"/>
                    <w:rPr>
                      <w:bCs/>
                      <w:szCs w:val="21"/>
                    </w:rPr>
                  </w:pPr>
                  <w:r>
                    <w:rPr>
                      <w:bCs/>
                      <w:szCs w:val="21"/>
                    </w:rPr>
                    <w:t>产生工序</w:t>
                  </w:r>
                </w:p>
              </w:tc>
              <w:tc>
                <w:tcPr>
                  <w:tcW w:w="354" w:type="pct"/>
                  <w:tcBorders>
                    <w:tl2br w:val="nil"/>
                    <w:tr2bl w:val="nil"/>
                  </w:tcBorders>
                  <w:vAlign w:val="center"/>
                </w:tcPr>
                <w:p w14:paraId="5BF82531">
                  <w:pPr>
                    <w:jc w:val="center"/>
                    <w:rPr>
                      <w:bCs/>
                      <w:szCs w:val="21"/>
                    </w:rPr>
                  </w:pPr>
                  <w:r>
                    <w:rPr>
                      <w:bCs/>
                      <w:szCs w:val="21"/>
                    </w:rPr>
                    <w:t>属性</w:t>
                  </w:r>
                </w:p>
              </w:tc>
              <w:tc>
                <w:tcPr>
                  <w:tcW w:w="835" w:type="pct"/>
                  <w:tcBorders>
                    <w:tl2br w:val="nil"/>
                    <w:tr2bl w:val="nil"/>
                  </w:tcBorders>
                  <w:vAlign w:val="center"/>
                </w:tcPr>
                <w:p w14:paraId="59B7C2DC">
                  <w:pPr>
                    <w:jc w:val="center"/>
                    <w:rPr>
                      <w:bCs/>
                      <w:szCs w:val="21"/>
                    </w:rPr>
                  </w:pPr>
                  <w:r>
                    <w:rPr>
                      <w:bCs/>
                      <w:szCs w:val="21"/>
                    </w:rPr>
                    <w:t>废物代码</w:t>
                  </w:r>
                </w:p>
              </w:tc>
              <w:tc>
                <w:tcPr>
                  <w:tcW w:w="450" w:type="pct"/>
                  <w:tcBorders>
                    <w:tl2br w:val="nil"/>
                    <w:tr2bl w:val="nil"/>
                  </w:tcBorders>
                  <w:vAlign w:val="center"/>
                </w:tcPr>
                <w:p w14:paraId="79BB47A3">
                  <w:pPr>
                    <w:jc w:val="center"/>
                    <w:rPr>
                      <w:bCs/>
                      <w:szCs w:val="21"/>
                    </w:rPr>
                  </w:pPr>
                  <w:r>
                    <w:rPr>
                      <w:bCs/>
                      <w:szCs w:val="21"/>
                    </w:rPr>
                    <w:t>产生量（t/a）</w:t>
                  </w:r>
                </w:p>
              </w:tc>
              <w:tc>
                <w:tcPr>
                  <w:tcW w:w="981" w:type="pct"/>
                  <w:tcBorders>
                    <w:tl2br w:val="nil"/>
                    <w:tr2bl w:val="nil"/>
                  </w:tcBorders>
                  <w:vAlign w:val="center"/>
                </w:tcPr>
                <w:p w14:paraId="20B830A0">
                  <w:pPr>
                    <w:jc w:val="center"/>
                    <w:rPr>
                      <w:bCs/>
                      <w:szCs w:val="21"/>
                    </w:rPr>
                  </w:pPr>
                  <w:r>
                    <w:rPr>
                      <w:bCs/>
                      <w:szCs w:val="21"/>
                    </w:rPr>
                    <w:t>利用处置方式</w:t>
                  </w:r>
                </w:p>
              </w:tc>
              <w:tc>
                <w:tcPr>
                  <w:tcW w:w="612" w:type="pct"/>
                  <w:tcBorders>
                    <w:tl2br w:val="nil"/>
                    <w:tr2bl w:val="nil"/>
                  </w:tcBorders>
                  <w:vAlign w:val="center"/>
                </w:tcPr>
                <w:p w14:paraId="552E4011">
                  <w:pPr>
                    <w:jc w:val="center"/>
                    <w:rPr>
                      <w:bCs/>
                      <w:szCs w:val="21"/>
                    </w:rPr>
                  </w:pPr>
                  <w:r>
                    <w:rPr>
                      <w:bCs/>
                      <w:szCs w:val="21"/>
                    </w:rPr>
                    <w:t>利用处</w:t>
                  </w:r>
                </w:p>
                <w:p w14:paraId="6A5CB320">
                  <w:pPr>
                    <w:jc w:val="center"/>
                    <w:rPr>
                      <w:bCs/>
                      <w:szCs w:val="21"/>
                    </w:rPr>
                  </w:pPr>
                  <w:r>
                    <w:rPr>
                      <w:bCs/>
                      <w:szCs w:val="21"/>
                    </w:rPr>
                    <w:t>置单位</w:t>
                  </w:r>
                </w:p>
              </w:tc>
            </w:tr>
            <w:tr w14:paraId="5D288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vAlign w:val="center"/>
                </w:tcPr>
                <w:p w14:paraId="12423CE2">
                  <w:pPr>
                    <w:jc w:val="center"/>
                    <w:rPr>
                      <w:szCs w:val="21"/>
                    </w:rPr>
                  </w:pPr>
                  <w:r>
                    <w:rPr>
                      <w:szCs w:val="21"/>
                    </w:rPr>
                    <w:t>1</w:t>
                  </w:r>
                </w:p>
              </w:tc>
              <w:tc>
                <w:tcPr>
                  <w:tcW w:w="886" w:type="pct"/>
                  <w:tcBorders>
                    <w:tl2br w:val="nil"/>
                    <w:tr2bl w:val="nil"/>
                  </w:tcBorders>
                  <w:vAlign w:val="center"/>
                </w:tcPr>
                <w:p w14:paraId="12266D2B">
                  <w:pPr>
                    <w:adjustRightInd w:val="0"/>
                    <w:snapToGrid w:val="0"/>
                    <w:spacing w:line="25" w:lineRule="atLeast"/>
                    <w:jc w:val="center"/>
                    <w:rPr>
                      <w:szCs w:val="21"/>
                    </w:rPr>
                  </w:pPr>
                  <w:r>
                    <w:rPr>
                      <w:rFonts w:hint="eastAsia"/>
                      <w:kern w:val="0"/>
                      <w:szCs w:val="21"/>
                    </w:rPr>
                    <w:t>生活垃圾</w:t>
                  </w:r>
                </w:p>
              </w:tc>
              <w:tc>
                <w:tcPr>
                  <w:tcW w:w="591" w:type="pct"/>
                  <w:tcBorders>
                    <w:tl2br w:val="nil"/>
                    <w:tr2bl w:val="nil"/>
                  </w:tcBorders>
                  <w:vAlign w:val="center"/>
                </w:tcPr>
                <w:p w14:paraId="6736B909">
                  <w:pPr>
                    <w:jc w:val="center"/>
                    <w:rPr>
                      <w:szCs w:val="21"/>
                    </w:rPr>
                  </w:pPr>
                  <w:r>
                    <w:rPr>
                      <w:szCs w:val="21"/>
                    </w:rPr>
                    <w:t>员工</w:t>
                  </w:r>
                  <w:r>
                    <w:rPr>
                      <w:rFonts w:hint="eastAsia"/>
                      <w:szCs w:val="21"/>
                    </w:rPr>
                    <w:t>办公</w:t>
                  </w:r>
                </w:p>
              </w:tc>
              <w:tc>
                <w:tcPr>
                  <w:tcW w:w="354" w:type="pct"/>
                  <w:vMerge w:val="restart"/>
                  <w:tcBorders>
                    <w:tl2br w:val="nil"/>
                    <w:tr2bl w:val="nil"/>
                  </w:tcBorders>
                  <w:vAlign w:val="center"/>
                </w:tcPr>
                <w:p w14:paraId="39658F7C">
                  <w:pPr>
                    <w:jc w:val="center"/>
                    <w:rPr>
                      <w:szCs w:val="21"/>
                    </w:rPr>
                  </w:pPr>
                  <w:r>
                    <w:rPr>
                      <w:szCs w:val="21"/>
                    </w:rPr>
                    <w:t>一般</w:t>
                  </w:r>
                </w:p>
                <w:p w14:paraId="083E57ED">
                  <w:pPr>
                    <w:jc w:val="center"/>
                    <w:rPr>
                      <w:szCs w:val="21"/>
                    </w:rPr>
                  </w:pPr>
                  <w:r>
                    <w:rPr>
                      <w:szCs w:val="21"/>
                    </w:rPr>
                    <w:t>固废</w:t>
                  </w:r>
                </w:p>
              </w:tc>
              <w:tc>
                <w:tcPr>
                  <w:tcW w:w="835" w:type="pct"/>
                  <w:tcBorders>
                    <w:tl2br w:val="nil"/>
                    <w:tr2bl w:val="nil"/>
                  </w:tcBorders>
                  <w:vAlign w:val="center"/>
                </w:tcPr>
                <w:p w14:paraId="5ABFC456">
                  <w:pPr>
                    <w:adjustRightInd w:val="0"/>
                    <w:snapToGrid w:val="0"/>
                    <w:spacing w:line="25" w:lineRule="atLeast"/>
                    <w:jc w:val="center"/>
                    <w:rPr>
                      <w:kern w:val="0"/>
                      <w:szCs w:val="21"/>
                    </w:rPr>
                  </w:pPr>
                  <w:r>
                    <w:rPr>
                      <w:rFonts w:hint="eastAsia"/>
                      <w:kern w:val="0"/>
                      <w:szCs w:val="21"/>
                    </w:rPr>
                    <w:t>900-099-SW64</w:t>
                  </w:r>
                </w:p>
              </w:tc>
              <w:tc>
                <w:tcPr>
                  <w:tcW w:w="450" w:type="pct"/>
                  <w:tcBorders>
                    <w:tl2br w:val="nil"/>
                    <w:tr2bl w:val="nil"/>
                  </w:tcBorders>
                  <w:vAlign w:val="center"/>
                </w:tcPr>
                <w:p w14:paraId="09DBFBA6">
                  <w:pPr>
                    <w:adjustRightInd w:val="0"/>
                    <w:snapToGrid w:val="0"/>
                    <w:spacing w:line="25" w:lineRule="atLeast"/>
                    <w:jc w:val="center"/>
                    <w:rPr>
                      <w:kern w:val="0"/>
                      <w:szCs w:val="21"/>
                    </w:rPr>
                  </w:pPr>
                  <w:r>
                    <w:rPr>
                      <w:rFonts w:hint="eastAsia"/>
                      <w:kern w:val="0"/>
                      <w:szCs w:val="21"/>
                    </w:rPr>
                    <w:t>0.006</w:t>
                  </w:r>
                </w:p>
              </w:tc>
              <w:tc>
                <w:tcPr>
                  <w:tcW w:w="981" w:type="pct"/>
                  <w:tcBorders>
                    <w:tl2br w:val="nil"/>
                    <w:tr2bl w:val="nil"/>
                  </w:tcBorders>
                  <w:vAlign w:val="center"/>
                </w:tcPr>
                <w:p w14:paraId="5751D211">
                  <w:pPr>
                    <w:jc w:val="center"/>
                    <w:rPr>
                      <w:szCs w:val="21"/>
                    </w:rPr>
                  </w:pPr>
                  <w:r>
                    <w:rPr>
                      <w:rFonts w:hint="eastAsia"/>
                      <w:szCs w:val="21"/>
                    </w:rPr>
                    <w:t>由转运站收集压缩后定期交由生活垃圾焚烧厂进行处置</w:t>
                  </w:r>
                </w:p>
              </w:tc>
              <w:tc>
                <w:tcPr>
                  <w:tcW w:w="612" w:type="pct"/>
                  <w:vMerge w:val="restart"/>
                  <w:tcBorders>
                    <w:tl2br w:val="nil"/>
                    <w:tr2bl w:val="nil"/>
                  </w:tcBorders>
                  <w:vAlign w:val="center"/>
                </w:tcPr>
                <w:p w14:paraId="78F4A9F1">
                  <w:pPr>
                    <w:jc w:val="center"/>
                    <w:rPr>
                      <w:szCs w:val="21"/>
                    </w:rPr>
                  </w:pPr>
                  <w:r>
                    <w:rPr>
                      <w:rFonts w:hint="eastAsia"/>
                      <w:szCs w:val="21"/>
                    </w:rPr>
                    <w:t>生活垃圾焚烧厂</w:t>
                  </w:r>
                </w:p>
              </w:tc>
            </w:tr>
            <w:tr w14:paraId="4F037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vAlign w:val="center"/>
                </w:tcPr>
                <w:p w14:paraId="769A32F1">
                  <w:pPr>
                    <w:jc w:val="center"/>
                    <w:rPr>
                      <w:szCs w:val="21"/>
                    </w:rPr>
                  </w:pPr>
                  <w:r>
                    <w:rPr>
                      <w:rFonts w:hint="eastAsia"/>
                      <w:szCs w:val="21"/>
                    </w:rPr>
                    <w:t>2</w:t>
                  </w:r>
                </w:p>
              </w:tc>
              <w:tc>
                <w:tcPr>
                  <w:tcW w:w="886" w:type="pct"/>
                  <w:tcBorders>
                    <w:tl2br w:val="nil"/>
                    <w:tr2bl w:val="nil"/>
                  </w:tcBorders>
                  <w:vAlign w:val="center"/>
                </w:tcPr>
                <w:p w14:paraId="14A14B21">
                  <w:pPr>
                    <w:adjustRightInd w:val="0"/>
                    <w:snapToGrid w:val="0"/>
                    <w:spacing w:line="25" w:lineRule="atLeast"/>
                    <w:jc w:val="center"/>
                    <w:rPr>
                      <w:szCs w:val="21"/>
                    </w:rPr>
                  </w:pPr>
                  <w:r>
                    <w:rPr>
                      <w:rFonts w:hint="eastAsia"/>
                      <w:kern w:val="0"/>
                      <w:szCs w:val="21"/>
                    </w:rPr>
                    <w:t>化粪池污泥</w:t>
                  </w:r>
                </w:p>
              </w:tc>
              <w:tc>
                <w:tcPr>
                  <w:tcW w:w="591" w:type="pct"/>
                  <w:tcBorders>
                    <w:tl2br w:val="nil"/>
                    <w:tr2bl w:val="nil"/>
                  </w:tcBorders>
                  <w:vAlign w:val="center"/>
                </w:tcPr>
                <w:p w14:paraId="0ACBE2F8">
                  <w:pPr>
                    <w:jc w:val="center"/>
                    <w:rPr>
                      <w:szCs w:val="21"/>
                    </w:rPr>
                  </w:pPr>
                  <w:r>
                    <w:rPr>
                      <w:szCs w:val="21"/>
                    </w:rPr>
                    <w:t>员工生活</w:t>
                  </w:r>
                </w:p>
              </w:tc>
              <w:tc>
                <w:tcPr>
                  <w:tcW w:w="354" w:type="pct"/>
                  <w:vMerge w:val="continue"/>
                  <w:tcBorders>
                    <w:tl2br w:val="nil"/>
                    <w:tr2bl w:val="nil"/>
                  </w:tcBorders>
                  <w:vAlign w:val="center"/>
                </w:tcPr>
                <w:p w14:paraId="4ACEFD7D">
                  <w:pPr>
                    <w:jc w:val="center"/>
                    <w:rPr>
                      <w:szCs w:val="21"/>
                    </w:rPr>
                  </w:pPr>
                </w:p>
              </w:tc>
              <w:tc>
                <w:tcPr>
                  <w:tcW w:w="835" w:type="pct"/>
                  <w:tcBorders>
                    <w:tl2br w:val="nil"/>
                    <w:tr2bl w:val="nil"/>
                  </w:tcBorders>
                  <w:vAlign w:val="center"/>
                </w:tcPr>
                <w:p w14:paraId="01DF8380">
                  <w:pPr>
                    <w:adjustRightInd w:val="0"/>
                    <w:snapToGrid w:val="0"/>
                    <w:spacing w:line="25" w:lineRule="atLeast"/>
                    <w:jc w:val="center"/>
                    <w:rPr>
                      <w:kern w:val="0"/>
                      <w:szCs w:val="21"/>
                    </w:rPr>
                  </w:pPr>
                  <w:r>
                    <w:rPr>
                      <w:rFonts w:hint="eastAsia"/>
                      <w:kern w:val="0"/>
                      <w:szCs w:val="21"/>
                    </w:rPr>
                    <w:t>900-099-SW64</w:t>
                  </w:r>
                </w:p>
              </w:tc>
              <w:tc>
                <w:tcPr>
                  <w:tcW w:w="450" w:type="pct"/>
                  <w:tcBorders>
                    <w:tl2br w:val="nil"/>
                    <w:tr2bl w:val="nil"/>
                  </w:tcBorders>
                  <w:vAlign w:val="center"/>
                </w:tcPr>
                <w:p w14:paraId="76C465DE">
                  <w:pPr>
                    <w:adjustRightInd w:val="0"/>
                    <w:snapToGrid w:val="0"/>
                    <w:spacing w:line="25" w:lineRule="atLeast"/>
                    <w:jc w:val="center"/>
                    <w:rPr>
                      <w:kern w:val="0"/>
                      <w:szCs w:val="21"/>
                    </w:rPr>
                  </w:pPr>
                  <w:r>
                    <w:rPr>
                      <w:rFonts w:hint="eastAsia"/>
                      <w:kern w:val="0"/>
                      <w:szCs w:val="21"/>
                    </w:rPr>
                    <w:t>0.2</w:t>
                  </w:r>
                </w:p>
              </w:tc>
              <w:tc>
                <w:tcPr>
                  <w:tcW w:w="981" w:type="pct"/>
                  <w:tcBorders>
                    <w:tl2br w:val="nil"/>
                    <w:tr2bl w:val="nil"/>
                  </w:tcBorders>
                  <w:vAlign w:val="center"/>
                </w:tcPr>
                <w:p w14:paraId="6784E178">
                  <w:pPr>
                    <w:jc w:val="center"/>
                    <w:rPr>
                      <w:szCs w:val="21"/>
                    </w:rPr>
                  </w:pPr>
                  <w:r>
                    <w:rPr>
                      <w:rFonts w:hint="eastAsia"/>
                      <w:kern w:val="0"/>
                      <w:szCs w:val="21"/>
                    </w:rPr>
                    <w:t>定期清掏交由生活垃圾焚烧厂进行处置</w:t>
                  </w:r>
                </w:p>
              </w:tc>
              <w:tc>
                <w:tcPr>
                  <w:tcW w:w="612" w:type="pct"/>
                  <w:vMerge w:val="continue"/>
                  <w:tcBorders>
                    <w:tl2br w:val="nil"/>
                    <w:tr2bl w:val="nil"/>
                  </w:tcBorders>
                  <w:vAlign w:val="center"/>
                </w:tcPr>
                <w:p w14:paraId="6FCAB80B">
                  <w:pPr>
                    <w:jc w:val="center"/>
                    <w:rPr>
                      <w:szCs w:val="21"/>
                    </w:rPr>
                  </w:pPr>
                </w:p>
              </w:tc>
            </w:tr>
            <w:tr w14:paraId="29514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shd w:val="clear" w:color="auto" w:fill="auto"/>
                  <w:vAlign w:val="center"/>
                </w:tcPr>
                <w:p w14:paraId="53E21E23">
                  <w:pPr>
                    <w:jc w:val="center"/>
                    <w:rPr>
                      <w:szCs w:val="21"/>
                    </w:rPr>
                  </w:pPr>
                  <w:r>
                    <w:rPr>
                      <w:rFonts w:hint="eastAsia"/>
                      <w:szCs w:val="21"/>
                    </w:rPr>
                    <w:t>3</w:t>
                  </w:r>
                </w:p>
              </w:tc>
              <w:tc>
                <w:tcPr>
                  <w:tcW w:w="886" w:type="pct"/>
                  <w:tcBorders>
                    <w:tl2br w:val="nil"/>
                    <w:tr2bl w:val="nil"/>
                  </w:tcBorders>
                  <w:shd w:val="clear" w:color="auto" w:fill="auto"/>
                  <w:vAlign w:val="center"/>
                </w:tcPr>
                <w:p w14:paraId="24AB158F">
                  <w:pPr>
                    <w:adjustRightInd w:val="0"/>
                    <w:snapToGrid w:val="0"/>
                    <w:spacing w:line="25" w:lineRule="atLeast"/>
                    <w:jc w:val="center"/>
                    <w:rPr>
                      <w:szCs w:val="21"/>
                    </w:rPr>
                  </w:pPr>
                  <w:r>
                    <w:rPr>
                      <w:rFonts w:hint="eastAsia"/>
                      <w:kern w:val="0"/>
                      <w:szCs w:val="21"/>
                    </w:rPr>
                    <w:t>污水处理站污泥</w:t>
                  </w:r>
                </w:p>
              </w:tc>
              <w:tc>
                <w:tcPr>
                  <w:tcW w:w="591" w:type="pct"/>
                  <w:tcBorders>
                    <w:tl2br w:val="nil"/>
                    <w:tr2bl w:val="nil"/>
                  </w:tcBorders>
                  <w:shd w:val="clear" w:color="auto" w:fill="auto"/>
                  <w:vAlign w:val="center"/>
                </w:tcPr>
                <w:p w14:paraId="5266D78E">
                  <w:pPr>
                    <w:rPr>
                      <w:szCs w:val="21"/>
                    </w:rPr>
                  </w:pPr>
                  <w:r>
                    <w:rPr>
                      <w:rFonts w:hint="eastAsia"/>
                      <w:szCs w:val="21"/>
                    </w:rPr>
                    <w:t>渗滤液等废水处理</w:t>
                  </w:r>
                </w:p>
              </w:tc>
              <w:tc>
                <w:tcPr>
                  <w:tcW w:w="354" w:type="pct"/>
                  <w:vMerge w:val="continue"/>
                  <w:tcBorders>
                    <w:tl2br w:val="nil"/>
                    <w:tr2bl w:val="nil"/>
                  </w:tcBorders>
                  <w:shd w:val="clear" w:color="auto" w:fill="auto"/>
                  <w:vAlign w:val="center"/>
                </w:tcPr>
                <w:p w14:paraId="4E683CCD">
                  <w:pPr>
                    <w:jc w:val="center"/>
                    <w:rPr>
                      <w:szCs w:val="21"/>
                    </w:rPr>
                  </w:pPr>
                </w:p>
              </w:tc>
              <w:tc>
                <w:tcPr>
                  <w:tcW w:w="835" w:type="pct"/>
                  <w:tcBorders>
                    <w:tl2br w:val="nil"/>
                    <w:tr2bl w:val="nil"/>
                  </w:tcBorders>
                  <w:shd w:val="clear" w:color="auto" w:fill="auto"/>
                  <w:vAlign w:val="center"/>
                </w:tcPr>
                <w:p w14:paraId="0FF152A0">
                  <w:pPr>
                    <w:adjustRightInd w:val="0"/>
                    <w:snapToGrid w:val="0"/>
                    <w:spacing w:line="25" w:lineRule="atLeast"/>
                    <w:jc w:val="center"/>
                    <w:rPr>
                      <w:kern w:val="0"/>
                      <w:szCs w:val="21"/>
                    </w:rPr>
                  </w:pPr>
                  <w:r>
                    <w:rPr>
                      <w:rFonts w:hint="eastAsia"/>
                      <w:kern w:val="0"/>
                      <w:szCs w:val="21"/>
                    </w:rPr>
                    <w:t>900-099-S07</w:t>
                  </w:r>
                </w:p>
              </w:tc>
              <w:tc>
                <w:tcPr>
                  <w:tcW w:w="450" w:type="pct"/>
                  <w:tcBorders>
                    <w:tl2br w:val="nil"/>
                    <w:tr2bl w:val="nil"/>
                  </w:tcBorders>
                  <w:shd w:val="clear" w:color="auto" w:fill="auto"/>
                  <w:vAlign w:val="center"/>
                </w:tcPr>
                <w:p w14:paraId="37FB88E9">
                  <w:pPr>
                    <w:adjustRightInd w:val="0"/>
                    <w:snapToGrid w:val="0"/>
                    <w:spacing w:line="25" w:lineRule="atLeast"/>
                    <w:jc w:val="center"/>
                    <w:rPr>
                      <w:kern w:val="0"/>
                      <w:szCs w:val="21"/>
                    </w:rPr>
                  </w:pPr>
                  <w:r>
                    <w:rPr>
                      <w:rFonts w:hint="eastAsia"/>
                      <w:kern w:val="0"/>
                      <w:szCs w:val="21"/>
                    </w:rPr>
                    <w:t>406.4</w:t>
                  </w:r>
                </w:p>
              </w:tc>
              <w:tc>
                <w:tcPr>
                  <w:tcW w:w="981" w:type="pct"/>
                  <w:tcBorders>
                    <w:tl2br w:val="nil"/>
                    <w:tr2bl w:val="nil"/>
                  </w:tcBorders>
                  <w:shd w:val="clear" w:color="auto" w:fill="auto"/>
                  <w:vAlign w:val="center"/>
                </w:tcPr>
                <w:p w14:paraId="47C022BE">
                  <w:pPr>
                    <w:jc w:val="center"/>
                    <w:rPr>
                      <w:kern w:val="0"/>
                      <w:szCs w:val="21"/>
                    </w:rPr>
                  </w:pPr>
                  <w:r>
                    <w:rPr>
                      <w:rFonts w:hint="eastAsia"/>
                      <w:kern w:val="0"/>
                      <w:szCs w:val="21"/>
                    </w:rPr>
                    <w:t>交由生活垃圾焚烧厂进行处置</w:t>
                  </w:r>
                </w:p>
              </w:tc>
              <w:tc>
                <w:tcPr>
                  <w:tcW w:w="612" w:type="pct"/>
                  <w:vMerge w:val="continue"/>
                  <w:tcBorders>
                    <w:tl2br w:val="nil"/>
                    <w:tr2bl w:val="nil"/>
                  </w:tcBorders>
                  <w:vAlign w:val="center"/>
                </w:tcPr>
                <w:p w14:paraId="3101B388">
                  <w:pPr>
                    <w:jc w:val="center"/>
                    <w:rPr>
                      <w:szCs w:val="21"/>
                    </w:rPr>
                  </w:pPr>
                </w:p>
              </w:tc>
            </w:tr>
            <w:tr w14:paraId="4C7AE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shd w:val="clear" w:color="auto" w:fill="auto"/>
                  <w:vAlign w:val="center"/>
                </w:tcPr>
                <w:p w14:paraId="2D223FAA">
                  <w:pPr>
                    <w:jc w:val="center"/>
                    <w:rPr>
                      <w:szCs w:val="21"/>
                    </w:rPr>
                  </w:pPr>
                  <w:r>
                    <w:rPr>
                      <w:rFonts w:hint="eastAsia"/>
                      <w:szCs w:val="21"/>
                    </w:rPr>
                    <w:t>4</w:t>
                  </w:r>
                </w:p>
              </w:tc>
              <w:tc>
                <w:tcPr>
                  <w:tcW w:w="886" w:type="pct"/>
                  <w:tcBorders>
                    <w:tl2br w:val="nil"/>
                    <w:tr2bl w:val="nil"/>
                  </w:tcBorders>
                  <w:vAlign w:val="center"/>
                </w:tcPr>
                <w:p w14:paraId="15F125F7">
                  <w:pPr>
                    <w:adjustRightInd w:val="0"/>
                    <w:snapToGrid w:val="0"/>
                    <w:spacing w:line="25" w:lineRule="atLeast"/>
                    <w:jc w:val="center"/>
                    <w:rPr>
                      <w:szCs w:val="21"/>
                    </w:rPr>
                  </w:pPr>
                  <w:r>
                    <w:rPr>
                      <w:rFonts w:hint="eastAsia"/>
                      <w:szCs w:val="21"/>
                    </w:rPr>
                    <w:t>废包装材料</w:t>
                  </w:r>
                </w:p>
              </w:tc>
              <w:tc>
                <w:tcPr>
                  <w:tcW w:w="591" w:type="pct"/>
                  <w:tcBorders>
                    <w:tl2br w:val="nil"/>
                    <w:tr2bl w:val="nil"/>
                  </w:tcBorders>
                  <w:vAlign w:val="center"/>
                </w:tcPr>
                <w:p w14:paraId="5F4A39F6">
                  <w:pPr>
                    <w:rPr>
                      <w:szCs w:val="21"/>
                    </w:rPr>
                  </w:pPr>
                  <w:r>
                    <w:rPr>
                      <w:rFonts w:hint="eastAsia"/>
                      <w:szCs w:val="21"/>
                    </w:rPr>
                    <w:t>废气处理、污水处理</w:t>
                  </w:r>
                </w:p>
              </w:tc>
              <w:tc>
                <w:tcPr>
                  <w:tcW w:w="354" w:type="pct"/>
                  <w:vMerge w:val="continue"/>
                  <w:tcBorders>
                    <w:tl2br w:val="nil"/>
                    <w:tr2bl w:val="nil"/>
                  </w:tcBorders>
                  <w:vAlign w:val="center"/>
                </w:tcPr>
                <w:p w14:paraId="3D9E8C47">
                  <w:pPr>
                    <w:jc w:val="center"/>
                    <w:rPr>
                      <w:szCs w:val="21"/>
                    </w:rPr>
                  </w:pPr>
                </w:p>
              </w:tc>
              <w:tc>
                <w:tcPr>
                  <w:tcW w:w="835" w:type="pct"/>
                  <w:tcBorders>
                    <w:tl2br w:val="nil"/>
                    <w:tr2bl w:val="nil"/>
                  </w:tcBorders>
                  <w:vAlign w:val="center"/>
                </w:tcPr>
                <w:p w14:paraId="06784794">
                  <w:pPr>
                    <w:adjustRightInd w:val="0"/>
                    <w:snapToGrid w:val="0"/>
                    <w:spacing w:line="25" w:lineRule="atLeast"/>
                    <w:jc w:val="center"/>
                    <w:rPr>
                      <w:kern w:val="0"/>
                      <w:szCs w:val="21"/>
                    </w:rPr>
                  </w:pPr>
                  <w:r>
                    <w:rPr>
                      <w:rFonts w:hint="eastAsia"/>
                      <w:kern w:val="0"/>
                      <w:szCs w:val="21"/>
                    </w:rPr>
                    <w:t>900-003-S17</w:t>
                  </w:r>
                </w:p>
              </w:tc>
              <w:tc>
                <w:tcPr>
                  <w:tcW w:w="450" w:type="pct"/>
                  <w:tcBorders>
                    <w:tl2br w:val="nil"/>
                    <w:tr2bl w:val="nil"/>
                  </w:tcBorders>
                  <w:vAlign w:val="center"/>
                </w:tcPr>
                <w:p w14:paraId="4F5EACB1">
                  <w:pPr>
                    <w:adjustRightInd w:val="0"/>
                    <w:snapToGrid w:val="0"/>
                    <w:spacing w:line="25" w:lineRule="atLeast"/>
                    <w:jc w:val="center"/>
                    <w:rPr>
                      <w:kern w:val="0"/>
                      <w:szCs w:val="21"/>
                    </w:rPr>
                  </w:pPr>
                  <w:r>
                    <w:rPr>
                      <w:rFonts w:hint="eastAsia"/>
                      <w:kern w:val="0"/>
                      <w:szCs w:val="21"/>
                    </w:rPr>
                    <w:t>1.048</w:t>
                  </w:r>
                </w:p>
              </w:tc>
              <w:tc>
                <w:tcPr>
                  <w:tcW w:w="981" w:type="pct"/>
                  <w:tcBorders>
                    <w:tl2br w:val="nil"/>
                    <w:tr2bl w:val="nil"/>
                  </w:tcBorders>
                  <w:vAlign w:val="center"/>
                </w:tcPr>
                <w:p w14:paraId="7E13D76A">
                  <w:pPr>
                    <w:adjustRightInd w:val="0"/>
                    <w:snapToGrid w:val="0"/>
                    <w:spacing w:line="25" w:lineRule="atLeast"/>
                    <w:jc w:val="center"/>
                    <w:rPr>
                      <w:kern w:val="0"/>
                      <w:szCs w:val="21"/>
                    </w:rPr>
                  </w:pPr>
                  <w:r>
                    <w:rPr>
                      <w:rFonts w:hint="eastAsia"/>
                      <w:kern w:val="0"/>
                      <w:szCs w:val="21"/>
                    </w:rPr>
                    <w:t>收集后外售</w:t>
                  </w:r>
                </w:p>
              </w:tc>
              <w:tc>
                <w:tcPr>
                  <w:tcW w:w="612" w:type="pct"/>
                  <w:vMerge w:val="continue"/>
                  <w:tcBorders>
                    <w:tl2br w:val="nil"/>
                    <w:tr2bl w:val="nil"/>
                  </w:tcBorders>
                  <w:vAlign w:val="center"/>
                </w:tcPr>
                <w:p w14:paraId="5A3C0AE5">
                  <w:pPr>
                    <w:jc w:val="center"/>
                    <w:rPr>
                      <w:szCs w:val="21"/>
                    </w:rPr>
                  </w:pPr>
                </w:p>
              </w:tc>
            </w:tr>
            <w:tr w14:paraId="14918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4" w:hRule="atLeast"/>
                <w:jc w:val="center"/>
              </w:trPr>
              <w:tc>
                <w:tcPr>
                  <w:tcW w:w="288" w:type="pct"/>
                  <w:tcBorders>
                    <w:tl2br w:val="nil"/>
                    <w:tr2bl w:val="nil"/>
                  </w:tcBorders>
                  <w:shd w:val="clear" w:color="auto" w:fill="auto"/>
                  <w:vAlign w:val="center"/>
                </w:tcPr>
                <w:p w14:paraId="2273CB67">
                  <w:pPr>
                    <w:jc w:val="center"/>
                    <w:rPr>
                      <w:szCs w:val="21"/>
                    </w:rPr>
                  </w:pPr>
                  <w:r>
                    <w:rPr>
                      <w:rFonts w:hint="eastAsia"/>
                      <w:szCs w:val="21"/>
                    </w:rPr>
                    <w:t>5</w:t>
                  </w:r>
                </w:p>
              </w:tc>
              <w:tc>
                <w:tcPr>
                  <w:tcW w:w="886" w:type="pct"/>
                  <w:tcBorders>
                    <w:tl2br w:val="nil"/>
                    <w:tr2bl w:val="nil"/>
                  </w:tcBorders>
                  <w:vAlign w:val="center"/>
                </w:tcPr>
                <w:p w14:paraId="4F4EEDBB">
                  <w:pPr>
                    <w:adjustRightInd w:val="0"/>
                    <w:snapToGrid w:val="0"/>
                    <w:spacing w:line="25" w:lineRule="atLeast"/>
                    <w:jc w:val="center"/>
                    <w:rPr>
                      <w:szCs w:val="21"/>
                    </w:rPr>
                  </w:pPr>
                  <w:r>
                    <w:rPr>
                      <w:rFonts w:hint="eastAsia"/>
                      <w:kern w:val="0"/>
                      <w:szCs w:val="21"/>
                    </w:rPr>
                    <w:t>废润滑油</w:t>
                  </w:r>
                </w:p>
              </w:tc>
              <w:tc>
                <w:tcPr>
                  <w:tcW w:w="591" w:type="pct"/>
                  <w:vMerge w:val="restart"/>
                  <w:tcBorders>
                    <w:tl2br w:val="nil"/>
                    <w:tr2bl w:val="nil"/>
                  </w:tcBorders>
                  <w:vAlign w:val="center"/>
                </w:tcPr>
                <w:p w14:paraId="22030B6F">
                  <w:pPr>
                    <w:jc w:val="center"/>
                    <w:rPr>
                      <w:szCs w:val="21"/>
                    </w:rPr>
                  </w:pPr>
                  <w:r>
                    <w:rPr>
                      <w:szCs w:val="21"/>
                    </w:rPr>
                    <w:t>设备维护</w:t>
                  </w:r>
                  <w:r>
                    <w:rPr>
                      <w:rFonts w:hint="eastAsia"/>
                      <w:szCs w:val="21"/>
                    </w:rPr>
                    <w:t>、维修等</w:t>
                  </w:r>
                </w:p>
              </w:tc>
              <w:tc>
                <w:tcPr>
                  <w:tcW w:w="354" w:type="pct"/>
                  <w:vMerge w:val="restart"/>
                  <w:tcBorders>
                    <w:tl2br w:val="nil"/>
                    <w:tr2bl w:val="nil"/>
                  </w:tcBorders>
                  <w:vAlign w:val="center"/>
                </w:tcPr>
                <w:p w14:paraId="69DA5566">
                  <w:pPr>
                    <w:jc w:val="center"/>
                    <w:rPr>
                      <w:szCs w:val="21"/>
                    </w:rPr>
                  </w:pPr>
                  <w:r>
                    <w:rPr>
                      <w:rFonts w:hint="eastAsia"/>
                      <w:szCs w:val="21"/>
                    </w:rPr>
                    <w:t>危险废物</w:t>
                  </w:r>
                </w:p>
              </w:tc>
              <w:tc>
                <w:tcPr>
                  <w:tcW w:w="835" w:type="pct"/>
                  <w:tcBorders>
                    <w:tl2br w:val="nil"/>
                    <w:tr2bl w:val="nil"/>
                  </w:tcBorders>
                  <w:vAlign w:val="center"/>
                </w:tcPr>
                <w:p w14:paraId="780B0D1B">
                  <w:pPr>
                    <w:jc w:val="center"/>
                    <w:rPr>
                      <w:szCs w:val="21"/>
                    </w:rPr>
                  </w:pPr>
                  <w:r>
                    <w:rPr>
                      <w:szCs w:val="21"/>
                    </w:rPr>
                    <w:t>900-214-08</w:t>
                  </w:r>
                </w:p>
              </w:tc>
              <w:tc>
                <w:tcPr>
                  <w:tcW w:w="450" w:type="pct"/>
                  <w:tcBorders>
                    <w:tl2br w:val="nil"/>
                    <w:tr2bl w:val="nil"/>
                  </w:tcBorders>
                  <w:vAlign w:val="center"/>
                </w:tcPr>
                <w:p w14:paraId="5B02C9F4">
                  <w:pPr>
                    <w:jc w:val="center"/>
                    <w:rPr>
                      <w:szCs w:val="21"/>
                    </w:rPr>
                  </w:pPr>
                  <w:r>
                    <w:rPr>
                      <w:rFonts w:hint="eastAsia"/>
                      <w:szCs w:val="21"/>
                    </w:rPr>
                    <w:t>0.097</w:t>
                  </w:r>
                </w:p>
              </w:tc>
              <w:tc>
                <w:tcPr>
                  <w:tcW w:w="981" w:type="pct"/>
                  <w:vMerge w:val="restart"/>
                  <w:tcBorders>
                    <w:tl2br w:val="nil"/>
                    <w:tr2bl w:val="nil"/>
                  </w:tcBorders>
                  <w:vAlign w:val="center"/>
                </w:tcPr>
                <w:p w14:paraId="150A8D4E">
                  <w:pPr>
                    <w:jc w:val="center"/>
                    <w:rPr>
                      <w:szCs w:val="21"/>
                    </w:rPr>
                  </w:pPr>
                  <w:r>
                    <w:rPr>
                      <w:rFonts w:hint="eastAsia"/>
                      <w:szCs w:val="21"/>
                    </w:rPr>
                    <w:t>使用油桶收集后桶盖密闭暂存于危废暂存间，签订危废处置协议并定期交由危废资质单位处理</w:t>
                  </w:r>
                </w:p>
              </w:tc>
              <w:tc>
                <w:tcPr>
                  <w:tcW w:w="612" w:type="pct"/>
                  <w:vMerge w:val="restart"/>
                  <w:tcBorders>
                    <w:tl2br w:val="nil"/>
                    <w:tr2bl w:val="nil"/>
                  </w:tcBorders>
                  <w:vAlign w:val="center"/>
                </w:tcPr>
                <w:p w14:paraId="50DB9FE2">
                  <w:pPr>
                    <w:jc w:val="center"/>
                    <w:rPr>
                      <w:szCs w:val="21"/>
                    </w:rPr>
                  </w:pPr>
                  <w:r>
                    <w:rPr>
                      <w:rFonts w:hint="eastAsia"/>
                      <w:szCs w:val="21"/>
                    </w:rPr>
                    <w:t>危废处置单位</w:t>
                  </w:r>
                </w:p>
              </w:tc>
            </w:tr>
            <w:tr w14:paraId="042B3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shd w:val="clear" w:color="auto" w:fill="auto"/>
                  <w:vAlign w:val="center"/>
                </w:tcPr>
                <w:p w14:paraId="2D7F31B4">
                  <w:pPr>
                    <w:jc w:val="center"/>
                    <w:rPr>
                      <w:szCs w:val="21"/>
                    </w:rPr>
                  </w:pPr>
                  <w:r>
                    <w:rPr>
                      <w:rFonts w:hint="eastAsia"/>
                      <w:szCs w:val="21"/>
                    </w:rPr>
                    <w:t>6</w:t>
                  </w:r>
                </w:p>
              </w:tc>
              <w:tc>
                <w:tcPr>
                  <w:tcW w:w="886" w:type="pct"/>
                  <w:tcBorders>
                    <w:tl2br w:val="nil"/>
                    <w:tr2bl w:val="nil"/>
                  </w:tcBorders>
                  <w:vAlign w:val="center"/>
                </w:tcPr>
                <w:p w14:paraId="03A2A3FB">
                  <w:pPr>
                    <w:adjustRightInd w:val="0"/>
                    <w:snapToGrid w:val="0"/>
                    <w:spacing w:line="25" w:lineRule="atLeast"/>
                    <w:jc w:val="center"/>
                    <w:rPr>
                      <w:szCs w:val="21"/>
                    </w:rPr>
                  </w:pPr>
                  <w:r>
                    <w:rPr>
                      <w:rFonts w:hint="eastAsia"/>
                      <w:kern w:val="0"/>
                      <w:szCs w:val="21"/>
                    </w:rPr>
                    <w:t>废液压油</w:t>
                  </w:r>
                </w:p>
              </w:tc>
              <w:tc>
                <w:tcPr>
                  <w:tcW w:w="591" w:type="pct"/>
                  <w:vMerge w:val="continue"/>
                  <w:tcBorders>
                    <w:tl2br w:val="nil"/>
                    <w:tr2bl w:val="nil"/>
                  </w:tcBorders>
                  <w:vAlign w:val="center"/>
                </w:tcPr>
                <w:p w14:paraId="117982A4">
                  <w:pPr>
                    <w:jc w:val="center"/>
                    <w:rPr>
                      <w:szCs w:val="21"/>
                    </w:rPr>
                  </w:pPr>
                </w:p>
              </w:tc>
              <w:tc>
                <w:tcPr>
                  <w:tcW w:w="354" w:type="pct"/>
                  <w:vMerge w:val="continue"/>
                  <w:tcBorders>
                    <w:tl2br w:val="nil"/>
                    <w:tr2bl w:val="nil"/>
                  </w:tcBorders>
                  <w:vAlign w:val="center"/>
                </w:tcPr>
                <w:p w14:paraId="7D9598BA">
                  <w:pPr>
                    <w:jc w:val="center"/>
                    <w:rPr>
                      <w:szCs w:val="21"/>
                    </w:rPr>
                  </w:pPr>
                </w:p>
              </w:tc>
              <w:tc>
                <w:tcPr>
                  <w:tcW w:w="835" w:type="pct"/>
                  <w:tcBorders>
                    <w:tl2br w:val="nil"/>
                    <w:tr2bl w:val="nil"/>
                  </w:tcBorders>
                  <w:vAlign w:val="center"/>
                </w:tcPr>
                <w:p w14:paraId="6F111EE3">
                  <w:pPr>
                    <w:jc w:val="center"/>
                    <w:rPr>
                      <w:szCs w:val="21"/>
                    </w:rPr>
                  </w:pPr>
                  <w:r>
                    <w:rPr>
                      <w:rFonts w:hint="eastAsia"/>
                      <w:szCs w:val="21"/>
                    </w:rPr>
                    <w:t>900-218-08</w:t>
                  </w:r>
                </w:p>
              </w:tc>
              <w:tc>
                <w:tcPr>
                  <w:tcW w:w="450" w:type="pct"/>
                  <w:tcBorders>
                    <w:tl2br w:val="nil"/>
                    <w:tr2bl w:val="nil"/>
                  </w:tcBorders>
                  <w:vAlign w:val="center"/>
                </w:tcPr>
                <w:p w14:paraId="7EDAEC76">
                  <w:pPr>
                    <w:jc w:val="center"/>
                    <w:rPr>
                      <w:szCs w:val="21"/>
                    </w:rPr>
                  </w:pPr>
                  <w:r>
                    <w:rPr>
                      <w:rFonts w:hint="eastAsia"/>
                      <w:szCs w:val="21"/>
                    </w:rPr>
                    <w:t>1.25</w:t>
                  </w:r>
                </w:p>
              </w:tc>
              <w:tc>
                <w:tcPr>
                  <w:tcW w:w="981" w:type="pct"/>
                  <w:vMerge w:val="continue"/>
                  <w:tcBorders>
                    <w:tl2br w:val="nil"/>
                    <w:tr2bl w:val="nil"/>
                  </w:tcBorders>
                  <w:vAlign w:val="center"/>
                </w:tcPr>
                <w:p w14:paraId="2FAE70C4">
                  <w:pPr>
                    <w:jc w:val="center"/>
                    <w:rPr>
                      <w:szCs w:val="21"/>
                    </w:rPr>
                  </w:pPr>
                </w:p>
              </w:tc>
              <w:tc>
                <w:tcPr>
                  <w:tcW w:w="612" w:type="pct"/>
                  <w:vMerge w:val="continue"/>
                  <w:tcBorders>
                    <w:tl2br w:val="nil"/>
                    <w:tr2bl w:val="nil"/>
                  </w:tcBorders>
                  <w:vAlign w:val="center"/>
                </w:tcPr>
                <w:p w14:paraId="5228D975">
                  <w:pPr>
                    <w:jc w:val="center"/>
                    <w:rPr>
                      <w:szCs w:val="21"/>
                    </w:rPr>
                  </w:pPr>
                </w:p>
              </w:tc>
            </w:tr>
            <w:tr w14:paraId="53B1C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vAlign w:val="center"/>
                </w:tcPr>
                <w:p w14:paraId="08FF9C42">
                  <w:pPr>
                    <w:jc w:val="center"/>
                    <w:rPr>
                      <w:szCs w:val="21"/>
                    </w:rPr>
                  </w:pPr>
                  <w:r>
                    <w:rPr>
                      <w:rFonts w:hint="eastAsia"/>
                      <w:szCs w:val="21"/>
                    </w:rPr>
                    <w:t>7</w:t>
                  </w:r>
                </w:p>
              </w:tc>
              <w:tc>
                <w:tcPr>
                  <w:tcW w:w="886" w:type="pct"/>
                  <w:tcBorders>
                    <w:tl2br w:val="nil"/>
                    <w:tr2bl w:val="nil"/>
                  </w:tcBorders>
                  <w:vAlign w:val="center"/>
                </w:tcPr>
                <w:p w14:paraId="511A36A4">
                  <w:pPr>
                    <w:adjustRightInd w:val="0"/>
                    <w:snapToGrid w:val="0"/>
                    <w:spacing w:line="25" w:lineRule="atLeast"/>
                    <w:jc w:val="center"/>
                    <w:rPr>
                      <w:szCs w:val="21"/>
                    </w:rPr>
                  </w:pPr>
                  <w:r>
                    <w:rPr>
                      <w:rFonts w:hint="eastAsia"/>
                      <w:color w:val="000000"/>
                      <w:kern w:val="0"/>
                      <w:szCs w:val="21"/>
                      <w:lang w:bidi="ar"/>
                    </w:rPr>
                    <w:t>废油桶</w:t>
                  </w:r>
                </w:p>
              </w:tc>
              <w:tc>
                <w:tcPr>
                  <w:tcW w:w="591" w:type="pct"/>
                  <w:vMerge w:val="continue"/>
                  <w:tcBorders>
                    <w:tl2br w:val="nil"/>
                    <w:tr2bl w:val="nil"/>
                  </w:tcBorders>
                  <w:vAlign w:val="center"/>
                </w:tcPr>
                <w:p w14:paraId="75AF00ED">
                  <w:pPr>
                    <w:jc w:val="center"/>
                    <w:rPr>
                      <w:szCs w:val="21"/>
                    </w:rPr>
                  </w:pPr>
                </w:p>
              </w:tc>
              <w:tc>
                <w:tcPr>
                  <w:tcW w:w="354" w:type="pct"/>
                  <w:vMerge w:val="continue"/>
                  <w:tcBorders>
                    <w:tl2br w:val="nil"/>
                    <w:tr2bl w:val="nil"/>
                  </w:tcBorders>
                  <w:vAlign w:val="center"/>
                </w:tcPr>
                <w:p w14:paraId="55C36BA6">
                  <w:pPr>
                    <w:jc w:val="center"/>
                    <w:rPr>
                      <w:szCs w:val="21"/>
                    </w:rPr>
                  </w:pPr>
                </w:p>
              </w:tc>
              <w:tc>
                <w:tcPr>
                  <w:tcW w:w="835" w:type="pct"/>
                  <w:tcBorders>
                    <w:tl2br w:val="nil"/>
                    <w:tr2bl w:val="nil"/>
                  </w:tcBorders>
                  <w:vAlign w:val="center"/>
                </w:tcPr>
                <w:p w14:paraId="45059A58">
                  <w:pPr>
                    <w:jc w:val="center"/>
                    <w:rPr>
                      <w:szCs w:val="21"/>
                    </w:rPr>
                  </w:pPr>
                  <w:r>
                    <w:rPr>
                      <w:rFonts w:hint="eastAsia"/>
                      <w:szCs w:val="21"/>
                    </w:rPr>
                    <w:t>900-041-49</w:t>
                  </w:r>
                </w:p>
              </w:tc>
              <w:tc>
                <w:tcPr>
                  <w:tcW w:w="450" w:type="pct"/>
                  <w:tcBorders>
                    <w:tl2br w:val="nil"/>
                    <w:tr2bl w:val="nil"/>
                  </w:tcBorders>
                  <w:vAlign w:val="center"/>
                </w:tcPr>
                <w:p w14:paraId="02FEF00C">
                  <w:pPr>
                    <w:jc w:val="center"/>
                    <w:rPr>
                      <w:szCs w:val="21"/>
                    </w:rPr>
                  </w:pPr>
                  <w:r>
                    <w:rPr>
                      <w:rFonts w:hint="eastAsia"/>
                      <w:szCs w:val="21"/>
                    </w:rPr>
                    <w:t>0.18</w:t>
                  </w:r>
                </w:p>
              </w:tc>
              <w:tc>
                <w:tcPr>
                  <w:tcW w:w="981" w:type="pct"/>
                  <w:vMerge w:val="restart"/>
                  <w:tcBorders>
                    <w:tl2br w:val="nil"/>
                    <w:tr2bl w:val="nil"/>
                  </w:tcBorders>
                  <w:vAlign w:val="center"/>
                </w:tcPr>
                <w:p w14:paraId="094BBA2E">
                  <w:pPr>
                    <w:jc w:val="center"/>
                    <w:rPr>
                      <w:szCs w:val="21"/>
                    </w:rPr>
                  </w:pPr>
                  <w:r>
                    <w:rPr>
                      <w:rFonts w:hint="eastAsia"/>
                      <w:color w:val="000000"/>
                      <w:kern w:val="0"/>
                      <w:szCs w:val="21"/>
                      <w:lang w:bidi="ar"/>
                    </w:rPr>
                    <w:t>桶盖密闭</w:t>
                  </w:r>
                  <w:r>
                    <w:rPr>
                      <w:color w:val="000000"/>
                      <w:kern w:val="0"/>
                      <w:szCs w:val="21"/>
                      <w:lang w:bidi="ar"/>
                    </w:rPr>
                    <w:t>后暂存于</w:t>
                  </w:r>
                  <w:r>
                    <w:rPr>
                      <w:rFonts w:hint="eastAsia"/>
                      <w:color w:val="000000"/>
                      <w:kern w:val="0"/>
                      <w:szCs w:val="21"/>
                      <w:lang w:bidi="ar"/>
                    </w:rPr>
                    <w:t>危废</w:t>
                  </w:r>
                  <w:r>
                    <w:rPr>
                      <w:color w:val="000000"/>
                      <w:kern w:val="0"/>
                      <w:szCs w:val="21"/>
                      <w:lang w:bidi="ar"/>
                    </w:rPr>
                    <w:t>暂存间，签订危废处置协议并定期交由危废资质单位处理</w:t>
                  </w:r>
                </w:p>
              </w:tc>
              <w:tc>
                <w:tcPr>
                  <w:tcW w:w="612" w:type="pct"/>
                  <w:vMerge w:val="continue"/>
                  <w:tcBorders>
                    <w:tl2br w:val="nil"/>
                    <w:tr2bl w:val="nil"/>
                  </w:tcBorders>
                  <w:vAlign w:val="center"/>
                </w:tcPr>
                <w:p w14:paraId="39322492">
                  <w:pPr>
                    <w:jc w:val="center"/>
                    <w:rPr>
                      <w:szCs w:val="21"/>
                    </w:rPr>
                  </w:pPr>
                </w:p>
              </w:tc>
            </w:tr>
            <w:tr w14:paraId="76FB4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tcBorders>
                    <w:tl2br w:val="nil"/>
                    <w:tr2bl w:val="nil"/>
                  </w:tcBorders>
                  <w:vAlign w:val="center"/>
                </w:tcPr>
                <w:p w14:paraId="65FE330B">
                  <w:pPr>
                    <w:jc w:val="center"/>
                    <w:rPr>
                      <w:szCs w:val="21"/>
                    </w:rPr>
                  </w:pPr>
                  <w:r>
                    <w:rPr>
                      <w:rFonts w:hint="eastAsia"/>
                      <w:szCs w:val="21"/>
                    </w:rPr>
                    <w:t>8</w:t>
                  </w:r>
                </w:p>
              </w:tc>
              <w:tc>
                <w:tcPr>
                  <w:tcW w:w="886" w:type="pct"/>
                  <w:tcBorders>
                    <w:tl2br w:val="nil"/>
                    <w:tr2bl w:val="nil"/>
                  </w:tcBorders>
                  <w:vAlign w:val="center"/>
                </w:tcPr>
                <w:p w14:paraId="63F92A93">
                  <w:pPr>
                    <w:adjustRightInd w:val="0"/>
                    <w:snapToGrid w:val="0"/>
                    <w:spacing w:line="25" w:lineRule="atLeast"/>
                    <w:jc w:val="center"/>
                    <w:rPr>
                      <w:color w:val="000000"/>
                      <w:kern w:val="0"/>
                      <w:szCs w:val="21"/>
                      <w:lang w:bidi="ar"/>
                    </w:rPr>
                  </w:pPr>
                  <w:r>
                    <w:rPr>
                      <w:rFonts w:hint="eastAsia"/>
                      <w:color w:val="000000"/>
                      <w:kern w:val="0"/>
                      <w:szCs w:val="21"/>
                      <w:lang w:bidi="ar"/>
                    </w:rPr>
                    <w:t>废化学品包装材料</w:t>
                  </w:r>
                </w:p>
              </w:tc>
              <w:tc>
                <w:tcPr>
                  <w:tcW w:w="591" w:type="pct"/>
                  <w:tcBorders>
                    <w:tl2br w:val="nil"/>
                    <w:tr2bl w:val="nil"/>
                  </w:tcBorders>
                  <w:vAlign w:val="center"/>
                </w:tcPr>
                <w:p w14:paraId="68E333B9">
                  <w:pPr>
                    <w:jc w:val="center"/>
                    <w:rPr>
                      <w:szCs w:val="21"/>
                    </w:rPr>
                  </w:pPr>
                  <w:r>
                    <w:rPr>
                      <w:rFonts w:hint="eastAsia"/>
                      <w:szCs w:val="21"/>
                    </w:rPr>
                    <w:t>污水处理</w:t>
                  </w:r>
                </w:p>
              </w:tc>
              <w:tc>
                <w:tcPr>
                  <w:tcW w:w="354" w:type="pct"/>
                  <w:vMerge w:val="continue"/>
                  <w:tcBorders>
                    <w:tl2br w:val="nil"/>
                    <w:tr2bl w:val="nil"/>
                  </w:tcBorders>
                  <w:vAlign w:val="center"/>
                </w:tcPr>
                <w:p w14:paraId="6F4436BE">
                  <w:pPr>
                    <w:jc w:val="center"/>
                    <w:rPr>
                      <w:szCs w:val="21"/>
                    </w:rPr>
                  </w:pPr>
                </w:p>
              </w:tc>
              <w:tc>
                <w:tcPr>
                  <w:tcW w:w="835" w:type="pct"/>
                  <w:tcBorders>
                    <w:tl2br w:val="nil"/>
                    <w:tr2bl w:val="nil"/>
                  </w:tcBorders>
                  <w:vAlign w:val="center"/>
                </w:tcPr>
                <w:p w14:paraId="26F4FE80">
                  <w:pPr>
                    <w:jc w:val="center"/>
                    <w:rPr>
                      <w:szCs w:val="21"/>
                    </w:rPr>
                  </w:pPr>
                  <w:r>
                    <w:rPr>
                      <w:rFonts w:hint="eastAsia"/>
                      <w:szCs w:val="21"/>
                    </w:rPr>
                    <w:t>900-041-49</w:t>
                  </w:r>
                </w:p>
              </w:tc>
              <w:tc>
                <w:tcPr>
                  <w:tcW w:w="450" w:type="pct"/>
                  <w:tcBorders>
                    <w:tl2br w:val="nil"/>
                    <w:tr2bl w:val="nil"/>
                  </w:tcBorders>
                  <w:vAlign w:val="center"/>
                </w:tcPr>
                <w:p w14:paraId="1FD4487F">
                  <w:pPr>
                    <w:jc w:val="center"/>
                    <w:rPr>
                      <w:szCs w:val="21"/>
                    </w:rPr>
                  </w:pPr>
                  <w:r>
                    <w:rPr>
                      <w:rFonts w:hint="eastAsia"/>
                      <w:szCs w:val="21"/>
                    </w:rPr>
                    <w:t>0.008</w:t>
                  </w:r>
                </w:p>
              </w:tc>
              <w:tc>
                <w:tcPr>
                  <w:tcW w:w="981" w:type="pct"/>
                  <w:vMerge w:val="continue"/>
                  <w:tcBorders>
                    <w:tl2br w:val="nil"/>
                    <w:tr2bl w:val="nil"/>
                  </w:tcBorders>
                  <w:vAlign w:val="center"/>
                </w:tcPr>
                <w:p w14:paraId="2DEDFB5E">
                  <w:pPr>
                    <w:jc w:val="center"/>
                    <w:rPr>
                      <w:szCs w:val="21"/>
                    </w:rPr>
                  </w:pPr>
                </w:p>
              </w:tc>
              <w:tc>
                <w:tcPr>
                  <w:tcW w:w="612" w:type="pct"/>
                  <w:vMerge w:val="continue"/>
                  <w:tcBorders>
                    <w:tl2br w:val="nil"/>
                    <w:tr2bl w:val="nil"/>
                  </w:tcBorders>
                  <w:vAlign w:val="center"/>
                </w:tcPr>
                <w:p w14:paraId="1DD106B7">
                  <w:pPr>
                    <w:jc w:val="center"/>
                    <w:rPr>
                      <w:szCs w:val="21"/>
                    </w:rPr>
                  </w:pPr>
                </w:p>
              </w:tc>
            </w:tr>
          </w:tbl>
          <w:p w14:paraId="218BA5F2">
            <w:pPr>
              <w:jc w:val="center"/>
              <w:rPr>
                <w:b/>
                <w:bCs/>
                <w:szCs w:val="21"/>
              </w:rPr>
            </w:pPr>
            <w:r>
              <w:rPr>
                <w:rFonts w:hint="eastAsia"/>
                <w:b/>
                <w:bCs/>
                <w:szCs w:val="21"/>
              </w:rPr>
              <w:t>表4-22  本项目危险废物汇总表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99"/>
              <w:gridCol w:w="1032"/>
              <w:gridCol w:w="789"/>
              <w:gridCol w:w="1223"/>
              <w:gridCol w:w="792"/>
              <w:gridCol w:w="689"/>
              <w:gridCol w:w="648"/>
              <w:gridCol w:w="835"/>
              <w:gridCol w:w="635"/>
              <w:gridCol w:w="587"/>
              <w:gridCol w:w="847"/>
            </w:tblGrid>
            <w:tr w14:paraId="3B603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5" w:type="pct"/>
                  <w:tcBorders>
                    <w:tl2br w:val="nil"/>
                    <w:tr2bl w:val="nil"/>
                  </w:tcBorders>
                  <w:vAlign w:val="center"/>
                </w:tcPr>
                <w:p w14:paraId="0569FCED">
                  <w:pPr>
                    <w:topLinePunct/>
                    <w:jc w:val="center"/>
                    <w:rPr>
                      <w:bCs/>
                      <w:iCs/>
                      <w:kern w:val="0"/>
                      <w:szCs w:val="21"/>
                    </w:rPr>
                  </w:pPr>
                  <w:r>
                    <w:rPr>
                      <w:bCs/>
                      <w:iCs/>
                      <w:kern w:val="0"/>
                      <w:szCs w:val="21"/>
                    </w:rPr>
                    <w:t>序号</w:t>
                  </w:r>
                </w:p>
              </w:tc>
              <w:tc>
                <w:tcPr>
                  <w:tcW w:w="608" w:type="pct"/>
                  <w:tcBorders>
                    <w:tl2br w:val="nil"/>
                    <w:tr2bl w:val="nil"/>
                  </w:tcBorders>
                  <w:vAlign w:val="center"/>
                </w:tcPr>
                <w:p w14:paraId="4E18B290">
                  <w:pPr>
                    <w:topLinePunct/>
                    <w:jc w:val="center"/>
                    <w:rPr>
                      <w:bCs/>
                      <w:iCs/>
                      <w:kern w:val="0"/>
                      <w:szCs w:val="21"/>
                    </w:rPr>
                  </w:pPr>
                  <w:r>
                    <w:rPr>
                      <w:bCs/>
                      <w:iCs/>
                      <w:kern w:val="0"/>
                      <w:szCs w:val="21"/>
                    </w:rPr>
                    <w:t>危险废物名称</w:t>
                  </w:r>
                </w:p>
              </w:tc>
              <w:tc>
                <w:tcPr>
                  <w:tcW w:w="465" w:type="pct"/>
                  <w:tcBorders>
                    <w:tl2br w:val="nil"/>
                    <w:tr2bl w:val="nil"/>
                  </w:tcBorders>
                  <w:vAlign w:val="center"/>
                </w:tcPr>
                <w:p w14:paraId="24872D6F">
                  <w:pPr>
                    <w:topLinePunct/>
                    <w:jc w:val="center"/>
                    <w:rPr>
                      <w:bCs/>
                      <w:iCs/>
                      <w:kern w:val="0"/>
                      <w:szCs w:val="21"/>
                    </w:rPr>
                  </w:pPr>
                  <w:r>
                    <w:rPr>
                      <w:bCs/>
                      <w:iCs/>
                      <w:kern w:val="0"/>
                      <w:szCs w:val="21"/>
                    </w:rPr>
                    <w:t>危险废物类别</w:t>
                  </w:r>
                </w:p>
              </w:tc>
              <w:tc>
                <w:tcPr>
                  <w:tcW w:w="721" w:type="pct"/>
                  <w:tcBorders>
                    <w:tl2br w:val="nil"/>
                    <w:tr2bl w:val="nil"/>
                  </w:tcBorders>
                  <w:vAlign w:val="center"/>
                </w:tcPr>
                <w:p w14:paraId="70E6BD1C">
                  <w:pPr>
                    <w:topLinePunct/>
                    <w:jc w:val="center"/>
                    <w:rPr>
                      <w:bCs/>
                      <w:iCs/>
                      <w:kern w:val="0"/>
                      <w:szCs w:val="21"/>
                    </w:rPr>
                  </w:pPr>
                  <w:r>
                    <w:rPr>
                      <w:bCs/>
                      <w:iCs/>
                      <w:kern w:val="0"/>
                      <w:szCs w:val="21"/>
                    </w:rPr>
                    <w:t>危险废</w:t>
                  </w:r>
                </w:p>
                <w:p w14:paraId="5EF1C771">
                  <w:pPr>
                    <w:topLinePunct/>
                    <w:jc w:val="center"/>
                    <w:rPr>
                      <w:bCs/>
                      <w:iCs/>
                      <w:kern w:val="0"/>
                      <w:szCs w:val="21"/>
                    </w:rPr>
                  </w:pPr>
                  <w:r>
                    <w:rPr>
                      <w:bCs/>
                      <w:iCs/>
                      <w:kern w:val="0"/>
                      <w:szCs w:val="21"/>
                    </w:rPr>
                    <w:t>物代码</w:t>
                  </w:r>
                </w:p>
              </w:tc>
              <w:tc>
                <w:tcPr>
                  <w:tcW w:w="467" w:type="pct"/>
                  <w:tcBorders>
                    <w:tl2br w:val="nil"/>
                    <w:tr2bl w:val="nil"/>
                  </w:tcBorders>
                  <w:vAlign w:val="center"/>
                </w:tcPr>
                <w:p w14:paraId="7C7D2605">
                  <w:pPr>
                    <w:topLinePunct/>
                    <w:jc w:val="center"/>
                    <w:rPr>
                      <w:bCs/>
                      <w:iCs/>
                      <w:kern w:val="0"/>
                      <w:szCs w:val="21"/>
                    </w:rPr>
                  </w:pPr>
                  <w:r>
                    <w:rPr>
                      <w:bCs/>
                      <w:iCs/>
                      <w:kern w:val="0"/>
                      <w:szCs w:val="21"/>
                    </w:rPr>
                    <w:t>产生量（t/a）</w:t>
                  </w:r>
                </w:p>
              </w:tc>
              <w:tc>
                <w:tcPr>
                  <w:tcW w:w="406" w:type="pct"/>
                  <w:tcBorders>
                    <w:tl2br w:val="nil"/>
                    <w:tr2bl w:val="nil"/>
                  </w:tcBorders>
                  <w:vAlign w:val="center"/>
                </w:tcPr>
                <w:p w14:paraId="68288433">
                  <w:pPr>
                    <w:topLinePunct/>
                    <w:jc w:val="center"/>
                    <w:rPr>
                      <w:bCs/>
                      <w:iCs/>
                      <w:kern w:val="0"/>
                      <w:szCs w:val="21"/>
                    </w:rPr>
                  </w:pPr>
                  <w:r>
                    <w:rPr>
                      <w:bCs/>
                      <w:iCs/>
                      <w:kern w:val="0"/>
                      <w:szCs w:val="21"/>
                    </w:rPr>
                    <w:t>产生</w:t>
                  </w:r>
                </w:p>
                <w:p w14:paraId="7564986D">
                  <w:pPr>
                    <w:topLinePunct/>
                    <w:jc w:val="center"/>
                    <w:rPr>
                      <w:bCs/>
                      <w:iCs/>
                      <w:kern w:val="0"/>
                      <w:szCs w:val="21"/>
                    </w:rPr>
                  </w:pPr>
                  <w:r>
                    <w:rPr>
                      <w:bCs/>
                      <w:iCs/>
                      <w:kern w:val="0"/>
                      <w:szCs w:val="21"/>
                    </w:rPr>
                    <w:t>工序</w:t>
                  </w:r>
                </w:p>
              </w:tc>
              <w:tc>
                <w:tcPr>
                  <w:tcW w:w="382" w:type="pct"/>
                  <w:tcBorders>
                    <w:tl2br w:val="nil"/>
                    <w:tr2bl w:val="nil"/>
                  </w:tcBorders>
                  <w:vAlign w:val="center"/>
                </w:tcPr>
                <w:p w14:paraId="2F389020">
                  <w:pPr>
                    <w:topLinePunct/>
                    <w:jc w:val="center"/>
                    <w:rPr>
                      <w:bCs/>
                      <w:iCs/>
                      <w:kern w:val="0"/>
                      <w:szCs w:val="21"/>
                    </w:rPr>
                  </w:pPr>
                  <w:r>
                    <w:rPr>
                      <w:bCs/>
                      <w:iCs/>
                      <w:kern w:val="0"/>
                      <w:szCs w:val="21"/>
                    </w:rPr>
                    <w:t>形态</w:t>
                  </w:r>
                </w:p>
              </w:tc>
              <w:tc>
                <w:tcPr>
                  <w:tcW w:w="492" w:type="pct"/>
                  <w:tcBorders>
                    <w:tl2br w:val="nil"/>
                    <w:tr2bl w:val="nil"/>
                  </w:tcBorders>
                  <w:vAlign w:val="center"/>
                </w:tcPr>
                <w:p w14:paraId="27FDDF49">
                  <w:pPr>
                    <w:topLinePunct/>
                    <w:jc w:val="center"/>
                    <w:rPr>
                      <w:bCs/>
                      <w:iCs/>
                      <w:kern w:val="0"/>
                      <w:szCs w:val="21"/>
                    </w:rPr>
                  </w:pPr>
                  <w:r>
                    <w:rPr>
                      <w:bCs/>
                      <w:iCs/>
                      <w:kern w:val="0"/>
                      <w:szCs w:val="21"/>
                    </w:rPr>
                    <w:t>有害成分</w:t>
                  </w:r>
                </w:p>
              </w:tc>
              <w:tc>
                <w:tcPr>
                  <w:tcW w:w="374" w:type="pct"/>
                  <w:tcBorders>
                    <w:tl2br w:val="nil"/>
                    <w:tr2bl w:val="nil"/>
                  </w:tcBorders>
                  <w:vAlign w:val="center"/>
                </w:tcPr>
                <w:p w14:paraId="516BCE2F">
                  <w:pPr>
                    <w:topLinePunct/>
                    <w:jc w:val="center"/>
                    <w:rPr>
                      <w:bCs/>
                      <w:iCs/>
                      <w:kern w:val="0"/>
                      <w:szCs w:val="21"/>
                    </w:rPr>
                  </w:pPr>
                  <w:r>
                    <w:rPr>
                      <w:bCs/>
                      <w:iCs/>
                      <w:kern w:val="0"/>
                      <w:szCs w:val="21"/>
                    </w:rPr>
                    <w:t>产废周期</w:t>
                  </w:r>
                </w:p>
              </w:tc>
              <w:tc>
                <w:tcPr>
                  <w:tcW w:w="346" w:type="pct"/>
                  <w:tcBorders>
                    <w:tl2br w:val="nil"/>
                    <w:tr2bl w:val="nil"/>
                  </w:tcBorders>
                  <w:vAlign w:val="center"/>
                </w:tcPr>
                <w:p w14:paraId="2FD1B2AC">
                  <w:pPr>
                    <w:topLinePunct/>
                    <w:jc w:val="center"/>
                    <w:rPr>
                      <w:bCs/>
                      <w:iCs/>
                      <w:kern w:val="0"/>
                      <w:szCs w:val="21"/>
                    </w:rPr>
                  </w:pPr>
                  <w:r>
                    <w:rPr>
                      <w:bCs/>
                      <w:iCs/>
                      <w:kern w:val="0"/>
                      <w:szCs w:val="21"/>
                    </w:rPr>
                    <w:t>危险</w:t>
                  </w:r>
                </w:p>
                <w:p w14:paraId="1AC042E8">
                  <w:pPr>
                    <w:topLinePunct/>
                    <w:jc w:val="center"/>
                    <w:rPr>
                      <w:bCs/>
                      <w:iCs/>
                      <w:kern w:val="0"/>
                      <w:szCs w:val="21"/>
                    </w:rPr>
                  </w:pPr>
                  <w:r>
                    <w:rPr>
                      <w:bCs/>
                      <w:iCs/>
                      <w:kern w:val="0"/>
                      <w:szCs w:val="21"/>
                    </w:rPr>
                    <w:t>特性</w:t>
                  </w:r>
                </w:p>
              </w:tc>
              <w:tc>
                <w:tcPr>
                  <w:tcW w:w="499" w:type="pct"/>
                  <w:tcBorders>
                    <w:tl2br w:val="nil"/>
                    <w:tr2bl w:val="nil"/>
                  </w:tcBorders>
                  <w:vAlign w:val="center"/>
                </w:tcPr>
                <w:p w14:paraId="5CD390A0">
                  <w:pPr>
                    <w:topLinePunct/>
                    <w:jc w:val="center"/>
                    <w:rPr>
                      <w:bCs/>
                      <w:iCs/>
                      <w:kern w:val="0"/>
                      <w:szCs w:val="21"/>
                    </w:rPr>
                  </w:pPr>
                  <w:r>
                    <w:rPr>
                      <w:bCs/>
                      <w:iCs/>
                      <w:kern w:val="0"/>
                      <w:szCs w:val="21"/>
                    </w:rPr>
                    <w:t>污染防治措施</w:t>
                  </w:r>
                </w:p>
              </w:tc>
            </w:tr>
            <w:tr w14:paraId="23858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92" w:hRule="atLeast"/>
                <w:jc w:val="center"/>
              </w:trPr>
              <w:tc>
                <w:tcPr>
                  <w:tcW w:w="235" w:type="pct"/>
                  <w:tcBorders>
                    <w:tl2br w:val="nil"/>
                    <w:tr2bl w:val="nil"/>
                  </w:tcBorders>
                  <w:vAlign w:val="center"/>
                </w:tcPr>
                <w:p w14:paraId="75E58325">
                  <w:pPr>
                    <w:topLinePunct/>
                    <w:jc w:val="center"/>
                    <w:rPr>
                      <w:b/>
                      <w:iCs/>
                      <w:kern w:val="0"/>
                      <w:szCs w:val="21"/>
                    </w:rPr>
                  </w:pPr>
                  <w:r>
                    <w:rPr>
                      <w:iCs/>
                      <w:kern w:val="0"/>
                      <w:szCs w:val="21"/>
                    </w:rPr>
                    <w:t>1</w:t>
                  </w:r>
                </w:p>
              </w:tc>
              <w:tc>
                <w:tcPr>
                  <w:tcW w:w="608" w:type="pct"/>
                  <w:tcBorders>
                    <w:tl2br w:val="nil"/>
                    <w:tr2bl w:val="nil"/>
                  </w:tcBorders>
                  <w:vAlign w:val="center"/>
                </w:tcPr>
                <w:p w14:paraId="00E517EF">
                  <w:pPr>
                    <w:adjustRightInd w:val="0"/>
                    <w:snapToGrid w:val="0"/>
                    <w:spacing w:line="25" w:lineRule="atLeast"/>
                    <w:jc w:val="center"/>
                    <w:rPr>
                      <w:b/>
                      <w:iCs/>
                      <w:kern w:val="0"/>
                      <w:szCs w:val="21"/>
                    </w:rPr>
                  </w:pPr>
                  <w:r>
                    <w:rPr>
                      <w:rFonts w:hint="eastAsia"/>
                      <w:kern w:val="0"/>
                      <w:szCs w:val="21"/>
                    </w:rPr>
                    <w:t>废润滑油</w:t>
                  </w:r>
                </w:p>
              </w:tc>
              <w:tc>
                <w:tcPr>
                  <w:tcW w:w="465" w:type="pct"/>
                  <w:tcBorders>
                    <w:tl2br w:val="nil"/>
                    <w:tr2bl w:val="nil"/>
                  </w:tcBorders>
                  <w:vAlign w:val="center"/>
                </w:tcPr>
                <w:p w14:paraId="6FD3D81B">
                  <w:pPr>
                    <w:topLinePunct/>
                    <w:jc w:val="center"/>
                    <w:rPr>
                      <w:b/>
                      <w:iCs/>
                      <w:kern w:val="0"/>
                      <w:szCs w:val="21"/>
                    </w:rPr>
                  </w:pPr>
                  <w:r>
                    <w:rPr>
                      <w:iCs/>
                      <w:kern w:val="0"/>
                      <w:szCs w:val="21"/>
                    </w:rPr>
                    <w:t>HW</w:t>
                  </w:r>
                  <w:r>
                    <w:rPr>
                      <w:rFonts w:hint="eastAsia"/>
                      <w:iCs/>
                      <w:kern w:val="0"/>
                      <w:szCs w:val="21"/>
                    </w:rPr>
                    <w:t>08</w:t>
                  </w:r>
                </w:p>
              </w:tc>
              <w:tc>
                <w:tcPr>
                  <w:tcW w:w="721" w:type="pct"/>
                  <w:tcBorders>
                    <w:tl2br w:val="nil"/>
                    <w:tr2bl w:val="nil"/>
                  </w:tcBorders>
                  <w:vAlign w:val="center"/>
                </w:tcPr>
                <w:p w14:paraId="2D166B10">
                  <w:pPr>
                    <w:jc w:val="center"/>
                    <w:rPr>
                      <w:b/>
                      <w:iCs/>
                      <w:kern w:val="0"/>
                      <w:szCs w:val="21"/>
                    </w:rPr>
                  </w:pPr>
                  <w:r>
                    <w:rPr>
                      <w:szCs w:val="21"/>
                    </w:rPr>
                    <w:t>900-214-08</w:t>
                  </w:r>
                </w:p>
              </w:tc>
              <w:tc>
                <w:tcPr>
                  <w:tcW w:w="467" w:type="pct"/>
                  <w:tcBorders>
                    <w:tl2br w:val="nil"/>
                    <w:tr2bl w:val="nil"/>
                  </w:tcBorders>
                  <w:vAlign w:val="center"/>
                </w:tcPr>
                <w:p w14:paraId="50160F5E">
                  <w:pPr>
                    <w:topLinePunct/>
                    <w:jc w:val="center"/>
                    <w:rPr>
                      <w:b/>
                      <w:iCs/>
                      <w:kern w:val="0"/>
                      <w:szCs w:val="21"/>
                    </w:rPr>
                  </w:pPr>
                  <w:r>
                    <w:rPr>
                      <w:rFonts w:hint="eastAsia"/>
                      <w:szCs w:val="21"/>
                    </w:rPr>
                    <w:t>0.097</w:t>
                  </w:r>
                </w:p>
              </w:tc>
              <w:tc>
                <w:tcPr>
                  <w:tcW w:w="406" w:type="pct"/>
                  <w:vMerge w:val="restart"/>
                  <w:tcBorders>
                    <w:tl2br w:val="nil"/>
                    <w:tr2bl w:val="nil"/>
                  </w:tcBorders>
                  <w:vAlign w:val="center"/>
                </w:tcPr>
                <w:p w14:paraId="795858B8">
                  <w:pPr>
                    <w:topLinePunct/>
                    <w:jc w:val="center"/>
                    <w:rPr>
                      <w:iCs/>
                      <w:kern w:val="0"/>
                      <w:szCs w:val="21"/>
                    </w:rPr>
                  </w:pPr>
                  <w:r>
                    <w:rPr>
                      <w:rFonts w:hint="eastAsia"/>
                      <w:iCs/>
                      <w:kern w:val="0"/>
                      <w:szCs w:val="21"/>
                    </w:rPr>
                    <w:t>设备维护、维修等</w:t>
                  </w:r>
                </w:p>
              </w:tc>
              <w:tc>
                <w:tcPr>
                  <w:tcW w:w="382" w:type="pct"/>
                  <w:tcBorders>
                    <w:tl2br w:val="nil"/>
                    <w:tr2bl w:val="nil"/>
                  </w:tcBorders>
                  <w:vAlign w:val="center"/>
                </w:tcPr>
                <w:p w14:paraId="4D50874D">
                  <w:pPr>
                    <w:topLinePunct/>
                    <w:jc w:val="center"/>
                    <w:rPr>
                      <w:b/>
                      <w:iCs/>
                      <w:kern w:val="0"/>
                      <w:szCs w:val="21"/>
                    </w:rPr>
                  </w:pPr>
                  <w:r>
                    <w:rPr>
                      <w:iCs/>
                      <w:kern w:val="0"/>
                      <w:szCs w:val="21"/>
                    </w:rPr>
                    <w:t>液态</w:t>
                  </w:r>
                </w:p>
              </w:tc>
              <w:tc>
                <w:tcPr>
                  <w:tcW w:w="492" w:type="pct"/>
                  <w:tcBorders>
                    <w:tl2br w:val="nil"/>
                    <w:tr2bl w:val="nil"/>
                  </w:tcBorders>
                  <w:vAlign w:val="center"/>
                </w:tcPr>
                <w:p w14:paraId="25636393">
                  <w:pPr>
                    <w:topLinePunct/>
                    <w:jc w:val="center"/>
                    <w:rPr>
                      <w:iCs/>
                      <w:kern w:val="0"/>
                      <w:szCs w:val="21"/>
                    </w:rPr>
                  </w:pPr>
                  <w:r>
                    <w:rPr>
                      <w:rFonts w:hint="eastAsia"/>
                      <w:iCs/>
                      <w:kern w:val="0"/>
                      <w:szCs w:val="21"/>
                    </w:rPr>
                    <w:t>润滑油</w:t>
                  </w:r>
                </w:p>
              </w:tc>
              <w:tc>
                <w:tcPr>
                  <w:tcW w:w="374" w:type="pct"/>
                  <w:tcBorders>
                    <w:tl2br w:val="nil"/>
                    <w:tr2bl w:val="nil"/>
                  </w:tcBorders>
                  <w:vAlign w:val="center"/>
                </w:tcPr>
                <w:p w14:paraId="70EFC6A1">
                  <w:pPr>
                    <w:topLinePunct/>
                    <w:jc w:val="center"/>
                    <w:rPr>
                      <w:iCs/>
                      <w:kern w:val="0"/>
                      <w:szCs w:val="21"/>
                    </w:rPr>
                  </w:pPr>
                  <w:r>
                    <w:rPr>
                      <w:iCs/>
                      <w:kern w:val="0"/>
                      <w:szCs w:val="21"/>
                    </w:rPr>
                    <w:t>间断</w:t>
                  </w:r>
                </w:p>
              </w:tc>
              <w:tc>
                <w:tcPr>
                  <w:tcW w:w="346" w:type="pct"/>
                  <w:tcBorders>
                    <w:tl2br w:val="nil"/>
                    <w:tr2bl w:val="nil"/>
                  </w:tcBorders>
                  <w:vAlign w:val="center"/>
                </w:tcPr>
                <w:p w14:paraId="39A41296">
                  <w:pPr>
                    <w:topLinePunct/>
                    <w:jc w:val="center"/>
                    <w:rPr>
                      <w:iCs/>
                      <w:kern w:val="0"/>
                      <w:szCs w:val="21"/>
                    </w:rPr>
                  </w:pPr>
                  <w:r>
                    <w:rPr>
                      <w:rFonts w:hint="eastAsia"/>
                      <w:iCs/>
                      <w:kern w:val="0"/>
                      <w:szCs w:val="21"/>
                    </w:rPr>
                    <w:t>T</w:t>
                  </w:r>
                </w:p>
              </w:tc>
              <w:tc>
                <w:tcPr>
                  <w:tcW w:w="499" w:type="pct"/>
                  <w:vMerge w:val="restart"/>
                  <w:tcBorders>
                    <w:tl2br w:val="nil"/>
                    <w:tr2bl w:val="nil"/>
                  </w:tcBorders>
                  <w:vAlign w:val="center"/>
                </w:tcPr>
                <w:p w14:paraId="6669E752">
                  <w:pPr>
                    <w:topLinePunct/>
                    <w:jc w:val="center"/>
                    <w:rPr>
                      <w:iCs/>
                      <w:kern w:val="0"/>
                      <w:szCs w:val="21"/>
                    </w:rPr>
                  </w:pPr>
                  <w:r>
                    <w:rPr>
                      <w:rFonts w:hint="eastAsia"/>
                      <w:iCs/>
                      <w:kern w:val="0"/>
                      <w:szCs w:val="21"/>
                    </w:rPr>
                    <w:t>由容器收集后，桶盖密闭暂存于危废暂存间，</w:t>
                  </w:r>
                </w:p>
                <w:p w14:paraId="07DC2509">
                  <w:pPr>
                    <w:topLinePunct/>
                    <w:jc w:val="center"/>
                    <w:rPr>
                      <w:iCs/>
                      <w:kern w:val="0"/>
                      <w:szCs w:val="21"/>
                    </w:rPr>
                  </w:pPr>
                  <w:r>
                    <w:rPr>
                      <w:rFonts w:hint="eastAsia"/>
                      <w:iCs/>
                      <w:kern w:val="0"/>
                      <w:szCs w:val="21"/>
                    </w:rPr>
                    <w:t>定期有资质单位清运处理</w:t>
                  </w:r>
                </w:p>
              </w:tc>
            </w:tr>
            <w:tr w14:paraId="4AB9E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82" w:hRule="atLeast"/>
                <w:jc w:val="center"/>
              </w:trPr>
              <w:tc>
                <w:tcPr>
                  <w:tcW w:w="235" w:type="pct"/>
                  <w:tcBorders>
                    <w:tl2br w:val="nil"/>
                    <w:tr2bl w:val="nil"/>
                  </w:tcBorders>
                  <w:vAlign w:val="center"/>
                </w:tcPr>
                <w:p w14:paraId="53C59397">
                  <w:pPr>
                    <w:topLinePunct/>
                    <w:jc w:val="center"/>
                    <w:rPr>
                      <w:iCs/>
                      <w:kern w:val="0"/>
                      <w:szCs w:val="21"/>
                    </w:rPr>
                  </w:pPr>
                  <w:r>
                    <w:rPr>
                      <w:iCs/>
                      <w:kern w:val="0"/>
                      <w:szCs w:val="21"/>
                    </w:rPr>
                    <w:t>2</w:t>
                  </w:r>
                </w:p>
              </w:tc>
              <w:tc>
                <w:tcPr>
                  <w:tcW w:w="608" w:type="pct"/>
                  <w:tcBorders>
                    <w:tl2br w:val="nil"/>
                    <w:tr2bl w:val="nil"/>
                  </w:tcBorders>
                  <w:vAlign w:val="center"/>
                </w:tcPr>
                <w:p w14:paraId="5DBBF95F">
                  <w:pPr>
                    <w:adjustRightInd w:val="0"/>
                    <w:snapToGrid w:val="0"/>
                    <w:spacing w:line="25" w:lineRule="atLeast"/>
                    <w:jc w:val="center"/>
                    <w:rPr>
                      <w:iCs/>
                      <w:szCs w:val="21"/>
                    </w:rPr>
                  </w:pPr>
                  <w:r>
                    <w:rPr>
                      <w:rFonts w:hint="eastAsia"/>
                      <w:kern w:val="0"/>
                      <w:szCs w:val="21"/>
                    </w:rPr>
                    <w:t>废液压油</w:t>
                  </w:r>
                </w:p>
              </w:tc>
              <w:tc>
                <w:tcPr>
                  <w:tcW w:w="465" w:type="pct"/>
                  <w:tcBorders>
                    <w:tl2br w:val="nil"/>
                    <w:tr2bl w:val="nil"/>
                  </w:tcBorders>
                  <w:vAlign w:val="center"/>
                </w:tcPr>
                <w:p w14:paraId="0F5A9279">
                  <w:pPr>
                    <w:topLinePunct/>
                    <w:jc w:val="center"/>
                    <w:rPr>
                      <w:iCs/>
                      <w:kern w:val="0"/>
                      <w:szCs w:val="21"/>
                    </w:rPr>
                  </w:pPr>
                  <w:r>
                    <w:rPr>
                      <w:iCs/>
                      <w:kern w:val="0"/>
                      <w:szCs w:val="21"/>
                    </w:rPr>
                    <w:t>HW08</w:t>
                  </w:r>
                </w:p>
              </w:tc>
              <w:tc>
                <w:tcPr>
                  <w:tcW w:w="721" w:type="pct"/>
                  <w:tcBorders>
                    <w:tl2br w:val="nil"/>
                    <w:tr2bl w:val="nil"/>
                  </w:tcBorders>
                  <w:vAlign w:val="center"/>
                </w:tcPr>
                <w:p w14:paraId="20B1E115">
                  <w:pPr>
                    <w:jc w:val="center"/>
                    <w:rPr>
                      <w:iCs/>
                      <w:kern w:val="0"/>
                      <w:szCs w:val="21"/>
                    </w:rPr>
                  </w:pPr>
                  <w:r>
                    <w:rPr>
                      <w:rFonts w:hint="eastAsia"/>
                      <w:szCs w:val="21"/>
                    </w:rPr>
                    <w:t>900-218-08</w:t>
                  </w:r>
                </w:p>
              </w:tc>
              <w:tc>
                <w:tcPr>
                  <w:tcW w:w="467" w:type="pct"/>
                  <w:tcBorders>
                    <w:tl2br w:val="nil"/>
                    <w:tr2bl w:val="nil"/>
                  </w:tcBorders>
                  <w:vAlign w:val="center"/>
                </w:tcPr>
                <w:p w14:paraId="6314B426">
                  <w:pPr>
                    <w:autoSpaceDE w:val="0"/>
                    <w:autoSpaceDN w:val="0"/>
                    <w:jc w:val="center"/>
                    <w:rPr>
                      <w:iCs/>
                      <w:szCs w:val="21"/>
                    </w:rPr>
                  </w:pPr>
                  <w:r>
                    <w:rPr>
                      <w:rFonts w:hint="eastAsia"/>
                      <w:szCs w:val="21"/>
                    </w:rPr>
                    <w:t>1.25</w:t>
                  </w:r>
                </w:p>
              </w:tc>
              <w:tc>
                <w:tcPr>
                  <w:tcW w:w="406" w:type="pct"/>
                  <w:vMerge w:val="continue"/>
                  <w:tcBorders>
                    <w:tl2br w:val="nil"/>
                    <w:tr2bl w:val="nil"/>
                  </w:tcBorders>
                  <w:vAlign w:val="center"/>
                </w:tcPr>
                <w:p w14:paraId="2C50079F">
                  <w:pPr>
                    <w:topLinePunct/>
                    <w:jc w:val="center"/>
                    <w:rPr>
                      <w:iCs/>
                      <w:kern w:val="0"/>
                      <w:szCs w:val="21"/>
                    </w:rPr>
                  </w:pPr>
                </w:p>
              </w:tc>
              <w:tc>
                <w:tcPr>
                  <w:tcW w:w="382" w:type="pct"/>
                  <w:tcBorders>
                    <w:tl2br w:val="nil"/>
                    <w:tr2bl w:val="nil"/>
                  </w:tcBorders>
                  <w:vAlign w:val="center"/>
                </w:tcPr>
                <w:p w14:paraId="1541353B">
                  <w:pPr>
                    <w:topLinePunct/>
                    <w:jc w:val="center"/>
                    <w:rPr>
                      <w:iCs/>
                      <w:kern w:val="0"/>
                      <w:szCs w:val="21"/>
                    </w:rPr>
                  </w:pPr>
                  <w:r>
                    <w:rPr>
                      <w:iCs/>
                      <w:kern w:val="0"/>
                      <w:szCs w:val="21"/>
                    </w:rPr>
                    <w:t>液态</w:t>
                  </w:r>
                </w:p>
              </w:tc>
              <w:tc>
                <w:tcPr>
                  <w:tcW w:w="492" w:type="pct"/>
                  <w:tcBorders>
                    <w:tl2br w:val="nil"/>
                    <w:tr2bl w:val="nil"/>
                  </w:tcBorders>
                  <w:vAlign w:val="center"/>
                </w:tcPr>
                <w:p w14:paraId="01A3E371">
                  <w:pPr>
                    <w:topLinePunct/>
                    <w:jc w:val="center"/>
                    <w:rPr>
                      <w:iCs/>
                      <w:kern w:val="0"/>
                      <w:szCs w:val="21"/>
                    </w:rPr>
                  </w:pPr>
                  <w:r>
                    <w:rPr>
                      <w:rFonts w:hint="eastAsia"/>
                      <w:iCs/>
                      <w:kern w:val="0"/>
                      <w:szCs w:val="21"/>
                    </w:rPr>
                    <w:t>液压油</w:t>
                  </w:r>
                </w:p>
              </w:tc>
              <w:tc>
                <w:tcPr>
                  <w:tcW w:w="374" w:type="pct"/>
                  <w:tcBorders>
                    <w:tl2br w:val="nil"/>
                    <w:tr2bl w:val="nil"/>
                  </w:tcBorders>
                  <w:vAlign w:val="center"/>
                </w:tcPr>
                <w:p w14:paraId="075912B6">
                  <w:pPr>
                    <w:topLinePunct/>
                    <w:jc w:val="center"/>
                    <w:rPr>
                      <w:iCs/>
                      <w:kern w:val="0"/>
                      <w:szCs w:val="21"/>
                    </w:rPr>
                  </w:pPr>
                  <w:r>
                    <w:rPr>
                      <w:iCs/>
                      <w:kern w:val="0"/>
                      <w:szCs w:val="21"/>
                    </w:rPr>
                    <w:t>间断</w:t>
                  </w:r>
                </w:p>
              </w:tc>
              <w:tc>
                <w:tcPr>
                  <w:tcW w:w="346" w:type="pct"/>
                  <w:tcBorders>
                    <w:tl2br w:val="nil"/>
                    <w:tr2bl w:val="nil"/>
                  </w:tcBorders>
                  <w:vAlign w:val="center"/>
                </w:tcPr>
                <w:p w14:paraId="7F2F8D7B">
                  <w:pPr>
                    <w:jc w:val="center"/>
                    <w:rPr>
                      <w:iCs/>
                      <w:kern w:val="0"/>
                      <w:szCs w:val="21"/>
                    </w:rPr>
                  </w:pPr>
                  <w:r>
                    <w:rPr>
                      <w:iCs/>
                      <w:kern w:val="0"/>
                      <w:szCs w:val="21"/>
                    </w:rPr>
                    <w:t>T</w:t>
                  </w:r>
                </w:p>
              </w:tc>
              <w:tc>
                <w:tcPr>
                  <w:tcW w:w="499" w:type="pct"/>
                  <w:vMerge w:val="continue"/>
                  <w:tcBorders>
                    <w:tl2br w:val="nil"/>
                    <w:tr2bl w:val="nil"/>
                  </w:tcBorders>
                  <w:vAlign w:val="center"/>
                </w:tcPr>
                <w:p w14:paraId="5E53AA52">
                  <w:pPr>
                    <w:topLinePunct/>
                    <w:jc w:val="center"/>
                    <w:rPr>
                      <w:iCs/>
                      <w:kern w:val="0"/>
                      <w:szCs w:val="21"/>
                      <w:highlight w:val="cyan"/>
                    </w:rPr>
                  </w:pPr>
                </w:p>
              </w:tc>
            </w:tr>
            <w:tr w14:paraId="3322D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82" w:hRule="atLeast"/>
                <w:jc w:val="center"/>
              </w:trPr>
              <w:tc>
                <w:tcPr>
                  <w:tcW w:w="235" w:type="pct"/>
                  <w:tcBorders>
                    <w:tl2br w:val="nil"/>
                    <w:tr2bl w:val="nil"/>
                  </w:tcBorders>
                  <w:vAlign w:val="center"/>
                </w:tcPr>
                <w:p w14:paraId="59C4D67C">
                  <w:pPr>
                    <w:topLinePunct/>
                    <w:jc w:val="center"/>
                    <w:rPr>
                      <w:iCs/>
                      <w:kern w:val="0"/>
                      <w:szCs w:val="21"/>
                    </w:rPr>
                  </w:pPr>
                  <w:r>
                    <w:rPr>
                      <w:iCs/>
                      <w:kern w:val="0"/>
                      <w:szCs w:val="21"/>
                    </w:rPr>
                    <w:t>3</w:t>
                  </w:r>
                </w:p>
              </w:tc>
              <w:tc>
                <w:tcPr>
                  <w:tcW w:w="608" w:type="pct"/>
                  <w:tcBorders>
                    <w:tl2br w:val="nil"/>
                    <w:tr2bl w:val="nil"/>
                  </w:tcBorders>
                  <w:vAlign w:val="center"/>
                </w:tcPr>
                <w:p w14:paraId="6F653E91">
                  <w:pPr>
                    <w:adjustRightInd w:val="0"/>
                    <w:snapToGrid w:val="0"/>
                    <w:spacing w:line="25" w:lineRule="atLeast"/>
                    <w:jc w:val="center"/>
                    <w:rPr>
                      <w:kern w:val="0"/>
                      <w:szCs w:val="21"/>
                    </w:rPr>
                  </w:pPr>
                  <w:r>
                    <w:rPr>
                      <w:rFonts w:hint="eastAsia"/>
                      <w:color w:val="000000"/>
                      <w:kern w:val="0"/>
                      <w:szCs w:val="21"/>
                      <w:lang w:bidi="ar"/>
                    </w:rPr>
                    <w:t>废油桶</w:t>
                  </w:r>
                </w:p>
              </w:tc>
              <w:tc>
                <w:tcPr>
                  <w:tcW w:w="465" w:type="pct"/>
                  <w:tcBorders>
                    <w:tl2br w:val="nil"/>
                    <w:tr2bl w:val="nil"/>
                  </w:tcBorders>
                  <w:vAlign w:val="center"/>
                </w:tcPr>
                <w:p w14:paraId="1A1E339E">
                  <w:pPr>
                    <w:topLinePunct/>
                    <w:jc w:val="center"/>
                    <w:rPr>
                      <w:iCs/>
                      <w:kern w:val="0"/>
                      <w:szCs w:val="21"/>
                    </w:rPr>
                  </w:pPr>
                  <w:r>
                    <w:rPr>
                      <w:iCs/>
                      <w:kern w:val="0"/>
                      <w:szCs w:val="21"/>
                    </w:rPr>
                    <w:t>HW</w:t>
                  </w:r>
                  <w:r>
                    <w:rPr>
                      <w:rFonts w:hint="eastAsia"/>
                      <w:iCs/>
                      <w:kern w:val="0"/>
                      <w:szCs w:val="21"/>
                    </w:rPr>
                    <w:t>49</w:t>
                  </w:r>
                </w:p>
              </w:tc>
              <w:tc>
                <w:tcPr>
                  <w:tcW w:w="721" w:type="pct"/>
                  <w:tcBorders>
                    <w:tl2br w:val="nil"/>
                    <w:tr2bl w:val="nil"/>
                  </w:tcBorders>
                  <w:vAlign w:val="center"/>
                </w:tcPr>
                <w:p w14:paraId="13AF0074">
                  <w:pPr>
                    <w:jc w:val="center"/>
                    <w:rPr>
                      <w:szCs w:val="21"/>
                    </w:rPr>
                  </w:pPr>
                  <w:r>
                    <w:rPr>
                      <w:rFonts w:hint="eastAsia"/>
                      <w:szCs w:val="21"/>
                    </w:rPr>
                    <w:t>900-041-49</w:t>
                  </w:r>
                </w:p>
              </w:tc>
              <w:tc>
                <w:tcPr>
                  <w:tcW w:w="467" w:type="pct"/>
                  <w:tcBorders>
                    <w:tl2br w:val="nil"/>
                    <w:tr2bl w:val="nil"/>
                  </w:tcBorders>
                  <w:vAlign w:val="center"/>
                </w:tcPr>
                <w:p w14:paraId="3BB123A1">
                  <w:pPr>
                    <w:autoSpaceDE w:val="0"/>
                    <w:autoSpaceDN w:val="0"/>
                    <w:jc w:val="center"/>
                    <w:rPr>
                      <w:szCs w:val="21"/>
                    </w:rPr>
                  </w:pPr>
                  <w:r>
                    <w:rPr>
                      <w:rFonts w:hint="eastAsia"/>
                      <w:szCs w:val="21"/>
                    </w:rPr>
                    <w:t>0.18</w:t>
                  </w:r>
                </w:p>
              </w:tc>
              <w:tc>
                <w:tcPr>
                  <w:tcW w:w="406" w:type="pct"/>
                  <w:vMerge w:val="continue"/>
                  <w:tcBorders>
                    <w:tl2br w:val="nil"/>
                    <w:tr2bl w:val="nil"/>
                  </w:tcBorders>
                  <w:vAlign w:val="center"/>
                </w:tcPr>
                <w:p w14:paraId="15B0A7E4">
                  <w:pPr>
                    <w:topLinePunct/>
                    <w:jc w:val="center"/>
                    <w:rPr>
                      <w:iCs/>
                      <w:kern w:val="0"/>
                      <w:szCs w:val="21"/>
                    </w:rPr>
                  </w:pPr>
                </w:p>
              </w:tc>
              <w:tc>
                <w:tcPr>
                  <w:tcW w:w="382" w:type="pct"/>
                  <w:tcBorders>
                    <w:tl2br w:val="nil"/>
                    <w:tr2bl w:val="nil"/>
                  </w:tcBorders>
                  <w:vAlign w:val="center"/>
                </w:tcPr>
                <w:p w14:paraId="3525857C">
                  <w:pPr>
                    <w:topLinePunct/>
                    <w:jc w:val="center"/>
                    <w:rPr>
                      <w:iCs/>
                      <w:kern w:val="0"/>
                      <w:szCs w:val="21"/>
                    </w:rPr>
                  </w:pPr>
                  <w:r>
                    <w:rPr>
                      <w:iCs/>
                      <w:kern w:val="0"/>
                      <w:szCs w:val="21"/>
                    </w:rPr>
                    <w:t>固态</w:t>
                  </w:r>
                </w:p>
              </w:tc>
              <w:tc>
                <w:tcPr>
                  <w:tcW w:w="492" w:type="pct"/>
                  <w:tcBorders>
                    <w:tl2br w:val="nil"/>
                    <w:tr2bl w:val="nil"/>
                  </w:tcBorders>
                  <w:vAlign w:val="center"/>
                </w:tcPr>
                <w:p w14:paraId="7B7EAD9A">
                  <w:pPr>
                    <w:topLinePunct/>
                    <w:jc w:val="center"/>
                    <w:rPr>
                      <w:iCs/>
                      <w:kern w:val="0"/>
                      <w:szCs w:val="21"/>
                    </w:rPr>
                  </w:pPr>
                  <w:r>
                    <w:rPr>
                      <w:rFonts w:hint="eastAsia"/>
                      <w:iCs/>
                      <w:kern w:val="0"/>
                      <w:szCs w:val="21"/>
                    </w:rPr>
                    <w:t>液压油、润滑油</w:t>
                  </w:r>
                </w:p>
              </w:tc>
              <w:tc>
                <w:tcPr>
                  <w:tcW w:w="374" w:type="pct"/>
                  <w:tcBorders>
                    <w:tl2br w:val="nil"/>
                    <w:tr2bl w:val="nil"/>
                  </w:tcBorders>
                  <w:vAlign w:val="center"/>
                </w:tcPr>
                <w:p w14:paraId="45D6D8B1">
                  <w:pPr>
                    <w:topLinePunct/>
                    <w:jc w:val="center"/>
                    <w:rPr>
                      <w:iCs/>
                      <w:kern w:val="0"/>
                      <w:szCs w:val="21"/>
                    </w:rPr>
                  </w:pPr>
                  <w:r>
                    <w:rPr>
                      <w:iCs/>
                      <w:kern w:val="0"/>
                      <w:szCs w:val="21"/>
                    </w:rPr>
                    <w:t>间断</w:t>
                  </w:r>
                </w:p>
              </w:tc>
              <w:tc>
                <w:tcPr>
                  <w:tcW w:w="346" w:type="pct"/>
                  <w:tcBorders>
                    <w:tl2br w:val="nil"/>
                    <w:tr2bl w:val="nil"/>
                  </w:tcBorders>
                  <w:vAlign w:val="center"/>
                </w:tcPr>
                <w:p w14:paraId="5E43DFEE">
                  <w:pPr>
                    <w:topLinePunct/>
                    <w:jc w:val="center"/>
                    <w:rPr>
                      <w:iCs/>
                      <w:kern w:val="0"/>
                      <w:szCs w:val="21"/>
                    </w:rPr>
                  </w:pPr>
                  <w:r>
                    <w:rPr>
                      <w:iCs/>
                      <w:kern w:val="0"/>
                      <w:szCs w:val="21"/>
                    </w:rPr>
                    <w:t>T</w:t>
                  </w:r>
                </w:p>
              </w:tc>
              <w:tc>
                <w:tcPr>
                  <w:tcW w:w="499" w:type="pct"/>
                  <w:vMerge w:val="continue"/>
                  <w:tcBorders>
                    <w:tl2br w:val="nil"/>
                    <w:tr2bl w:val="nil"/>
                  </w:tcBorders>
                  <w:vAlign w:val="center"/>
                </w:tcPr>
                <w:p w14:paraId="6CF2A14C">
                  <w:pPr>
                    <w:topLinePunct/>
                    <w:jc w:val="center"/>
                    <w:rPr>
                      <w:iCs/>
                      <w:kern w:val="0"/>
                      <w:szCs w:val="21"/>
                      <w:highlight w:val="cyan"/>
                    </w:rPr>
                  </w:pPr>
                </w:p>
              </w:tc>
            </w:tr>
            <w:tr w14:paraId="2BC0C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5" w:type="pct"/>
                  <w:tcBorders>
                    <w:tl2br w:val="nil"/>
                    <w:tr2bl w:val="nil"/>
                  </w:tcBorders>
                  <w:vAlign w:val="center"/>
                </w:tcPr>
                <w:p w14:paraId="5B092977">
                  <w:pPr>
                    <w:topLinePunct/>
                    <w:jc w:val="center"/>
                    <w:rPr>
                      <w:iCs/>
                      <w:kern w:val="0"/>
                      <w:szCs w:val="21"/>
                    </w:rPr>
                  </w:pPr>
                  <w:r>
                    <w:rPr>
                      <w:rFonts w:hint="eastAsia"/>
                      <w:iCs/>
                      <w:kern w:val="0"/>
                      <w:szCs w:val="21"/>
                    </w:rPr>
                    <w:t>4</w:t>
                  </w:r>
                </w:p>
              </w:tc>
              <w:tc>
                <w:tcPr>
                  <w:tcW w:w="608" w:type="pct"/>
                  <w:tcBorders>
                    <w:tl2br w:val="nil"/>
                    <w:tr2bl w:val="nil"/>
                  </w:tcBorders>
                  <w:vAlign w:val="center"/>
                </w:tcPr>
                <w:p w14:paraId="09889E57">
                  <w:pPr>
                    <w:adjustRightInd w:val="0"/>
                    <w:snapToGrid w:val="0"/>
                    <w:spacing w:line="25" w:lineRule="atLeast"/>
                    <w:jc w:val="center"/>
                    <w:rPr>
                      <w:iCs/>
                      <w:szCs w:val="21"/>
                    </w:rPr>
                  </w:pPr>
                  <w:r>
                    <w:rPr>
                      <w:rFonts w:hint="eastAsia"/>
                      <w:color w:val="000000"/>
                      <w:kern w:val="0"/>
                      <w:szCs w:val="21"/>
                      <w:lang w:bidi="ar"/>
                    </w:rPr>
                    <w:t>废化学品包装材料</w:t>
                  </w:r>
                </w:p>
              </w:tc>
              <w:tc>
                <w:tcPr>
                  <w:tcW w:w="465" w:type="pct"/>
                  <w:tcBorders>
                    <w:tl2br w:val="nil"/>
                    <w:tr2bl w:val="nil"/>
                  </w:tcBorders>
                  <w:vAlign w:val="center"/>
                </w:tcPr>
                <w:p w14:paraId="592F167E">
                  <w:pPr>
                    <w:topLinePunct/>
                    <w:jc w:val="center"/>
                    <w:rPr>
                      <w:iCs/>
                      <w:kern w:val="0"/>
                      <w:szCs w:val="21"/>
                    </w:rPr>
                  </w:pPr>
                  <w:r>
                    <w:rPr>
                      <w:iCs/>
                      <w:kern w:val="0"/>
                      <w:szCs w:val="21"/>
                    </w:rPr>
                    <w:t>HW</w:t>
                  </w:r>
                  <w:r>
                    <w:rPr>
                      <w:rFonts w:hint="eastAsia"/>
                      <w:iCs/>
                      <w:kern w:val="0"/>
                      <w:szCs w:val="21"/>
                    </w:rPr>
                    <w:t>49</w:t>
                  </w:r>
                </w:p>
              </w:tc>
              <w:tc>
                <w:tcPr>
                  <w:tcW w:w="721" w:type="pct"/>
                  <w:tcBorders>
                    <w:tl2br w:val="nil"/>
                    <w:tr2bl w:val="nil"/>
                  </w:tcBorders>
                  <w:vAlign w:val="center"/>
                </w:tcPr>
                <w:p w14:paraId="7E7EC406">
                  <w:pPr>
                    <w:jc w:val="center"/>
                    <w:rPr>
                      <w:iCs/>
                      <w:kern w:val="0"/>
                      <w:szCs w:val="21"/>
                    </w:rPr>
                  </w:pPr>
                  <w:r>
                    <w:rPr>
                      <w:rFonts w:hint="eastAsia"/>
                      <w:szCs w:val="21"/>
                    </w:rPr>
                    <w:t>900-041-49</w:t>
                  </w:r>
                </w:p>
              </w:tc>
              <w:tc>
                <w:tcPr>
                  <w:tcW w:w="467" w:type="pct"/>
                  <w:tcBorders>
                    <w:tl2br w:val="nil"/>
                    <w:tr2bl w:val="nil"/>
                  </w:tcBorders>
                  <w:vAlign w:val="center"/>
                </w:tcPr>
                <w:p w14:paraId="60331BBB">
                  <w:pPr>
                    <w:autoSpaceDE w:val="0"/>
                    <w:autoSpaceDN w:val="0"/>
                    <w:jc w:val="center"/>
                    <w:rPr>
                      <w:iCs/>
                      <w:szCs w:val="21"/>
                    </w:rPr>
                  </w:pPr>
                  <w:r>
                    <w:rPr>
                      <w:rFonts w:hint="eastAsia"/>
                      <w:iCs/>
                      <w:szCs w:val="21"/>
                    </w:rPr>
                    <w:t>0.008</w:t>
                  </w:r>
                </w:p>
              </w:tc>
              <w:tc>
                <w:tcPr>
                  <w:tcW w:w="406" w:type="pct"/>
                  <w:tcBorders>
                    <w:tl2br w:val="nil"/>
                    <w:tr2bl w:val="nil"/>
                  </w:tcBorders>
                  <w:vAlign w:val="center"/>
                </w:tcPr>
                <w:p w14:paraId="23BBB106">
                  <w:pPr>
                    <w:topLinePunct/>
                    <w:jc w:val="center"/>
                    <w:rPr>
                      <w:iCs/>
                      <w:kern w:val="0"/>
                      <w:szCs w:val="21"/>
                    </w:rPr>
                  </w:pPr>
                  <w:r>
                    <w:rPr>
                      <w:rFonts w:hint="eastAsia"/>
                      <w:iCs/>
                      <w:kern w:val="0"/>
                      <w:szCs w:val="21"/>
                    </w:rPr>
                    <w:t>污水处理</w:t>
                  </w:r>
                </w:p>
              </w:tc>
              <w:tc>
                <w:tcPr>
                  <w:tcW w:w="382" w:type="pct"/>
                  <w:tcBorders>
                    <w:tl2br w:val="nil"/>
                    <w:tr2bl w:val="nil"/>
                  </w:tcBorders>
                  <w:vAlign w:val="center"/>
                </w:tcPr>
                <w:p w14:paraId="7282EFB8">
                  <w:pPr>
                    <w:topLinePunct/>
                    <w:jc w:val="center"/>
                    <w:rPr>
                      <w:iCs/>
                      <w:kern w:val="0"/>
                      <w:szCs w:val="21"/>
                    </w:rPr>
                  </w:pPr>
                  <w:r>
                    <w:rPr>
                      <w:iCs/>
                      <w:kern w:val="0"/>
                      <w:szCs w:val="21"/>
                    </w:rPr>
                    <w:t>固态</w:t>
                  </w:r>
                </w:p>
              </w:tc>
              <w:tc>
                <w:tcPr>
                  <w:tcW w:w="492" w:type="pct"/>
                  <w:tcBorders>
                    <w:tl2br w:val="nil"/>
                    <w:tr2bl w:val="nil"/>
                  </w:tcBorders>
                  <w:vAlign w:val="center"/>
                </w:tcPr>
                <w:p w14:paraId="24335D0F">
                  <w:pPr>
                    <w:topLinePunct/>
                    <w:jc w:val="center"/>
                    <w:rPr>
                      <w:iCs/>
                      <w:kern w:val="0"/>
                      <w:szCs w:val="21"/>
                    </w:rPr>
                  </w:pPr>
                  <w:r>
                    <w:rPr>
                      <w:rFonts w:hint="eastAsia"/>
                      <w:iCs/>
                      <w:kern w:val="0"/>
                      <w:szCs w:val="21"/>
                    </w:rPr>
                    <w:t>次氯酸钠</w:t>
                  </w:r>
                </w:p>
              </w:tc>
              <w:tc>
                <w:tcPr>
                  <w:tcW w:w="374" w:type="pct"/>
                  <w:tcBorders>
                    <w:tl2br w:val="nil"/>
                    <w:tr2bl w:val="nil"/>
                  </w:tcBorders>
                  <w:shd w:val="clear" w:color="auto" w:fill="auto"/>
                  <w:vAlign w:val="center"/>
                </w:tcPr>
                <w:p w14:paraId="6185BBA0">
                  <w:pPr>
                    <w:topLinePunct/>
                    <w:jc w:val="center"/>
                    <w:rPr>
                      <w:iCs/>
                      <w:kern w:val="0"/>
                      <w:szCs w:val="21"/>
                    </w:rPr>
                  </w:pPr>
                  <w:r>
                    <w:rPr>
                      <w:iCs/>
                      <w:kern w:val="0"/>
                      <w:szCs w:val="21"/>
                    </w:rPr>
                    <w:t>间断</w:t>
                  </w:r>
                </w:p>
              </w:tc>
              <w:tc>
                <w:tcPr>
                  <w:tcW w:w="346" w:type="pct"/>
                  <w:tcBorders>
                    <w:tl2br w:val="nil"/>
                    <w:tr2bl w:val="nil"/>
                  </w:tcBorders>
                  <w:shd w:val="clear" w:color="auto" w:fill="auto"/>
                  <w:vAlign w:val="center"/>
                </w:tcPr>
                <w:p w14:paraId="627BC549">
                  <w:pPr>
                    <w:topLinePunct/>
                    <w:jc w:val="center"/>
                    <w:rPr>
                      <w:iCs/>
                      <w:kern w:val="0"/>
                      <w:szCs w:val="21"/>
                    </w:rPr>
                  </w:pPr>
                  <w:r>
                    <w:rPr>
                      <w:iCs/>
                      <w:kern w:val="0"/>
                      <w:szCs w:val="21"/>
                    </w:rPr>
                    <w:t>T</w:t>
                  </w:r>
                </w:p>
              </w:tc>
              <w:tc>
                <w:tcPr>
                  <w:tcW w:w="499" w:type="pct"/>
                  <w:vMerge w:val="continue"/>
                  <w:tcBorders>
                    <w:tl2br w:val="nil"/>
                    <w:tr2bl w:val="nil"/>
                  </w:tcBorders>
                  <w:vAlign w:val="center"/>
                </w:tcPr>
                <w:p w14:paraId="414C6B65">
                  <w:pPr>
                    <w:topLinePunct/>
                    <w:jc w:val="center"/>
                    <w:rPr>
                      <w:iCs/>
                      <w:kern w:val="0"/>
                      <w:szCs w:val="21"/>
                      <w:highlight w:val="cyan"/>
                    </w:rPr>
                  </w:pPr>
                </w:p>
              </w:tc>
            </w:tr>
          </w:tbl>
          <w:p w14:paraId="1EBBB8B6">
            <w:pPr>
              <w:adjustRightInd w:val="0"/>
              <w:snapToGrid w:val="0"/>
              <w:spacing w:line="360" w:lineRule="auto"/>
              <w:ind w:firstLine="480" w:firstLineChars="200"/>
              <w:rPr>
                <w:sz w:val="24"/>
              </w:rPr>
            </w:pPr>
            <w:r>
              <w:rPr>
                <w:rFonts w:hint="eastAsia"/>
                <w:sz w:val="24"/>
              </w:rPr>
              <w:t>根据《建设项目危险废物环境影响评价指南》要求，本项目危险废物汇总及贮存场所基本情况见下表。</w:t>
            </w:r>
          </w:p>
          <w:p w14:paraId="22A9EFCB">
            <w:pPr>
              <w:jc w:val="center"/>
              <w:rPr>
                <w:b/>
                <w:bCs/>
                <w:szCs w:val="21"/>
              </w:rPr>
            </w:pPr>
            <w:r>
              <w:rPr>
                <w:b/>
                <w:bCs/>
                <w:szCs w:val="21"/>
              </w:rPr>
              <w:t>表4-</w:t>
            </w:r>
            <w:r>
              <w:rPr>
                <w:rFonts w:hint="eastAsia"/>
                <w:b/>
                <w:bCs/>
                <w:szCs w:val="21"/>
              </w:rPr>
              <w:t>23</w:t>
            </w:r>
            <w:r>
              <w:rPr>
                <w:b/>
                <w:bCs/>
                <w:szCs w:val="21"/>
              </w:rPr>
              <w:t xml:space="preserve">  本项目危险废物贮存场所（设施</w:t>
            </w:r>
            <w:r>
              <w:rPr>
                <w:rFonts w:hint="eastAsia"/>
                <w:b/>
                <w:bCs/>
                <w:szCs w:val="21"/>
              </w:rPr>
              <w:t>）</w:t>
            </w:r>
            <w:r>
              <w:rPr>
                <w:b/>
                <w:bCs/>
                <w:szCs w:val="21"/>
              </w:rPr>
              <w:t>基本情况表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
              <w:gridCol w:w="1622"/>
              <w:gridCol w:w="1035"/>
              <w:gridCol w:w="1622"/>
              <w:gridCol w:w="751"/>
              <w:gridCol w:w="741"/>
              <w:gridCol w:w="741"/>
              <w:gridCol w:w="715"/>
            </w:tblGrid>
            <w:tr w14:paraId="1CF37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tcBorders>
                    <w:tl2br w:val="nil"/>
                    <w:tr2bl w:val="nil"/>
                  </w:tcBorders>
                  <w:vAlign w:val="center"/>
                </w:tcPr>
                <w:p w14:paraId="6C60F1C5">
                  <w:pPr>
                    <w:topLinePunct/>
                    <w:jc w:val="center"/>
                    <w:rPr>
                      <w:bCs/>
                      <w:kern w:val="0"/>
                      <w:szCs w:val="21"/>
                    </w:rPr>
                  </w:pPr>
                  <w:r>
                    <w:rPr>
                      <w:bCs/>
                      <w:kern w:val="0"/>
                      <w:szCs w:val="21"/>
                    </w:rPr>
                    <w:t>序号</w:t>
                  </w:r>
                </w:p>
              </w:tc>
              <w:tc>
                <w:tcPr>
                  <w:tcW w:w="475" w:type="pct"/>
                  <w:tcBorders>
                    <w:tl2br w:val="nil"/>
                    <w:tr2bl w:val="nil"/>
                  </w:tcBorders>
                  <w:vAlign w:val="center"/>
                </w:tcPr>
                <w:p w14:paraId="5E280727">
                  <w:pPr>
                    <w:topLinePunct/>
                    <w:jc w:val="center"/>
                    <w:rPr>
                      <w:bCs/>
                      <w:kern w:val="0"/>
                      <w:szCs w:val="21"/>
                    </w:rPr>
                  </w:pPr>
                  <w:r>
                    <w:rPr>
                      <w:bCs/>
                      <w:kern w:val="0"/>
                      <w:szCs w:val="21"/>
                    </w:rPr>
                    <w:t>贮存场所</w:t>
                  </w:r>
                </w:p>
              </w:tc>
              <w:tc>
                <w:tcPr>
                  <w:tcW w:w="955" w:type="pct"/>
                  <w:tcBorders>
                    <w:tl2br w:val="nil"/>
                    <w:tr2bl w:val="nil"/>
                  </w:tcBorders>
                  <w:vAlign w:val="center"/>
                </w:tcPr>
                <w:p w14:paraId="40A75549">
                  <w:pPr>
                    <w:topLinePunct/>
                    <w:jc w:val="center"/>
                    <w:rPr>
                      <w:bCs/>
                      <w:kern w:val="0"/>
                      <w:szCs w:val="21"/>
                    </w:rPr>
                  </w:pPr>
                  <w:r>
                    <w:rPr>
                      <w:bCs/>
                      <w:kern w:val="0"/>
                      <w:szCs w:val="21"/>
                    </w:rPr>
                    <w:t>危险废物名称</w:t>
                  </w:r>
                </w:p>
              </w:tc>
              <w:tc>
                <w:tcPr>
                  <w:tcW w:w="609" w:type="pct"/>
                  <w:tcBorders>
                    <w:tl2br w:val="nil"/>
                    <w:tr2bl w:val="nil"/>
                  </w:tcBorders>
                  <w:vAlign w:val="center"/>
                </w:tcPr>
                <w:p w14:paraId="6E7F9D7F">
                  <w:pPr>
                    <w:topLinePunct/>
                    <w:jc w:val="center"/>
                    <w:rPr>
                      <w:bCs/>
                      <w:kern w:val="0"/>
                      <w:szCs w:val="21"/>
                    </w:rPr>
                  </w:pPr>
                  <w:r>
                    <w:rPr>
                      <w:bCs/>
                      <w:kern w:val="0"/>
                      <w:szCs w:val="21"/>
                    </w:rPr>
                    <w:t>危险废物类别</w:t>
                  </w:r>
                </w:p>
              </w:tc>
              <w:tc>
                <w:tcPr>
                  <w:tcW w:w="955" w:type="pct"/>
                  <w:tcBorders>
                    <w:tl2br w:val="nil"/>
                    <w:tr2bl w:val="nil"/>
                  </w:tcBorders>
                  <w:vAlign w:val="center"/>
                </w:tcPr>
                <w:p w14:paraId="30C9F205">
                  <w:pPr>
                    <w:topLinePunct/>
                    <w:jc w:val="center"/>
                    <w:rPr>
                      <w:bCs/>
                      <w:kern w:val="0"/>
                      <w:szCs w:val="21"/>
                    </w:rPr>
                  </w:pPr>
                  <w:r>
                    <w:rPr>
                      <w:bCs/>
                      <w:kern w:val="0"/>
                      <w:szCs w:val="21"/>
                    </w:rPr>
                    <w:t>危险废物代码</w:t>
                  </w:r>
                </w:p>
              </w:tc>
              <w:tc>
                <w:tcPr>
                  <w:tcW w:w="442" w:type="pct"/>
                  <w:tcBorders>
                    <w:tl2br w:val="nil"/>
                    <w:tr2bl w:val="nil"/>
                  </w:tcBorders>
                  <w:vAlign w:val="center"/>
                </w:tcPr>
                <w:p w14:paraId="4E567E69">
                  <w:pPr>
                    <w:topLinePunct/>
                    <w:jc w:val="center"/>
                    <w:rPr>
                      <w:bCs/>
                      <w:kern w:val="0"/>
                      <w:szCs w:val="21"/>
                    </w:rPr>
                  </w:pPr>
                  <w:r>
                    <w:rPr>
                      <w:bCs/>
                      <w:kern w:val="0"/>
                      <w:szCs w:val="21"/>
                    </w:rPr>
                    <w:t>位置</w:t>
                  </w:r>
                </w:p>
              </w:tc>
              <w:tc>
                <w:tcPr>
                  <w:tcW w:w="436" w:type="pct"/>
                  <w:tcBorders>
                    <w:tl2br w:val="nil"/>
                    <w:tr2bl w:val="nil"/>
                  </w:tcBorders>
                  <w:vAlign w:val="center"/>
                </w:tcPr>
                <w:p w14:paraId="673C5EC1">
                  <w:pPr>
                    <w:topLinePunct/>
                    <w:jc w:val="center"/>
                    <w:rPr>
                      <w:bCs/>
                      <w:kern w:val="0"/>
                      <w:szCs w:val="21"/>
                    </w:rPr>
                  </w:pPr>
                  <w:r>
                    <w:rPr>
                      <w:bCs/>
                      <w:kern w:val="0"/>
                      <w:szCs w:val="21"/>
                    </w:rPr>
                    <w:t>占地面积</w:t>
                  </w:r>
                </w:p>
              </w:tc>
              <w:tc>
                <w:tcPr>
                  <w:tcW w:w="436" w:type="pct"/>
                  <w:tcBorders>
                    <w:tl2br w:val="nil"/>
                    <w:tr2bl w:val="nil"/>
                  </w:tcBorders>
                  <w:vAlign w:val="center"/>
                </w:tcPr>
                <w:p w14:paraId="120BFF70">
                  <w:pPr>
                    <w:topLinePunct/>
                    <w:jc w:val="center"/>
                    <w:rPr>
                      <w:bCs/>
                      <w:kern w:val="0"/>
                      <w:szCs w:val="21"/>
                    </w:rPr>
                  </w:pPr>
                  <w:r>
                    <w:rPr>
                      <w:bCs/>
                      <w:kern w:val="0"/>
                      <w:szCs w:val="21"/>
                    </w:rPr>
                    <w:t>贮存方式</w:t>
                  </w:r>
                </w:p>
              </w:tc>
              <w:tc>
                <w:tcPr>
                  <w:tcW w:w="421" w:type="pct"/>
                  <w:tcBorders>
                    <w:tl2br w:val="nil"/>
                    <w:tr2bl w:val="nil"/>
                  </w:tcBorders>
                  <w:vAlign w:val="center"/>
                </w:tcPr>
                <w:p w14:paraId="71531FAF">
                  <w:pPr>
                    <w:topLinePunct/>
                    <w:jc w:val="center"/>
                    <w:rPr>
                      <w:bCs/>
                      <w:kern w:val="0"/>
                      <w:szCs w:val="21"/>
                    </w:rPr>
                  </w:pPr>
                  <w:r>
                    <w:rPr>
                      <w:bCs/>
                      <w:kern w:val="0"/>
                      <w:szCs w:val="21"/>
                    </w:rPr>
                    <w:t>贮存周期</w:t>
                  </w:r>
                </w:p>
              </w:tc>
            </w:tr>
            <w:tr w14:paraId="5D410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tcBorders>
                    <w:tl2br w:val="nil"/>
                    <w:tr2bl w:val="nil"/>
                  </w:tcBorders>
                  <w:vAlign w:val="center"/>
                </w:tcPr>
                <w:p w14:paraId="445CEC29">
                  <w:pPr>
                    <w:topLinePunct/>
                    <w:jc w:val="center"/>
                    <w:rPr>
                      <w:kern w:val="0"/>
                      <w:szCs w:val="21"/>
                    </w:rPr>
                  </w:pPr>
                  <w:r>
                    <w:rPr>
                      <w:kern w:val="0"/>
                      <w:szCs w:val="21"/>
                    </w:rPr>
                    <w:t>1</w:t>
                  </w:r>
                </w:p>
              </w:tc>
              <w:tc>
                <w:tcPr>
                  <w:tcW w:w="475" w:type="pct"/>
                  <w:vMerge w:val="restart"/>
                  <w:tcBorders>
                    <w:tl2br w:val="nil"/>
                    <w:tr2bl w:val="nil"/>
                  </w:tcBorders>
                  <w:vAlign w:val="center"/>
                </w:tcPr>
                <w:p w14:paraId="3BDCB8B6">
                  <w:pPr>
                    <w:topLinePunct/>
                    <w:jc w:val="center"/>
                    <w:rPr>
                      <w:kern w:val="0"/>
                      <w:szCs w:val="21"/>
                    </w:rPr>
                  </w:pPr>
                  <w:r>
                    <w:rPr>
                      <w:kern w:val="0"/>
                      <w:szCs w:val="21"/>
                    </w:rPr>
                    <w:t>危废暂存间</w:t>
                  </w:r>
                </w:p>
              </w:tc>
              <w:tc>
                <w:tcPr>
                  <w:tcW w:w="955" w:type="pct"/>
                  <w:tcBorders>
                    <w:tl2br w:val="nil"/>
                    <w:tr2bl w:val="nil"/>
                  </w:tcBorders>
                  <w:vAlign w:val="center"/>
                </w:tcPr>
                <w:p w14:paraId="1DA6F377">
                  <w:pPr>
                    <w:adjustRightInd w:val="0"/>
                    <w:snapToGrid w:val="0"/>
                    <w:spacing w:line="25" w:lineRule="atLeast"/>
                    <w:jc w:val="center"/>
                    <w:rPr>
                      <w:szCs w:val="21"/>
                    </w:rPr>
                  </w:pPr>
                  <w:r>
                    <w:rPr>
                      <w:rFonts w:hint="eastAsia"/>
                      <w:kern w:val="0"/>
                      <w:szCs w:val="21"/>
                    </w:rPr>
                    <w:t>废润滑油</w:t>
                  </w:r>
                </w:p>
              </w:tc>
              <w:tc>
                <w:tcPr>
                  <w:tcW w:w="609" w:type="pct"/>
                  <w:tcBorders>
                    <w:tl2br w:val="nil"/>
                    <w:tr2bl w:val="nil"/>
                  </w:tcBorders>
                  <w:vAlign w:val="center"/>
                </w:tcPr>
                <w:p w14:paraId="28D6CB70">
                  <w:pPr>
                    <w:topLinePunct/>
                    <w:jc w:val="center"/>
                    <w:rPr>
                      <w:kern w:val="0"/>
                      <w:szCs w:val="21"/>
                    </w:rPr>
                  </w:pPr>
                  <w:r>
                    <w:rPr>
                      <w:iCs/>
                      <w:kern w:val="0"/>
                      <w:szCs w:val="21"/>
                    </w:rPr>
                    <w:t>HW</w:t>
                  </w:r>
                  <w:r>
                    <w:rPr>
                      <w:rFonts w:hint="eastAsia"/>
                      <w:iCs/>
                      <w:kern w:val="0"/>
                      <w:szCs w:val="21"/>
                    </w:rPr>
                    <w:t>08</w:t>
                  </w:r>
                </w:p>
              </w:tc>
              <w:tc>
                <w:tcPr>
                  <w:tcW w:w="955" w:type="pct"/>
                  <w:tcBorders>
                    <w:tl2br w:val="nil"/>
                    <w:tr2bl w:val="nil"/>
                  </w:tcBorders>
                  <w:vAlign w:val="center"/>
                </w:tcPr>
                <w:p w14:paraId="53474BCC">
                  <w:pPr>
                    <w:jc w:val="center"/>
                    <w:rPr>
                      <w:iCs/>
                      <w:kern w:val="0"/>
                      <w:szCs w:val="21"/>
                    </w:rPr>
                  </w:pPr>
                  <w:r>
                    <w:rPr>
                      <w:szCs w:val="21"/>
                    </w:rPr>
                    <w:t>900-214-08</w:t>
                  </w:r>
                </w:p>
              </w:tc>
              <w:tc>
                <w:tcPr>
                  <w:tcW w:w="442" w:type="pct"/>
                  <w:vMerge w:val="restart"/>
                  <w:tcBorders>
                    <w:tl2br w:val="nil"/>
                    <w:tr2bl w:val="nil"/>
                  </w:tcBorders>
                  <w:vAlign w:val="center"/>
                </w:tcPr>
                <w:p w14:paraId="7133AF37">
                  <w:pPr>
                    <w:topLinePunct/>
                    <w:jc w:val="center"/>
                    <w:rPr>
                      <w:kern w:val="0"/>
                      <w:szCs w:val="21"/>
                    </w:rPr>
                  </w:pPr>
                  <w:r>
                    <w:rPr>
                      <w:rFonts w:hint="eastAsia"/>
                      <w:kern w:val="0"/>
                      <w:szCs w:val="21"/>
                    </w:rPr>
                    <w:t>维保车间内西侧</w:t>
                  </w:r>
                </w:p>
              </w:tc>
              <w:tc>
                <w:tcPr>
                  <w:tcW w:w="436" w:type="pct"/>
                  <w:vMerge w:val="restart"/>
                  <w:tcBorders>
                    <w:tl2br w:val="nil"/>
                    <w:tr2bl w:val="nil"/>
                  </w:tcBorders>
                  <w:vAlign w:val="center"/>
                </w:tcPr>
                <w:p w14:paraId="66D5D693">
                  <w:pPr>
                    <w:topLinePunct/>
                    <w:jc w:val="center"/>
                    <w:rPr>
                      <w:kern w:val="0"/>
                      <w:szCs w:val="21"/>
                    </w:rPr>
                  </w:pPr>
                  <w:r>
                    <w:rPr>
                      <w:rFonts w:hint="eastAsia"/>
                      <w:kern w:val="0"/>
                      <w:szCs w:val="21"/>
                    </w:rPr>
                    <w:t>10</w:t>
                  </w:r>
                  <w:r>
                    <w:rPr>
                      <w:kern w:val="0"/>
                      <w:szCs w:val="21"/>
                    </w:rPr>
                    <w:t>m</w:t>
                  </w:r>
                  <w:r>
                    <w:rPr>
                      <w:kern w:val="0"/>
                      <w:szCs w:val="21"/>
                      <w:vertAlign w:val="superscript"/>
                    </w:rPr>
                    <w:t>2</w:t>
                  </w:r>
                </w:p>
              </w:tc>
              <w:tc>
                <w:tcPr>
                  <w:tcW w:w="436" w:type="pct"/>
                  <w:tcBorders>
                    <w:tl2br w:val="nil"/>
                    <w:tr2bl w:val="nil"/>
                  </w:tcBorders>
                  <w:vAlign w:val="center"/>
                </w:tcPr>
                <w:p w14:paraId="3495C083">
                  <w:pPr>
                    <w:topLinePunct/>
                    <w:jc w:val="center"/>
                    <w:rPr>
                      <w:kern w:val="0"/>
                      <w:szCs w:val="21"/>
                    </w:rPr>
                  </w:pPr>
                  <w:r>
                    <w:rPr>
                      <w:kern w:val="0"/>
                      <w:szCs w:val="21"/>
                    </w:rPr>
                    <w:t>桶装</w:t>
                  </w:r>
                </w:p>
              </w:tc>
              <w:tc>
                <w:tcPr>
                  <w:tcW w:w="421" w:type="pct"/>
                  <w:vMerge w:val="restart"/>
                  <w:tcBorders>
                    <w:tl2br w:val="nil"/>
                    <w:tr2bl w:val="nil"/>
                  </w:tcBorders>
                  <w:vAlign w:val="center"/>
                </w:tcPr>
                <w:p w14:paraId="700725C6">
                  <w:pPr>
                    <w:topLinePunct/>
                    <w:jc w:val="center"/>
                    <w:rPr>
                      <w:kern w:val="0"/>
                      <w:szCs w:val="21"/>
                    </w:rPr>
                  </w:pPr>
                  <w:r>
                    <w:rPr>
                      <w:rFonts w:hint="eastAsia"/>
                      <w:kern w:val="0"/>
                      <w:szCs w:val="21"/>
                    </w:rPr>
                    <w:t>6</w:t>
                  </w:r>
                  <w:r>
                    <w:rPr>
                      <w:kern w:val="0"/>
                      <w:szCs w:val="21"/>
                    </w:rPr>
                    <w:t>个月</w:t>
                  </w:r>
                </w:p>
              </w:tc>
            </w:tr>
            <w:tr w14:paraId="41132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tcBorders>
                    <w:tl2br w:val="nil"/>
                    <w:tr2bl w:val="nil"/>
                  </w:tcBorders>
                  <w:vAlign w:val="center"/>
                </w:tcPr>
                <w:p w14:paraId="21F6E1EB">
                  <w:pPr>
                    <w:topLinePunct/>
                    <w:jc w:val="center"/>
                    <w:rPr>
                      <w:kern w:val="0"/>
                      <w:szCs w:val="21"/>
                    </w:rPr>
                  </w:pPr>
                  <w:r>
                    <w:rPr>
                      <w:kern w:val="0"/>
                      <w:szCs w:val="21"/>
                    </w:rPr>
                    <w:t>2</w:t>
                  </w:r>
                </w:p>
              </w:tc>
              <w:tc>
                <w:tcPr>
                  <w:tcW w:w="475" w:type="pct"/>
                  <w:vMerge w:val="continue"/>
                  <w:tcBorders>
                    <w:tl2br w:val="nil"/>
                    <w:tr2bl w:val="nil"/>
                  </w:tcBorders>
                  <w:vAlign w:val="center"/>
                </w:tcPr>
                <w:p w14:paraId="1745AA06">
                  <w:pPr>
                    <w:topLinePunct/>
                    <w:jc w:val="center"/>
                    <w:rPr>
                      <w:kern w:val="0"/>
                      <w:szCs w:val="21"/>
                    </w:rPr>
                  </w:pPr>
                </w:p>
              </w:tc>
              <w:tc>
                <w:tcPr>
                  <w:tcW w:w="955" w:type="pct"/>
                  <w:tcBorders>
                    <w:tl2br w:val="nil"/>
                    <w:tr2bl w:val="nil"/>
                  </w:tcBorders>
                  <w:vAlign w:val="center"/>
                </w:tcPr>
                <w:p w14:paraId="66985DC0">
                  <w:pPr>
                    <w:adjustRightInd w:val="0"/>
                    <w:snapToGrid w:val="0"/>
                    <w:spacing w:line="25" w:lineRule="atLeast"/>
                    <w:jc w:val="center"/>
                    <w:rPr>
                      <w:szCs w:val="21"/>
                    </w:rPr>
                  </w:pPr>
                  <w:r>
                    <w:rPr>
                      <w:rFonts w:hint="eastAsia"/>
                      <w:kern w:val="0"/>
                      <w:szCs w:val="21"/>
                    </w:rPr>
                    <w:t>废液压油</w:t>
                  </w:r>
                </w:p>
              </w:tc>
              <w:tc>
                <w:tcPr>
                  <w:tcW w:w="609" w:type="pct"/>
                  <w:tcBorders>
                    <w:tl2br w:val="nil"/>
                    <w:tr2bl w:val="nil"/>
                  </w:tcBorders>
                  <w:vAlign w:val="center"/>
                </w:tcPr>
                <w:p w14:paraId="7E518A14">
                  <w:pPr>
                    <w:topLinePunct/>
                    <w:jc w:val="center"/>
                    <w:rPr>
                      <w:kern w:val="0"/>
                      <w:szCs w:val="21"/>
                    </w:rPr>
                  </w:pPr>
                  <w:r>
                    <w:rPr>
                      <w:iCs/>
                      <w:kern w:val="0"/>
                      <w:szCs w:val="21"/>
                    </w:rPr>
                    <w:t>HW08</w:t>
                  </w:r>
                </w:p>
              </w:tc>
              <w:tc>
                <w:tcPr>
                  <w:tcW w:w="955" w:type="pct"/>
                  <w:tcBorders>
                    <w:tl2br w:val="nil"/>
                    <w:tr2bl w:val="nil"/>
                  </w:tcBorders>
                  <w:vAlign w:val="center"/>
                </w:tcPr>
                <w:p w14:paraId="192B20B9">
                  <w:pPr>
                    <w:jc w:val="center"/>
                    <w:rPr>
                      <w:iCs/>
                      <w:kern w:val="0"/>
                      <w:szCs w:val="21"/>
                    </w:rPr>
                  </w:pPr>
                  <w:r>
                    <w:rPr>
                      <w:rFonts w:hint="eastAsia"/>
                      <w:szCs w:val="21"/>
                    </w:rPr>
                    <w:t>900-218-08</w:t>
                  </w:r>
                </w:p>
              </w:tc>
              <w:tc>
                <w:tcPr>
                  <w:tcW w:w="442" w:type="pct"/>
                  <w:vMerge w:val="continue"/>
                  <w:tcBorders>
                    <w:tl2br w:val="nil"/>
                    <w:tr2bl w:val="nil"/>
                  </w:tcBorders>
                  <w:vAlign w:val="center"/>
                </w:tcPr>
                <w:p w14:paraId="26930BA3">
                  <w:pPr>
                    <w:topLinePunct/>
                    <w:jc w:val="center"/>
                    <w:rPr>
                      <w:kern w:val="0"/>
                      <w:szCs w:val="21"/>
                    </w:rPr>
                  </w:pPr>
                </w:p>
              </w:tc>
              <w:tc>
                <w:tcPr>
                  <w:tcW w:w="436" w:type="pct"/>
                  <w:vMerge w:val="continue"/>
                  <w:tcBorders>
                    <w:tl2br w:val="nil"/>
                    <w:tr2bl w:val="nil"/>
                  </w:tcBorders>
                  <w:vAlign w:val="center"/>
                </w:tcPr>
                <w:p w14:paraId="7232290E">
                  <w:pPr>
                    <w:topLinePunct/>
                    <w:rPr>
                      <w:kern w:val="0"/>
                      <w:szCs w:val="21"/>
                    </w:rPr>
                  </w:pPr>
                </w:p>
              </w:tc>
              <w:tc>
                <w:tcPr>
                  <w:tcW w:w="436" w:type="pct"/>
                  <w:tcBorders>
                    <w:tl2br w:val="nil"/>
                    <w:tr2bl w:val="nil"/>
                  </w:tcBorders>
                  <w:vAlign w:val="center"/>
                </w:tcPr>
                <w:p w14:paraId="095DEAD0">
                  <w:pPr>
                    <w:topLinePunct/>
                    <w:jc w:val="center"/>
                    <w:rPr>
                      <w:kern w:val="0"/>
                      <w:szCs w:val="21"/>
                    </w:rPr>
                  </w:pPr>
                  <w:r>
                    <w:rPr>
                      <w:kern w:val="0"/>
                      <w:szCs w:val="21"/>
                    </w:rPr>
                    <w:t>桶装</w:t>
                  </w:r>
                </w:p>
              </w:tc>
              <w:tc>
                <w:tcPr>
                  <w:tcW w:w="421" w:type="pct"/>
                  <w:vMerge w:val="continue"/>
                  <w:tcBorders>
                    <w:tl2br w:val="nil"/>
                    <w:tr2bl w:val="nil"/>
                  </w:tcBorders>
                  <w:vAlign w:val="center"/>
                </w:tcPr>
                <w:p w14:paraId="7305D040">
                  <w:pPr>
                    <w:topLinePunct/>
                    <w:jc w:val="center"/>
                    <w:rPr>
                      <w:kern w:val="0"/>
                      <w:szCs w:val="21"/>
                    </w:rPr>
                  </w:pPr>
                </w:p>
              </w:tc>
            </w:tr>
            <w:tr w14:paraId="325C8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tcBorders>
                    <w:tl2br w:val="nil"/>
                    <w:tr2bl w:val="nil"/>
                  </w:tcBorders>
                  <w:vAlign w:val="center"/>
                </w:tcPr>
                <w:p w14:paraId="176FF85F">
                  <w:pPr>
                    <w:topLinePunct/>
                    <w:jc w:val="center"/>
                    <w:rPr>
                      <w:kern w:val="0"/>
                      <w:szCs w:val="21"/>
                    </w:rPr>
                  </w:pPr>
                  <w:r>
                    <w:rPr>
                      <w:kern w:val="0"/>
                      <w:szCs w:val="21"/>
                    </w:rPr>
                    <w:t>3</w:t>
                  </w:r>
                </w:p>
              </w:tc>
              <w:tc>
                <w:tcPr>
                  <w:tcW w:w="475" w:type="pct"/>
                  <w:vMerge w:val="continue"/>
                  <w:tcBorders>
                    <w:tl2br w:val="nil"/>
                    <w:tr2bl w:val="nil"/>
                  </w:tcBorders>
                  <w:vAlign w:val="center"/>
                </w:tcPr>
                <w:p w14:paraId="3D98031E">
                  <w:pPr>
                    <w:topLinePunct/>
                    <w:jc w:val="center"/>
                    <w:rPr>
                      <w:kern w:val="0"/>
                      <w:szCs w:val="21"/>
                    </w:rPr>
                  </w:pPr>
                </w:p>
              </w:tc>
              <w:tc>
                <w:tcPr>
                  <w:tcW w:w="955" w:type="pct"/>
                  <w:tcBorders>
                    <w:tl2br w:val="nil"/>
                    <w:tr2bl w:val="nil"/>
                  </w:tcBorders>
                  <w:vAlign w:val="center"/>
                </w:tcPr>
                <w:p w14:paraId="0BBC6EFE">
                  <w:pPr>
                    <w:adjustRightInd w:val="0"/>
                    <w:snapToGrid w:val="0"/>
                    <w:spacing w:line="25" w:lineRule="atLeast"/>
                    <w:jc w:val="center"/>
                    <w:rPr>
                      <w:szCs w:val="21"/>
                    </w:rPr>
                  </w:pPr>
                  <w:r>
                    <w:rPr>
                      <w:rFonts w:hint="eastAsia"/>
                      <w:color w:val="000000"/>
                      <w:kern w:val="0"/>
                      <w:szCs w:val="21"/>
                      <w:lang w:bidi="ar"/>
                    </w:rPr>
                    <w:t>废油桶</w:t>
                  </w:r>
                </w:p>
              </w:tc>
              <w:tc>
                <w:tcPr>
                  <w:tcW w:w="609" w:type="pct"/>
                  <w:tcBorders>
                    <w:tl2br w:val="nil"/>
                    <w:tr2bl w:val="nil"/>
                  </w:tcBorders>
                  <w:vAlign w:val="center"/>
                </w:tcPr>
                <w:p w14:paraId="56FAB8A0">
                  <w:pPr>
                    <w:topLinePunct/>
                    <w:jc w:val="center"/>
                    <w:rPr>
                      <w:kern w:val="0"/>
                      <w:szCs w:val="21"/>
                    </w:rPr>
                  </w:pPr>
                  <w:r>
                    <w:rPr>
                      <w:iCs/>
                      <w:kern w:val="0"/>
                      <w:szCs w:val="21"/>
                    </w:rPr>
                    <w:t>HW</w:t>
                  </w:r>
                  <w:r>
                    <w:rPr>
                      <w:rFonts w:hint="eastAsia"/>
                      <w:iCs/>
                      <w:kern w:val="0"/>
                      <w:szCs w:val="21"/>
                    </w:rPr>
                    <w:t>49</w:t>
                  </w:r>
                </w:p>
              </w:tc>
              <w:tc>
                <w:tcPr>
                  <w:tcW w:w="955" w:type="pct"/>
                  <w:tcBorders>
                    <w:tl2br w:val="nil"/>
                    <w:tr2bl w:val="nil"/>
                  </w:tcBorders>
                  <w:vAlign w:val="center"/>
                </w:tcPr>
                <w:p w14:paraId="6B89AE5C">
                  <w:pPr>
                    <w:jc w:val="center"/>
                    <w:rPr>
                      <w:iCs/>
                      <w:kern w:val="0"/>
                      <w:szCs w:val="21"/>
                    </w:rPr>
                  </w:pPr>
                  <w:r>
                    <w:rPr>
                      <w:rFonts w:hint="eastAsia"/>
                      <w:szCs w:val="21"/>
                    </w:rPr>
                    <w:t>900-041-49</w:t>
                  </w:r>
                </w:p>
              </w:tc>
              <w:tc>
                <w:tcPr>
                  <w:tcW w:w="442" w:type="pct"/>
                  <w:vMerge w:val="continue"/>
                  <w:tcBorders>
                    <w:tl2br w:val="nil"/>
                    <w:tr2bl w:val="nil"/>
                  </w:tcBorders>
                  <w:vAlign w:val="center"/>
                </w:tcPr>
                <w:p w14:paraId="1BF2F044">
                  <w:pPr>
                    <w:topLinePunct/>
                    <w:jc w:val="center"/>
                    <w:rPr>
                      <w:kern w:val="0"/>
                      <w:szCs w:val="21"/>
                    </w:rPr>
                  </w:pPr>
                </w:p>
              </w:tc>
              <w:tc>
                <w:tcPr>
                  <w:tcW w:w="436" w:type="pct"/>
                  <w:vMerge w:val="continue"/>
                  <w:tcBorders>
                    <w:tl2br w:val="nil"/>
                    <w:tr2bl w:val="nil"/>
                  </w:tcBorders>
                  <w:vAlign w:val="center"/>
                </w:tcPr>
                <w:p w14:paraId="51F82975">
                  <w:pPr>
                    <w:topLinePunct/>
                    <w:jc w:val="center"/>
                    <w:rPr>
                      <w:kern w:val="0"/>
                      <w:szCs w:val="21"/>
                    </w:rPr>
                  </w:pPr>
                </w:p>
              </w:tc>
              <w:tc>
                <w:tcPr>
                  <w:tcW w:w="436" w:type="pct"/>
                  <w:tcBorders>
                    <w:tl2br w:val="nil"/>
                    <w:tr2bl w:val="nil"/>
                  </w:tcBorders>
                  <w:vAlign w:val="center"/>
                </w:tcPr>
                <w:p w14:paraId="385B55A8">
                  <w:pPr>
                    <w:topLinePunct/>
                    <w:jc w:val="center"/>
                    <w:rPr>
                      <w:kern w:val="0"/>
                      <w:szCs w:val="21"/>
                    </w:rPr>
                  </w:pPr>
                  <w:r>
                    <w:rPr>
                      <w:kern w:val="0"/>
                      <w:szCs w:val="21"/>
                    </w:rPr>
                    <w:t>桶装</w:t>
                  </w:r>
                </w:p>
              </w:tc>
              <w:tc>
                <w:tcPr>
                  <w:tcW w:w="421" w:type="pct"/>
                  <w:vMerge w:val="continue"/>
                  <w:tcBorders>
                    <w:tl2br w:val="nil"/>
                    <w:tr2bl w:val="nil"/>
                  </w:tcBorders>
                  <w:vAlign w:val="center"/>
                </w:tcPr>
                <w:p w14:paraId="22F1D3F1">
                  <w:pPr>
                    <w:topLinePunct/>
                    <w:jc w:val="center"/>
                    <w:rPr>
                      <w:kern w:val="0"/>
                      <w:szCs w:val="21"/>
                    </w:rPr>
                  </w:pPr>
                </w:p>
              </w:tc>
            </w:tr>
            <w:tr w14:paraId="76FDF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tcBorders>
                    <w:tl2br w:val="nil"/>
                    <w:tr2bl w:val="nil"/>
                  </w:tcBorders>
                  <w:vAlign w:val="center"/>
                </w:tcPr>
                <w:p w14:paraId="232A370D">
                  <w:pPr>
                    <w:topLinePunct/>
                    <w:jc w:val="center"/>
                    <w:rPr>
                      <w:kern w:val="0"/>
                      <w:szCs w:val="21"/>
                    </w:rPr>
                  </w:pPr>
                  <w:r>
                    <w:rPr>
                      <w:rFonts w:hint="eastAsia"/>
                      <w:kern w:val="0"/>
                      <w:szCs w:val="21"/>
                    </w:rPr>
                    <w:t>4</w:t>
                  </w:r>
                </w:p>
              </w:tc>
              <w:tc>
                <w:tcPr>
                  <w:tcW w:w="475" w:type="pct"/>
                  <w:vMerge w:val="continue"/>
                  <w:tcBorders>
                    <w:tl2br w:val="nil"/>
                    <w:tr2bl w:val="nil"/>
                  </w:tcBorders>
                  <w:vAlign w:val="center"/>
                </w:tcPr>
                <w:p w14:paraId="258EA506">
                  <w:pPr>
                    <w:topLinePunct/>
                    <w:jc w:val="center"/>
                    <w:rPr>
                      <w:kern w:val="0"/>
                      <w:szCs w:val="21"/>
                    </w:rPr>
                  </w:pPr>
                </w:p>
              </w:tc>
              <w:tc>
                <w:tcPr>
                  <w:tcW w:w="955" w:type="pct"/>
                  <w:tcBorders>
                    <w:tl2br w:val="nil"/>
                    <w:tr2bl w:val="nil"/>
                  </w:tcBorders>
                  <w:vAlign w:val="center"/>
                </w:tcPr>
                <w:p w14:paraId="6C5D8C9A">
                  <w:pPr>
                    <w:adjustRightInd w:val="0"/>
                    <w:snapToGrid w:val="0"/>
                    <w:spacing w:line="25" w:lineRule="atLeast"/>
                    <w:jc w:val="center"/>
                    <w:rPr>
                      <w:color w:val="000000"/>
                      <w:kern w:val="0"/>
                      <w:szCs w:val="21"/>
                      <w:lang w:bidi="ar"/>
                    </w:rPr>
                  </w:pPr>
                  <w:r>
                    <w:rPr>
                      <w:rFonts w:hint="eastAsia"/>
                      <w:color w:val="000000"/>
                      <w:kern w:val="0"/>
                      <w:szCs w:val="21"/>
                      <w:lang w:bidi="ar"/>
                    </w:rPr>
                    <w:t>废化学品包装材料</w:t>
                  </w:r>
                </w:p>
              </w:tc>
              <w:tc>
                <w:tcPr>
                  <w:tcW w:w="609" w:type="pct"/>
                  <w:tcBorders>
                    <w:tl2br w:val="nil"/>
                    <w:tr2bl w:val="nil"/>
                  </w:tcBorders>
                  <w:vAlign w:val="center"/>
                </w:tcPr>
                <w:p w14:paraId="5BE7DD57">
                  <w:pPr>
                    <w:topLinePunct/>
                    <w:jc w:val="center"/>
                    <w:rPr>
                      <w:iCs/>
                      <w:kern w:val="0"/>
                      <w:szCs w:val="21"/>
                    </w:rPr>
                  </w:pPr>
                  <w:r>
                    <w:rPr>
                      <w:iCs/>
                      <w:kern w:val="0"/>
                      <w:szCs w:val="21"/>
                    </w:rPr>
                    <w:t>HW</w:t>
                  </w:r>
                  <w:r>
                    <w:rPr>
                      <w:rFonts w:hint="eastAsia"/>
                      <w:iCs/>
                      <w:kern w:val="0"/>
                      <w:szCs w:val="21"/>
                    </w:rPr>
                    <w:t>49</w:t>
                  </w:r>
                </w:p>
              </w:tc>
              <w:tc>
                <w:tcPr>
                  <w:tcW w:w="955" w:type="pct"/>
                  <w:tcBorders>
                    <w:tl2br w:val="nil"/>
                    <w:tr2bl w:val="nil"/>
                  </w:tcBorders>
                  <w:vAlign w:val="center"/>
                </w:tcPr>
                <w:p w14:paraId="692333EF">
                  <w:pPr>
                    <w:jc w:val="center"/>
                    <w:rPr>
                      <w:szCs w:val="21"/>
                    </w:rPr>
                  </w:pPr>
                  <w:r>
                    <w:rPr>
                      <w:rFonts w:hint="eastAsia"/>
                      <w:szCs w:val="21"/>
                    </w:rPr>
                    <w:t>900-041-49</w:t>
                  </w:r>
                </w:p>
              </w:tc>
              <w:tc>
                <w:tcPr>
                  <w:tcW w:w="442" w:type="pct"/>
                  <w:vMerge w:val="continue"/>
                  <w:tcBorders>
                    <w:tl2br w:val="nil"/>
                    <w:tr2bl w:val="nil"/>
                  </w:tcBorders>
                  <w:vAlign w:val="center"/>
                </w:tcPr>
                <w:p w14:paraId="068C5628">
                  <w:pPr>
                    <w:topLinePunct/>
                    <w:jc w:val="center"/>
                    <w:rPr>
                      <w:kern w:val="0"/>
                      <w:szCs w:val="21"/>
                    </w:rPr>
                  </w:pPr>
                </w:p>
              </w:tc>
              <w:tc>
                <w:tcPr>
                  <w:tcW w:w="436" w:type="pct"/>
                  <w:vMerge w:val="continue"/>
                  <w:tcBorders>
                    <w:tl2br w:val="nil"/>
                    <w:tr2bl w:val="nil"/>
                  </w:tcBorders>
                  <w:vAlign w:val="center"/>
                </w:tcPr>
                <w:p w14:paraId="50D1F972">
                  <w:pPr>
                    <w:topLinePunct/>
                    <w:jc w:val="center"/>
                    <w:rPr>
                      <w:kern w:val="0"/>
                      <w:szCs w:val="21"/>
                    </w:rPr>
                  </w:pPr>
                </w:p>
              </w:tc>
              <w:tc>
                <w:tcPr>
                  <w:tcW w:w="436" w:type="pct"/>
                  <w:tcBorders>
                    <w:tl2br w:val="nil"/>
                    <w:tr2bl w:val="nil"/>
                  </w:tcBorders>
                  <w:vAlign w:val="center"/>
                </w:tcPr>
                <w:p w14:paraId="225B7E1B">
                  <w:pPr>
                    <w:topLinePunct/>
                    <w:jc w:val="center"/>
                    <w:rPr>
                      <w:kern w:val="0"/>
                      <w:szCs w:val="21"/>
                    </w:rPr>
                  </w:pPr>
                  <w:r>
                    <w:rPr>
                      <w:kern w:val="0"/>
                      <w:szCs w:val="21"/>
                    </w:rPr>
                    <w:t>桶装</w:t>
                  </w:r>
                </w:p>
              </w:tc>
              <w:tc>
                <w:tcPr>
                  <w:tcW w:w="421" w:type="pct"/>
                  <w:vMerge w:val="continue"/>
                  <w:tcBorders>
                    <w:tl2br w:val="nil"/>
                    <w:tr2bl w:val="nil"/>
                  </w:tcBorders>
                  <w:vAlign w:val="center"/>
                </w:tcPr>
                <w:p w14:paraId="2B0196AB">
                  <w:pPr>
                    <w:topLinePunct/>
                    <w:jc w:val="center"/>
                    <w:rPr>
                      <w:kern w:val="0"/>
                      <w:szCs w:val="21"/>
                    </w:rPr>
                  </w:pPr>
                </w:p>
              </w:tc>
            </w:tr>
          </w:tbl>
          <w:p w14:paraId="07B40ED4">
            <w:pPr>
              <w:widowControl/>
              <w:spacing w:before="120" w:beforeLines="50" w:line="360" w:lineRule="auto"/>
              <w:jc w:val="left"/>
              <w:rPr>
                <w:b/>
                <w:sz w:val="24"/>
              </w:rPr>
            </w:pPr>
            <w:r>
              <w:rPr>
                <w:rFonts w:hint="eastAsia" w:ascii="宋体" w:hAnsi="宋体" w:cs="宋体"/>
                <w:color w:val="000000"/>
                <w:kern w:val="0"/>
                <w:sz w:val="24"/>
                <w:lang w:bidi="ar"/>
              </w:rPr>
              <w:t xml:space="preserve">   </w:t>
            </w:r>
            <w:r>
              <w:rPr>
                <w:b/>
                <w:sz w:val="24"/>
              </w:rPr>
              <w:t>3、管理要求</w:t>
            </w:r>
          </w:p>
          <w:p w14:paraId="21A98D25">
            <w:pPr>
              <w:adjustRightInd w:val="0"/>
              <w:snapToGrid w:val="0"/>
              <w:spacing w:line="360" w:lineRule="auto"/>
              <w:ind w:firstLine="482" w:firstLineChars="200"/>
              <w:rPr>
                <w:b/>
                <w:bCs/>
                <w:sz w:val="24"/>
              </w:rPr>
            </w:pPr>
            <w:r>
              <w:rPr>
                <w:rFonts w:hint="eastAsia"/>
                <w:b/>
                <w:bCs/>
                <w:sz w:val="24"/>
              </w:rPr>
              <w:t>（1）一般固废储运方式及管理要求</w:t>
            </w:r>
          </w:p>
          <w:p w14:paraId="00988BC7">
            <w:pPr>
              <w:adjustRightInd w:val="0"/>
              <w:snapToGrid w:val="0"/>
              <w:spacing w:line="360" w:lineRule="auto"/>
              <w:ind w:firstLine="480" w:firstLineChars="200"/>
              <w:rPr>
                <w:sz w:val="24"/>
              </w:rPr>
            </w:pPr>
            <w:r>
              <w:rPr>
                <w:rFonts w:hint="eastAsia"/>
                <w:sz w:val="24"/>
              </w:rPr>
              <w:t>项目采取的固废处置措施可行，为了进一步确保项目产生的固体废物得到合理有效</w:t>
            </w:r>
            <w:r>
              <w:rPr>
                <w:rFonts w:hint="eastAsia"/>
                <w:sz w:val="24"/>
                <w:lang w:eastAsia="zh-CN"/>
              </w:rPr>
              <w:t>地</w:t>
            </w:r>
            <w:r>
              <w:rPr>
                <w:rFonts w:hint="eastAsia"/>
                <w:sz w:val="24"/>
              </w:rPr>
              <w:t>收集处理，避免造成环境二次污染，一般固废暂存区贮存过程应满足防渗漏、防雨淋、防扬尘等环境保护要求。</w:t>
            </w:r>
          </w:p>
          <w:p w14:paraId="773701C5">
            <w:pPr>
              <w:adjustRightInd w:val="0"/>
              <w:snapToGrid w:val="0"/>
              <w:spacing w:line="360" w:lineRule="auto"/>
              <w:ind w:firstLine="482" w:firstLineChars="200"/>
              <w:rPr>
                <w:b/>
                <w:bCs/>
                <w:sz w:val="24"/>
              </w:rPr>
            </w:pPr>
            <w:r>
              <w:rPr>
                <w:rFonts w:hint="eastAsia"/>
                <w:b/>
                <w:bCs/>
                <w:sz w:val="24"/>
              </w:rPr>
              <w:t xml:space="preserve">污泥堆存、运输要求： </w:t>
            </w:r>
          </w:p>
          <w:p w14:paraId="144BD06A">
            <w:pPr>
              <w:adjustRightInd w:val="0"/>
              <w:snapToGrid w:val="0"/>
              <w:spacing w:line="360" w:lineRule="auto"/>
              <w:ind w:firstLine="480" w:firstLineChars="200"/>
              <w:rPr>
                <w:sz w:val="24"/>
              </w:rPr>
            </w:pPr>
            <w:r>
              <w:rPr>
                <w:rFonts w:hint="eastAsia"/>
                <w:sz w:val="24"/>
              </w:rPr>
              <w:t>①建设单位应对化粪池、污水处理站产生的污泥承担处理处置责任，其法定代表人或其主要负责人是污泥污染防治第一责任人。建设单位应当切实履行职责，对污泥产生、运输、贮存、处理、处置实施全过程管理，制定并落实污泥环境管理的规章制度、工作流程和要求，设置专门的监控部门或专</w:t>
            </w:r>
            <w:r>
              <w:rPr>
                <w:rFonts w:hint="eastAsia"/>
                <w:sz w:val="24"/>
                <w:lang w:eastAsia="zh-CN"/>
              </w:rPr>
              <w:t>（</w:t>
            </w:r>
            <w:r>
              <w:rPr>
                <w:rFonts w:hint="eastAsia"/>
                <w:sz w:val="24"/>
              </w:rPr>
              <w:t>兼</w:t>
            </w:r>
            <w:r>
              <w:rPr>
                <w:rFonts w:hint="eastAsia"/>
                <w:sz w:val="24"/>
                <w:lang w:eastAsia="zh-CN"/>
              </w:rPr>
              <w:t>）</w:t>
            </w:r>
            <w:r>
              <w:rPr>
                <w:rFonts w:hint="eastAsia"/>
                <w:sz w:val="24"/>
              </w:rPr>
              <w:t xml:space="preserve">职人员，确保污泥妥善处理处置，严禁擅自倾倒、堆放、丢弃、遗撒污泥。 </w:t>
            </w:r>
          </w:p>
          <w:p w14:paraId="3B873C76">
            <w:pPr>
              <w:adjustRightInd w:val="0"/>
              <w:snapToGrid w:val="0"/>
              <w:spacing w:line="360" w:lineRule="auto"/>
              <w:ind w:firstLine="480" w:firstLineChars="200"/>
              <w:rPr>
                <w:sz w:val="24"/>
              </w:rPr>
            </w:pPr>
            <w:r>
              <w:rPr>
                <w:rFonts w:hint="eastAsia"/>
                <w:sz w:val="24"/>
              </w:rPr>
              <w:t xml:space="preserve">②污泥处理处置应遵循减量化、稳定化、无害化的原则。 </w:t>
            </w:r>
          </w:p>
          <w:p w14:paraId="4E275F6C">
            <w:pPr>
              <w:adjustRightInd w:val="0"/>
              <w:snapToGrid w:val="0"/>
              <w:spacing w:line="360" w:lineRule="auto"/>
              <w:ind w:firstLine="480" w:firstLineChars="200"/>
              <w:rPr>
                <w:sz w:val="24"/>
              </w:rPr>
            </w:pPr>
            <w:r>
              <w:rPr>
                <w:rFonts w:hint="eastAsia"/>
                <w:sz w:val="24"/>
              </w:rPr>
              <w:t xml:space="preserve">③加强污泥环境风险防范。污泥产生、运输、贮存、处理处置的全过程应当遵守相关污染控制标准及技术规范。 </w:t>
            </w:r>
          </w:p>
          <w:p w14:paraId="578482EE">
            <w:pPr>
              <w:adjustRightInd w:val="0"/>
              <w:snapToGrid w:val="0"/>
              <w:spacing w:line="360" w:lineRule="auto"/>
              <w:ind w:firstLine="480" w:firstLineChars="200"/>
              <w:rPr>
                <w:sz w:val="24"/>
              </w:rPr>
            </w:pPr>
            <w:r>
              <w:rPr>
                <w:rFonts w:hint="eastAsia"/>
                <w:sz w:val="24"/>
              </w:rPr>
              <w:t xml:space="preserve">④规范污泥运输。本项目污泥应交由具有相关的道路货物运营资质的从事污泥运输的单位运输，禁止将污泥交由个人和没有获得相关运营资质的单位。污泥运输车辆应当采取密封、防水、防渗漏和防遗撒等措施。 </w:t>
            </w:r>
          </w:p>
          <w:p w14:paraId="119FD65B">
            <w:pPr>
              <w:adjustRightInd w:val="0"/>
              <w:snapToGrid w:val="0"/>
              <w:spacing w:line="360" w:lineRule="auto"/>
              <w:ind w:firstLine="480" w:firstLineChars="200"/>
              <w:rPr>
                <w:sz w:val="24"/>
              </w:rPr>
            </w:pPr>
            <w:r>
              <w:rPr>
                <w:rFonts w:hint="eastAsia"/>
                <w:sz w:val="24"/>
              </w:rPr>
              <w:t>⑤对污泥运输过程中必须采用密封式翻斗车，避免沿途抛洒污染环境，必须确保运输途中不出现跑冒漏滴。外运时间应该避开上下班的高峰期及人流物流的高峰时间。</w:t>
            </w:r>
          </w:p>
          <w:p w14:paraId="3BEF1822">
            <w:pPr>
              <w:adjustRightInd w:val="0"/>
              <w:snapToGrid w:val="0"/>
              <w:spacing w:line="360" w:lineRule="auto"/>
              <w:ind w:firstLine="482" w:firstLineChars="200"/>
              <w:rPr>
                <w:sz w:val="24"/>
              </w:rPr>
            </w:pPr>
            <w:r>
              <w:rPr>
                <w:rFonts w:hint="eastAsia"/>
                <w:b/>
                <w:bCs/>
                <w:sz w:val="24"/>
              </w:rPr>
              <w:t>（2）危险废物储运方式及管理要求</w:t>
            </w:r>
          </w:p>
          <w:p w14:paraId="5E7D973B">
            <w:pPr>
              <w:adjustRightInd w:val="0"/>
              <w:snapToGrid w:val="0"/>
              <w:spacing w:line="360" w:lineRule="auto"/>
              <w:ind w:firstLine="480" w:firstLineChars="200"/>
              <w:rPr>
                <w:sz w:val="24"/>
              </w:rPr>
            </w:pPr>
            <w:r>
              <w:rPr>
                <w:rFonts w:hint="eastAsia"/>
                <w:sz w:val="24"/>
              </w:rPr>
              <w:t>危险固体废物管理措施：本项目产生的危险废物主要为废液压油、废润滑油及其容器、废化学品包装材料。建设单位拟在维保房设置一间危废暂存间，建筑面积为10m</w:t>
            </w:r>
            <w:r>
              <w:rPr>
                <w:rFonts w:hint="eastAsia"/>
                <w:sz w:val="24"/>
                <w:vertAlign w:val="superscript"/>
              </w:rPr>
              <w:t>2</w:t>
            </w:r>
            <w:r>
              <w:rPr>
                <w:rFonts w:hint="eastAsia"/>
                <w:sz w:val="24"/>
              </w:rPr>
              <w:t>，参照《危险废物管理计划和管理台账制度技术导则》（HJ1259-2022），本项目危险废物产生量约1.535t/a，其产生量小于10t，属于危险废物登记管理单位。根据《危险废物贮存污染控制标准》（GB18597-2023）相关要求，本项目危废暂存间应属于贮存设施中的贮存点。因此，本项目危险废物暂存间按照《危险废物贮存污染控制标准》（GB18597-2023）及相关标准规范要求进行。</w:t>
            </w:r>
          </w:p>
          <w:p w14:paraId="131FAC32">
            <w:pPr>
              <w:adjustRightInd w:val="0"/>
              <w:snapToGrid w:val="0"/>
              <w:spacing w:line="360" w:lineRule="auto"/>
              <w:ind w:firstLine="482" w:firstLineChars="200"/>
              <w:rPr>
                <w:b/>
                <w:bCs/>
                <w:color w:val="000000"/>
                <w:sz w:val="24"/>
              </w:rPr>
            </w:pPr>
            <w:r>
              <w:rPr>
                <w:rFonts w:hint="eastAsia"/>
                <w:b/>
                <w:bCs/>
                <w:color w:val="000000"/>
                <w:sz w:val="24"/>
              </w:rPr>
              <w:t>总体要求：</w:t>
            </w:r>
          </w:p>
          <w:p w14:paraId="411DB402">
            <w:pPr>
              <w:adjustRightInd w:val="0"/>
              <w:snapToGrid w:val="0"/>
              <w:spacing w:line="360" w:lineRule="auto"/>
              <w:ind w:firstLine="480" w:firstLineChars="200"/>
              <w:rPr>
                <w:color w:val="000000"/>
                <w:sz w:val="24"/>
              </w:rPr>
            </w:pPr>
            <w:r>
              <w:rPr>
                <w:rFonts w:hint="eastAsia"/>
                <w:color w:val="000000"/>
                <w:sz w:val="24"/>
              </w:rPr>
              <w:t>①产生、收集、贮存、利用、处置危险废物的单位应建造危险废物贮存设施或设置贮存场所，并根据需要选择贮存设施类型。</w:t>
            </w:r>
          </w:p>
          <w:p w14:paraId="2B8F9342">
            <w:pPr>
              <w:adjustRightInd w:val="0"/>
              <w:snapToGrid w:val="0"/>
              <w:spacing w:line="360" w:lineRule="auto"/>
              <w:ind w:firstLine="480" w:firstLineChars="200"/>
              <w:rPr>
                <w:color w:val="000000"/>
                <w:sz w:val="24"/>
              </w:rPr>
            </w:pPr>
            <w:r>
              <w:rPr>
                <w:rFonts w:hint="eastAsia"/>
                <w:color w:val="000000"/>
                <w:sz w:val="24"/>
              </w:rPr>
              <w:t>②贮存危险废物应根据危险废物的类别、数量、形态、物理化学性质和环境风险等因素，确定贮存设施或场所类型和规模。</w:t>
            </w:r>
          </w:p>
          <w:p w14:paraId="3E111F59">
            <w:pPr>
              <w:adjustRightInd w:val="0"/>
              <w:snapToGrid w:val="0"/>
              <w:spacing w:line="360" w:lineRule="auto"/>
              <w:ind w:firstLine="480" w:firstLineChars="200"/>
              <w:rPr>
                <w:color w:val="000000"/>
                <w:sz w:val="24"/>
              </w:rPr>
            </w:pPr>
            <w:r>
              <w:rPr>
                <w:rFonts w:hint="eastAsia"/>
                <w:color w:val="000000"/>
                <w:sz w:val="24"/>
              </w:rPr>
              <w:t>③贮存危险废物应根据危险废物的类别、形态、物理化学性质和污染防治要求进行分类贮存，且应避免危险废物与不相容的物质或材料接触。</w:t>
            </w:r>
          </w:p>
          <w:p w14:paraId="31EC610A">
            <w:pPr>
              <w:adjustRightInd w:val="0"/>
              <w:snapToGrid w:val="0"/>
              <w:spacing w:line="360" w:lineRule="auto"/>
              <w:ind w:firstLine="480" w:firstLineChars="200"/>
              <w:rPr>
                <w:color w:val="000000"/>
                <w:sz w:val="24"/>
              </w:rPr>
            </w:pPr>
            <w:r>
              <w:rPr>
                <w:rFonts w:hint="eastAsia"/>
                <w:color w:val="000000"/>
                <w:sz w:val="24"/>
              </w:rPr>
              <w:t>④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54538FF4">
            <w:pPr>
              <w:adjustRightInd w:val="0"/>
              <w:snapToGrid w:val="0"/>
              <w:spacing w:line="360" w:lineRule="auto"/>
              <w:ind w:firstLine="480" w:firstLineChars="200"/>
              <w:rPr>
                <w:color w:val="000000"/>
                <w:sz w:val="24"/>
              </w:rPr>
            </w:pPr>
            <w:r>
              <w:rPr>
                <w:rFonts w:hint="eastAsia"/>
                <w:color w:val="000000"/>
                <w:sz w:val="24"/>
              </w:rPr>
              <w:t>⑤危险废物贮存过程产生的液态废物和固态废物应分类收集，</w:t>
            </w:r>
            <w:r>
              <w:rPr>
                <w:rFonts w:hint="eastAsia"/>
                <w:color w:val="000000"/>
                <w:sz w:val="24"/>
                <w:lang w:eastAsia="zh-CN"/>
              </w:rPr>
              <w:t>按</w:t>
            </w:r>
            <w:r>
              <w:rPr>
                <w:rFonts w:hint="eastAsia"/>
                <w:color w:val="000000"/>
                <w:sz w:val="24"/>
              </w:rPr>
              <w:t>环境管理要求妥善处理。</w:t>
            </w:r>
          </w:p>
          <w:p w14:paraId="24C65CE2">
            <w:pPr>
              <w:adjustRightInd w:val="0"/>
              <w:snapToGrid w:val="0"/>
              <w:spacing w:line="360" w:lineRule="auto"/>
              <w:ind w:firstLine="480" w:firstLineChars="200"/>
              <w:rPr>
                <w:color w:val="000000"/>
                <w:sz w:val="24"/>
              </w:rPr>
            </w:pPr>
            <w:r>
              <w:rPr>
                <w:rFonts w:hint="eastAsia"/>
                <w:color w:val="000000"/>
                <w:sz w:val="24"/>
              </w:rPr>
              <w:t>⑥贮存设施或场所、容器和包装物应按HJ 1276要求设置危险废物贮存设施或场所标志、危险废物贮存分区标志和危险废物标签等危险废物识别标志。</w:t>
            </w:r>
          </w:p>
          <w:p w14:paraId="68E60A63">
            <w:pPr>
              <w:adjustRightInd w:val="0"/>
              <w:snapToGrid w:val="0"/>
              <w:spacing w:line="360" w:lineRule="auto"/>
              <w:ind w:firstLine="480" w:firstLineChars="200"/>
              <w:rPr>
                <w:color w:val="000000"/>
                <w:sz w:val="24"/>
              </w:rPr>
            </w:pPr>
            <w:r>
              <w:rPr>
                <w:rFonts w:hint="eastAsia"/>
                <w:color w:val="000000"/>
                <w:sz w:val="24"/>
              </w:rPr>
              <w:t>⑦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5C297252">
            <w:pPr>
              <w:adjustRightInd w:val="0"/>
              <w:snapToGrid w:val="0"/>
              <w:spacing w:line="360" w:lineRule="auto"/>
              <w:ind w:firstLine="480" w:firstLineChars="200"/>
              <w:rPr>
                <w:color w:val="000000"/>
                <w:sz w:val="24"/>
              </w:rPr>
            </w:pPr>
            <w:r>
              <w:rPr>
                <w:rFonts w:hint="eastAsia"/>
                <w:color w:val="000000"/>
                <w:sz w:val="24"/>
              </w:rPr>
              <w:t>⑧在常温常压下易爆、易燃及排出有毒气体的危险废物应进行预处理，使之稳定后贮存，否则应按易爆、易燃危险品贮存。</w:t>
            </w:r>
          </w:p>
          <w:p w14:paraId="3D13A561">
            <w:pPr>
              <w:adjustRightInd w:val="0"/>
              <w:snapToGrid w:val="0"/>
              <w:spacing w:line="360" w:lineRule="auto"/>
              <w:ind w:firstLine="480" w:firstLineChars="200"/>
              <w:rPr>
                <w:color w:val="000000"/>
                <w:sz w:val="24"/>
              </w:rPr>
            </w:pPr>
            <w:r>
              <w:rPr>
                <w:rFonts w:hint="eastAsia"/>
                <w:color w:val="000000"/>
                <w:sz w:val="24"/>
              </w:rPr>
              <w:t>⑨危险废物贮存除应满足环境保护相关要求外，还应执行国家安全生产、职业健康、交通运输、消防等法律法规和标准的相关要求。</w:t>
            </w:r>
          </w:p>
          <w:p w14:paraId="35BC622A">
            <w:pPr>
              <w:adjustRightInd w:val="0"/>
              <w:snapToGrid w:val="0"/>
              <w:spacing w:line="360" w:lineRule="auto"/>
              <w:ind w:firstLine="482" w:firstLineChars="200"/>
              <w:rPr>
                <w:color w:val="000000"/>
                <w:sz w:val="24"/>
              </w:rPr>
            </w:pPr>
            <w:r>
              <w:rPr>
                <w:rFonts w:hint="eastAsia"/>
                <w:b/>
                <w:bCs/>
                <w:color w:val="000000"/>
                <w:sz w:val="24"/>
              </w:rPr>
              <w:t xml:space="preserve"> 贮存设施污染控制要求</w:t>
            </w:r>
            <w:r>
              <w:rPr>
                <w:rFonts w:hint="eastAsia"/>
                <w:color w:val="000000"/>
                <w:sz w:val="24"/>
              </w:rPr>
              <w:t>：</w:t>
            </w:r>
          </w:p>
          <w:p w14:paraId="170EBCA1">
            <w:pPr>
              <w:adjustRightInd w:val="0"/>
              <w:snapToGrid w:val="0"/>
              <w:spacing w:line="360" w:lineRule="auto"/>
              <w:ind w:firstLine="480" w:firstLineChars="200"/>
              <w:rPr>
                <w:color w:val="000000"/>
                <w:sz w:val="24"/>
              </w:rPr>
            </w:pPr>
            <w:r>
              <w:rPr>
                <w:rFonts w:hint="eastAsia"/>
                <w:color w:val="000000"/>
                <w:sz w:val="24"/>
              </w:rPr>
              <w:t>一般规定：</w:t>
            </w:r>
          </w:p>
          <w:p w14:paraId="2B671806">
            <w:pPr>
              <w:adjustRightInd w:val="0"/>
              <w:snapToGrid w:val="0"/>
              <w:spacing w:line="360" w:lineRule="auto"/>
              <w:ind w:firstLine="480" w:firstLineChars="200"/>
              <w:rPr>
                <w:color w:val="000000"/>
                <w:sz w:val="24"/>
              </w:rPr>
            </w:pPr>
            <w:r>
              <w:rPr>
                <w:rFonts w:hint="eastAsia"/>
                <w:color w:val="000000"/>
                <w:sz w:val="24"/>
              </w:rPr>
              <w:t>①贮存设施应根据危险废物的形态、物理化学性质、包装形式和污染物迁移途径，采取必要的防风、防晒、防雨、防漏、防渗、防腐以及其他环境污染防治措施，不应露天堆放危险废物。</w:t>
            </w:r>
          </w:p>
          <w:p w14:paraId="2D11661D">
            <w:pPr>
              <w:adjustRightInd w:val="0"/>
              <w:snapToGrid w:val="0"/>
              <w:spacing w:line="360" w:lineRule="auto"/>
              <w:ind w:firstLine="480" w:firstLineChars="200"/>
              <w:rPr>
                <w:color w:val="000000"/>
                <w:sz w:val="24"/>
              </w:rPr>
            </w:pPr>
            <w:r>
              <w:rPr>
                <w:rFonts w:hint="eastAsia"/>
                <w:color w:val="000000"/>
                <w:sz w:val="24"/>
              </w:rPr>
              <w:t>②贮存设施应根据危险废物的类别、数量、形态、物理化学性质和污染防治等要求设置必要的贮存分区，避免不相容的危险废物接触、混合。</w:t>
            </w:r>
          </w:p>
          <w:p w14:paraId="0F872867">
            <w:pPr>
              <w:adjustRightInd w:val="0"/>
              <w:snapToGrid w:val="0"/>
              <w:spacing w:line="360" w:lineRule="auto"/>
              <w:ind w:firstLine="480" w:firstLineChars="200"/>
              <w:rPr>
                <w:color w:val="000000"/>
                <w:sz w:val="24"/>
              </w:rPr>
            </w:pPr>
            <w:r>
              <w:rPr>
                <w:rFonts w:hint="eastAsia"/>
                <w:color w:val="000000"/>
                <w:sz w:val="24"/>
              </w:rPr>
              <w:t>③贮存设施或贮存分区内地面、墙面裙脚、堵截泄漏的围堰、接触危险废物的隔板和墙体等应采用坚固的材料建造，表面无裂缝。</w:t>
            </w:r>
          </w:p>
          <w:p w14:paraId="4F259DEE">
            <w:pPr>
              <w:adjustRightInd w:val="0"/>
              <w:snapToGrid w:val="0"/>
              <w:spacing w:line="360" w:lineRule="auto"/>
              <w:ind w:firstLine="480" w:firstLineChars="200"/>
              <w:rPr>
                <w:color w:val="000000"/>
                <w:sz w:val="24"/>
              </w:rPr>
            </w:pPr>
            <w:r>
              <w:rPr>
                <w:rFonts w:hint="eastAsia"/>
                <w:color w:val="000000"/>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color w:val="000000"/>
                <w:sz w:val="24"/>
                <w:lang w:eastAsia="zh-CN"/>
              </w:rPr>
              <w:t>～</w:t>
            </w:r>
            <w:r>
              <w:rPr>
                <w:rFonts w:hint="eastAsia"/>
                <w:color w:val="000000"/>
                <w:sz w:val="24"/>
                <w:vertAlign w:val="superscript"/>
              </w:rPr>
              <w:t>7</w:t>
            </w:r>
            <w:r>
              <w:rPr>
                <w:rFonts w:hint="eastAsia"/>
                <w:color w:val="000000"/>
                <w:sz w:val="24"/>
              </w:rPr>
              <w:t>cm/s），或至少2 mm厚高密度聚乙烯膜等人工防渗材料（渗透系数不大于10</w:t>
            </w:r>
            <w:r>
              <w:rPr>
                <w:rFonts w:hint="eastAsia"/>
                <w:color w:val="000000"/>
                <w:sz w:val="24"/>
                <w:lang w:eastAsia="zh-CN"/>
              </w:rPr>
              <w:t>～</w:t>
            </w:r>
            <w:r>
              <w:rPr>
                <w:rFonts w:hint="eastAsia"/>
                <w:color w:val="000000"/>
                <w:sz w:val="24"/>
                <w:vertAlign w:val="superscript"/>
              </w:rPr>
              <w:t>10</w:t>
            </w:r>
            <w:r>
              <w:rPr>
                <w:rFonts w:hint="eastAsia"/>
                <w:color w:val="000000"/>
                <w:sz w:val="24"/>
              </w:rPr>
              <w:t>cm/s），或其他防渗性能等效的材料。</w:t>
            </w:r>
          </w:p>
          <w:p w14:paraId="71289B3C">
            <w:pPr>
              <w:adjustRightInd w:val="0"/>
              <w:snapToGrid w:val="0"/>
              <w:spacing w:line="360" w:lineRule="auto"/>
              <w:ind w:firstLine="480" w:firstLineChars="200"/>
              <w:rPr>
                <w:color w:val="000000"/>
                <w:sz w:val="24"/>
              </w:rPr>
            </w:pPr>
            <w:r>
              <w:rPr>
                <w:rFonts w:hint="eastAsia"/>
                <w:color w:val="000000"/>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3DD83C97">
            <w:pPr>
              <w:adjustRightInd w:val="0"/>
              <w:snapToGrid w:val="0"/>
              <w:spacing w:line="360" w:lineRule="auto"/>
              <w:ind w:firstLine="480" w:firstLineChars="200"/>
              <w:rPr>
                <w:color w:val="000000"/>
                <w:sz w:val="24"/>
              </w:rPr>
            </w:pPr>
            <w:r>
              <w:rPr>
                <w:rFonts w:hint="eastAsia"/>
                <w:color w:val="000000"/>
                <w:sz w:val="24"/>
              </w:rPr>
              <w:t>⑥贮存设施应采取技术和管理措施防止无关人员进入。</w:t>
            </w:r>
          </w:p>
          <w:p w14:paraId="2B9946FF">
            <w:pPr>
              <w:adjustRightInd w:val="0"/>
              <w:snapToGrid w:val="0"/>
              <w:spacing w:line="360" w:lineRule="auto"/>
              <w:ind w:firstLine="482" w:firstLineChars="200"/>
              <w:rPr>
                <w:b/>
                <w:bCs/>
                <w:color w:val="000000"/>
                <w:sz w:val="24"/>
              </w:rPr>
            </w:pPr>
            <w:r>
              <w:rPr>
                <w:rFonts w:hint="eastAsia"/>
                <w:b/>
                <w:bCs/>
                <w:color w:val="000000"/>
                <w:sz w:val="24"/>
              </w:rPr>
              <w:t>容器和包装物污染控制要求：</w:t>
            </w:r>
          </w:p>
          <w:p w14:paraId="32456BD2">
            <w:pPr>
              <w:adjustRightInd w:val="0"/>
              <w:snapToGrid w:val="0"/>
              <w:spacing w:line="360" w:lineRule="auto"/>
              <w:ind w:firstLine="480" w:firstLineChars="200"/>
              <w:rPr>
                <w:color w:val="000000"/>
                <w:sz w:val="24"/>
              </w:rPr>
            </w:pPr>
            <w:r>
              <w:rPr>
                <w:rFonts w:hint="eastAsia"/>
                <w:color w:val="000000"/>
                <w:sz w:val="24"/>
              </w:rPr>
              <w:t>①容器和包装物材质、内衬应与盛装的危险废物相容。</w:t>
            </w:r>
          </w:p>
          <w:p w14:paraId="2C462032">
            <w:pPr>
              <w:adjustRightInd w:val="0"/>
              <w:snapToGrid w:val="0"/>
              <w:spacing w:line="360" w:lineRule="auto"/>
              <w:ind w:firstLine="480" w:firstLineChars="200"/>
              <w:rPr>
                <w:color w:val="000000"/>
                <w:sz w:val="24"/>
              </w:rPr>
            </w:pPr>
            <w:r>
              <w:rPr>
                <w:rFonts w:hint="eastAsia"/>
                <w:color w:val="000000"/>
                <w:sz w:val="24"/>
              </w:rPr>
              <w:t>②针对不同类别、形态、物理化学性质的危险废物，其容器和包装物应满足相应的防渗、防漏、防腐和强度等要求。</w:t>
            </w:r>
          </w:p>
          <w:p w14:paraId="194DEDE4">
            <w:pPr>
              <w:adjustRightInd w:val="0"/>
              <w:snapToGrid w:val="0"/>
              <w:spacing w:line="360" w:lineRule="auto"/>
              <w:ind w:firstLine="480" w:firstLineChars="200"/>
              <w:rPr>
                <w:color w:val="000000"/>
                <w:sz w:val="24"/>
              </w:rPr>
            </w:pPr>
            <w:r>
              <w:rPr>
                <w:rFonts w:hint="eastAsia"/>
                <w:color w:val="000000"/>
                <w:sz w:val="24"/>
              </w:rPr>
              <w:t>③硬质容器和包装物及其支护结构堆叠码放时不应有明显变形，无破损泄漏。</w:t>
            </w:r>
          </w:p>
          <w:p w14:paraId="5DAC017E">
            <w:pPr>
              <w:adjustRightInd w:val="0"/>
              <w:snapToGrid w:val="0"/>
              <w:spacing w:line="360" w:lineRule="auto"/>
              <w:ind w:firstLine="480" w:firstLineChars="200"/>
              <w:rPr>
                <w:color w:val="000000"/>
                <w:sz w:val="24"/>
              </w:rPr>
            </w:pPr>
            <w:r>
              <w:rPr>
                <w:rFonts w:hint="eastAsia"/>
                <w:color w:val="000000"/>
                <w:sz w:val="24"/>
              </w:rPr>
              <w:t>④柔性容器和包装物堆叠码放时应封口严密，无破损泄漏。</w:t>
            </w:r>
          </w:p>
          <w:p w14:paraId="2AC22B6C">
            <w:pPr>
              <w:adjustRightInd w:val="0"/>
              <w:snapToGrid w:val="0"/>
              <w:spacing w:line="360" w:lineRule="auto"/>
              <w:ind w:firstLine="480" w:firstLineChars="200"/>
              <w:rPr>
                <w:color w:val="000000"/>
                <w:sz w:val="24"/>
              </w:rPr>
            </w:pPr>
            <w:r>
              <w:rPr>
                <w:rFonts w:hint="eastAsia"/>
                <w:color w:val="000000"/>
                <w:sz w:val="24"/>
              </w:rPr>
              <w:t>⑤使用容器盛装液态、半固态危险废物时，容器内部应留有适当的空间，以适应因温度变化等可能引发的收缩和膨胀，防止其导致容器渗漏或永久变形。</w:t>
            </w:r>
          </w:p>
          <w:p w14:paraId="7608903E">
            <w:pPr>
              <w:adjustRightInd w:val="0"/>
              <w:snapToGrid w:val="0"/>
              <w:spacing w:line="360" w:lineRule="auto"/>
              <w:ind w:firstLine="480" w:firstLineChars="200"/>
              <w:rPr>
                <w:color w:val="000000"/>
                <w:sz w:val="24"/>
              </w:rPr>
            </w:pPr>
            <w:r>
              <w:rPr>
                <w:rFonts w:hint="eastAsia"/>
                <w:color w:val="000000"/>
                <w:sz w:val="24"/>
              </w:rPr>
              <w:t>⑥容器和包装物外表面应保持清洁。</w:t>
            </w:r>
          </w:p>
          <w:p w14:paraId="41929BB3">
            <w:pPr>
              <w:adjustRightInd w:val="0"/>
              <w:snapToGrid w:val="0"/>
              <w:spacing w:line="360" w:lineRule="auto"/>
              <w:ind w:firstLine="482" w:firstLineChars="200"/>
              <w:rPr>
                <w:b/>
                <w:bCs/>
                <w:color w:val="000000"/>
                <w:sz w:val="24"/>
              </w:rPr>
            </w:pPr>
            <w:r>
              <w:rPr>
                <w:rFonts w:hint="eastAsia"/>
                <w:b/>
                <w:bCs/>
                <w:color w:val="000000"/>
                <w:sz w:val="24"/>
              </w:rPr>
              <w:t>贮存过程污染防治要求：</w:t>
            </w:r>
          </w:p>
          <w:p w14:paraId="306C0190">
            <w:pPr>
              <w:adjustRightInd w:val="0"/>
              <w:snapToGrid w:val="0"/>
              <w:spacing w:line="360" w:lineRule="auto"/>
              <w:ind w:firstLine="480" w:firstLineChars="200"/>
              <w:rPr>
                <w:color w:val="000000"/>
                <w:sz w:val="24"/>
              </w:rPr>
            </w:pPr>
            <w:r>
              <w:rPr>
                <w:rFonts w:hint="eastAsia"/>
                <w:color w:val="000000"/>
                <w:sz w:val="24"/>
              </w:rPr>
              <w:t>一般规定：</w:t>
            </w:r>
          </w:p>
          <w:p w14:paraId="3A84BB7E">
            <w:pPr>
              <w:adjustRightInd w:val="0"/>
              <w:snapToGrid w:val="0"/>
              <w:spacing w:line="360" w:lineRule="auto"/>
              <w:ind w:firstLine="480" w:firstLineChars="200"/>
              <w:rPr>
                <w:color w:val="000000"/>
                <w:sz w:val="24"/>
              </w:rPr>
            </w:pPr>
            <w:r>
              <w:rPr>
                <w:rFonts w:hint="eastAsia"/>
                <w:color w:val="000000"/>
                <w:sz w:val="24"/>
              </w:rPr>
              <w:t>①在常温常压下不易水解、不易挥发的固态危险废物可分类堆放贮存，其他固态危险废物应装入容器或包装物内贮存。</w:t>
            </w:r>
          </w:p>
          <w:p w14:paraId="1119A3DF">
            <w:pPr>
              <w:adjustRightInd w:val="0"/>
              <w:snapToGrid w:val="0"/>
              <w:spacing w:line="360" w:lineRule="auto"/>
              <w:ind w:firstLine="480" w:firstLineChars="200"/>
              <w:rPr>
                <w:color w:val="000000"/>
                <w:sz w:val="24"/>
              </w:rPr>
            </w:pPr>
            <w:r>
              <w:rPr>
                <w:rFonts w:hint="eastAsia"/>
                <w:color w:val="000000"/>
                <w:sz w:val="24"/>
              </w:rPr>
              <w:t>②液态危险废物应装入容器内贮存，或直接采用贮存池、贮存罐区贮存。</w:t>
            </w:r>
          </w:p>
          <w:p w14:paraId="1FB06659">
            <w:pPr>
              <w:adjustRightInd w:val="0"/>
              <w:snapToGrid w:val="0"/>
              <w:spacing w:line="360" w:lineRule="auto"/>
              <w:ind w:firstLine="480" w:firstLineChars="200"/>
              <w:rPr>
                <w:color w:val="000000"/>
                <w:sz w:val="24"/>
              </w:rPr>
            </w:pPr>
            <w:r>
              <w:rPr>
                <w:rFonts w:hint="eastAsia"/>
                <w:color w:val="000000"/>
                <w:sz w:val="24"/>
              </w:rPr>
              <w:t>③半固态危险废物应装入容器或包装袋内贮存，或直接采用贮存池贮存。</w:t>
            </w:r>
          </w:p>
          <w:p w14:paraId="4D5330FC">
            <w:pPr>
              <w:adjustRightInd w:val="0"/>
              <w:snapToGrid w:val="0"/>
              <w:spacing w:line="360" w:lineRule="auto"/>
              <w:ind w:firstLine="480" w:firstLineChars="200"/>
              <w:rPr>
                <w:color w:val="000000"/>
                <w:sz w:val="24"/>
              </w:rPr>
            </w:pPr>
            <w:r>
              <w:rPr>
                <w:rFonts w:hint="eastAsia"/>
                <w:color w:val="000000"/>
                <w:sz w:val="24"/>
              </w:rPr>
              <w:t>④具有热塑性的危险废物应装入容器或包装袋内进行贮存。</w:t>
            </w:r>
          </w:p>
          <w:p w14:paraId="0B8B066C">
            <w:pPr>
              <w:adjustRightInd w:val="0"/>
              <w:snapToGrid w:val="0"/>
              <w:spacing w:line="360" w:lineRule="auto"/>
              <w:ind w:firstLine="480" w:firstLineChars="200"/>
              <w:rPr>
                <w:color w:val="000000"/>
                <w:sz w:val="24"/>
              </w:rPr>
            </w:pPr>
            <w:r>
              <w:rPr>
                <w:rFonts w:hint="eastAsia"/>
                <w:color w:val="000000"/>
                <w:sz w:val="24"/>
              </w:rPr>
              <w:t>⑤易产生粉尘、VOCs、酸雾、有毒有害大气污染物和刺激性气味气体的危险废物应装入闭口容器或包装物内贮存。</w:t>
            </w:r>
          </w:p>
          <w:p w14:paraId="6F820CA9">
            <w:pPr>
              <w:adjustRightInd w:val="0"/>
              <w:snapToGrid w:val="0"/>
              <w:spacing w:line="360" w:lineRule="auto"/>
              <w:ind w:firstLine="480" w:firstLineChars="200"/>
              <w:rPr>
                <w:color w:val="000000"/>
                <w:sz w:val="24"/>
              </w:rPr>
            </w:pPr>
            <w:r>
              <w:rPr>
                <w:rFonts w:hint="eastAsia"/>
                <w:color w:val="000000"/>
                <w:sz w:val="24"/>
              </w:rPr>
              <w:t>⑥危险废物贮存过程中易产生粉尘等无组织排放的，应采取抑尘等有效措施。</w:t>
            </w:r>
          </w:p>
          <w:p w14:paraId="6B2CAEC5">
            <w:pPr>
              <w:adjustRightInd w:val="0"/>
              <w:snapToGrid w:val="0"/>
              <w:spacing w:line="360" w:lineRule="auto"/>
              <w:ind w:firstLine="482" w:firstLineChars="200"/>
              <w:rPr>
                <w:b/>
                <w:bCs/>
                <w:color w:val="000000"/>
                <w:sz w:val="24"/>
              </w:rPr>
            </w:pPr>
            <w:r>
              <w:rPr>
                <w:b/>
                <w:bCs/>
                <w:color w:val="000000"/>
                <w:sz w:val="24"/>
              </w:rPr>
              <w:t>贮存</w:t>
            </w:r>
            <w:r>
              <w:rPr>
                <w:rFonts w:hint="eastAsia"/>
                <w:b/>
                <w:bCs/>
                <w:color w:val="000000"/>
                <w:sz w:val="24"/>
              </w:rPr>
              <w:t>店</w:t>
            </w:r>
            <w:r>
              <w:rPr>
                <w:b/>
                <w:bCs/>
                <w:color w:val="000000"/>
                <w:sz w:val="24"/>
              </w:rPr>
              <w:t>运行环境管理要求：</w:t>
            </w:r>
          </w:p>
          <w:p w14:paraId="2C39B3AE">
            <w:pPr>
              <w:adjustRightInd w:val="0"/>
              <w:snapToGrid w:val="0"/>
              <w:spacing w:line="360" w:lineRule="auto"/>
              <w:ind w:firstLine="480" w:firstLineChars="200"/>
              <w:rPr>
                <w:color w:val="000000"/>
                <w:sz w:val="24"/>
              </w:rPr>
            </w:pPr>
            <w:r>
              <w:rPr>
                <w:color w:val="000000"/>
                <w:sz w:val="24"/>
              </w:rPr>
              <w:t>①贮存点应具有固定的区域边界，并应采取与其他区域进行隔离的措施；</w:t>
            </w:r>
          </w:p>
          <w:p w14:paraId="3CAED448">
            <w:pPr>
              <w:adjustRightInd w:val="0"/>
              <w:snapToGrid w:val="0"/>
              <w:spacing w:line="360" w:lineRule="auto"/>
              <w:ind w:firstLine="480" w:firstLineChars="200"/>
              <w:rPr>
                <w:color w:val="000000"/>
                <w:sz w:val="24"/>
              </w:rPr>
            </w:pPr>
            <w:r>
              <w:rPr>
                <w:color w:val="000000"/>
                <w:sz w:val="24"/>
              </w:rPr>
              <w:t>②贮存点应采取防风、防雨、防晒和防止危险废物流失、扬散等措施；</w:t>
            </w:r>
          </w:p>
          <w:p w14:paraId="1A129F3B">
            <w:pPr>
              <w:adjustRightInd w:val="0"/>
              <w:snapToGrid w:val="0"/>
              <w:spacing w:line="360" w:lineRule="auto"/>
              <w:ind w:firstLine="480" w:firstLineChars="200"/>
              <w:rPr>
                <w:color w:val="000000"/>
                <w:sz w:val="24"/>
              </w:rPr>
            </w:pPr>
            <w:r>
              <w:rPr>
                <w:color w:val="000000"/>
                <w:sz w:val="24"/>
              </w:rPr>
              <w:t>③贮存点贮存的危险废物应置于容器或包装物中，不应直接散堆；</w:t>
            </w:r>
          </w:p>
          <w:p w14:paraId="57736270">
            <w:pPr>
              <w:adjustRightInd w:val="0"/>
              <w:snapToGrid w:val="0"/>
              <w:spacing w:line="360" w:lineRule="auto"/>
              <w:ind w:firstLine="480" w:firstLineChars="200"/>
              <w:rPr>
                <w:color w:val="000000"/>
                <w:sz w:val="24"/>
              </w:rPr>
            </w:pPr>
            <w:r>
              <w:rPr>
                <w:color w:val="000000"/>
                <w:sz w:val="24"/>
              </w:rPr>
              <w:t xml:space="preserve">④贮存点应根据危险废物的形态、物理化学性质、包装形式等，采取防渗、防漏等污染防治措施或采用具有相应功能的装置。 </w:t>
            </w:r>
          </w:p>
          <w:p w14:paraId="009451E3">
            <w:pPr>
              <w:adjustRightInd w:val="0"/>
              <w:snapToGrid w:val="0"/>
              <w:spacing w:line="360" w:lineRule="auto"/>
              <w:ind w:firstLine="480" w:firstLineChars="200"/>
              <w:rPr>
                <w:color w:val="000000"/>
                <w:sz w:val="24"/>
              </w:rPr>
            </w:pPr>
            <w:r>
              <w:rPr>
                <w:color w:val="000000"/>
                <w:sz w:val="24"/>
              </w:rPr>
              <w:t>⑤贮存点应及时清运贮</w:t>
            </w:r>
            <w:r>
              <w:rPr>
                <w:rFonts w:hint="eastAsia"/>
                <w:color w:val="000000"/>
                <w:sz w:val="24"/>
              </w:rPr>
              <w:t>存的危险废物，实时贮存量不应超过3吨</w:t>
            </w:r>
            <w:r>
              <w:rPr>
                <w:rFonts w:ascii="宋体" w:hAnsi="宋体" w:cs="宋体"/>
                <w:sz w:val="24"/>
              </w:rPr>
              <w:t>。</w:t>
            </w:r>
          </w:p>
          <w:p w14:paraId="551613DB">
            <w:pPr>
              <w:adjustRightInd w:val="0"/>
              <w:snapToGrid w:val="0"/>
              <w:spacing w:line="360" w:lineRule="auto"/>
              <w:ind w:firstLine="482" w:firstLineChars="200"/>
              <w:rPr>
                <w:b/>
                <w:bCs/>
                <w:color w:val="000000"/>
                <w:sz w:val="24"/>
              </w:rPr>
            </w:pPr>
            <w:r>
              <w:rPr>
                <w:rFonts w:hint="eastAsia"/>
                <w:b/>
                <w:bCs/>
                <w:color w:val="000000"/>
                <w:sz w:val="24"/>
              </w:rPr>
              <w:t>危险废物管理计划制定要求：</w:t>
            </w:r>
          </w:p>
          <w:p w14:paraId="4B04A0B6">
            <w:pPr>
              <w:adjustRightInd w:val="0"/>
              <w:snapToGrid w:val="0"/>
              <w:spacing w:line="360" w:lineRule="auto"/>
              <w:ind w:firstLine="480" w:firstLineChars="200"/>
              <w:rPr>
                <w:color w:val="000000"/>
                <w:sz w:val="24"/>
              </w:rPr>
            </w:pPr>
            <w:r>
              <w:rPr>
                <w:rFonts w:hint="eastAsia"/>
                <w:color w:val="000000"/>
                <w:sz w:val="24"/>
              </w:rPr>
              <w:t>根据《危险废物管理计划和管理台账制定技术导则》（HJ1259-2022）规定：危险废物登记管理单位的管理计划制定内容应包括单位基本信息、危险废物产生情况信息、危险废物转移情况信息。</w:t>
            </w:r>
          </w:p>
          <w:p w14:paraId="0B96377E">
            <w:pPr>
              <w:adjustRightInd w:val="0"/>
              <w:snapToGrid w:val="0"/>
              <w:spacing w:line="360" w:lineRule="auto"/>
              <w:ind w:firstLine="482" w:firstLineChars="200"/>
              <w:rPr>
                <w:b/>
                <w:bCs/>
                <w:color w:val="000000"/>
                <w:sz w:val="24"/>
              </w:rPr>
            </w:pPr>
            <w:r>
              <w:rPr>
                <w:rFonts w:hint="eastAsia"/>
                <w:b/>
                <w:bCs/>
                <w:color w:val="000000"/>
                <w:sz w:val="24"/>
              </w:rPr>
              <w:t>危险废物管理台账制定要求：</w:t>
            </w:r>
          </w:p>
          <w:p w14:paraId="1CDB9A4B">
            <w:pPr>
              <w:adjustRightInd w:val="0"/>
              <w:snapToGrid w:val="0"/>
              <w:spacing w:line="360" w:lineRule="auto"/>
              <w:ind w:firstLine="480" w:firstLineChars="200"/>
              <w:rPr>
                <w:color w:val="000000"/>
                <w:sz w:val="24"/>
              </w:rPr>
            </w:pPr>
            <w:r>
              <w:rPr>
                <w:rFonts w:hint="eastAsia"/>
                <w:color w:val="000000"/>
                <w:sz w:val="24"/>
              </w:rPr>
              <w:t>根据《危险废物管理计划和管理台账制定技术导则》（HJ1259-2022）规定：</w:t>
            </w:r>
          </w:p>
          <w:p w14:paraId="2FBAE798">
            <w:pPr>
              <w:adjustRightInd w:val="0"/>
              <w:snapToGrid w:val="0"/>
              <w:spacing w:line="360" w:lineRule="auto"/>
              <w:ind w:firstLine="480" w:firstLineChars="200"/>
              <w:rPr>
                <w:color w:val="000000"/>
                <w:sz w:val="24"/>
              </w:rPr>
            </w:pPr>
            <w:r>
              <w:rPr>
                <w:rFonts w:hint="eastAsia"/>
                <w:color w:val="000000"/>
                <w:sz w:val="24"/>
              </w:rPr>
              <w:t>①产生危险废物的单位应建立危险废物管理台账，落实危险废物台账记录的责任人，明确工作职责，并对危险废物管理台账的真实性、准确性和完整性负法律责任。</w:t>
            </w:r>
          </w:p>
          <w:p w14:paraId="30537C79">
            <w:pPr>
              <w:adjustRightInd w:val="0"/>
              <w:snapToGrid w:val="0"/>
              <w:spacing w:line="360" w:lineRule="auto"/>
              <w:ind w:firstLine="480" w:firstLineChars="200"/>
              <w:rPr>
                <w:color w:val="000000"/>
                <w:sz w:val="24"/>
              </w:rPr>
            </w:pPr>
            <w:r>
              <w:rPr>
                <w:rFonts w:hint="eastAsia"/>
                <w:color w:val="000000"/>
                <w:sz w:val="24"/>
              </w:rPr>
              <w:t>②产生危险废物的单位应根据危险废物产生、贮存、利用、处置等环节的动态流向，如实建立各环节的危险废物管理台账，记录内容参见附录B。</w:t>
            </w:r>
          </w:p>
          <w:p w14:paraId="0DDB0806">
            <w:pPr>
              <w:adjustRightInd w:val="0"/>
              <w:snapToGrid w:val="0"/>
              <w:spacing w:line="360" w:lineRule="auto"/>
              <w:ind w:firstLine="480" w:firstLineChars="200"/>
              <w:rPr>
                <w:color w:val="000000"/>
                <w:sz w:val="24"/>
              </w:rPr>
            </w:pPr>
            <w:r>
              <w:rPr>
                <w:rFonts w:hint="eastAsia"/>
                <w:color w:val="000000"/>
                <w:sz w:val="24"/>
              </w:rPr>
              <w:t>③危险废物管理台账分为电子管理台账和纸质管理台账两种形式。产生危险废物的单位可通过国家危险废物信息管理系统、企业自建信息管理系统或第三方平台等方式记录电子管理台账。</w:t>
            </w:r>
          </w:p>
          <w:p w14:paraId="26CF8E65">
            <w:pPr>
              <w:adjustRightInd w:val="0"/>
              <w:snapToGrid w:val="0"/>
              <w:spacing w:line="360" w:lineRule="auto"/>
              <w:ind w:firstLine="480" w:firstLineChars="200"/>
              <w:rPr>
                <w:color w:val="000000"/>
                <w:sz w:val="24"/>
              </w:rPr>
            </w:pPr>
            <w:r>
              <w:rPr>
                <w:rFonts w:hint="eastAsia"/>
                <w:color w:val="000000"/>
                <w:sz w:val="24"/>
              </w:rPr>
              <w:t>④保存时间原则上应存档5年以上。</w:t>
            </w:r>
          </w:p>
          <w:p w14:paraId="039685B9">
            <w:pPr>
              <w:adjustRightInd w:val="0"/>
              <w:snapToGrid w:val="0"/>
              <w:spacing w:line="360" w:lineRule="auto"/>
              <w:ind w:firstLine="482" w:firstLineChars="200"/>
              <w:rPr>
                <w:b/>
                <w:bCs/>
                <w:color w:val="000000"/>
                <w:sz w:val="24"/>
              </w:rPr>
            </w:pPr>
            <w:r>
              <w:rPr>
                <w:rFonts w:hint="eastAsia"/>
                <w:b/>
                <w:bCs/>
                <w:color w:val="000000"/>
                <w:sz w:val="24"/>
              </w:rPr>
              <w:t>危险废物的交接：</w:t>
            </w:r>
          </w:p>
          <w:p w14:paraId="4094B331">
            <w:pPr>
              <w:adjustRightInd w:val="0"/>
              <w:snapToGrid w:val="0"/>
              <w:spacing w:line="360" w:lineRule="auto"/>
              <w:ind w:firstLine="480" w:firstLineChars="200"/>
              <w:rPr>
                <w:color w:val="000000"/>
                <w:sz w:val="24"/>
              </w:rPr>
            </w:pPr>
            <w:r>
              <w:rPr>
                <w:rFonts w:hint="eastAsia"/>
                <w:color w:val="000000"/>
                <w:sz w:val="24"/>
              </w:rPr>
              <w:t>①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5年。</w:t>
            </w:r>
          </w:p>
          <w:p w14:paraId="23AB465B">
            <w:pPr>
              <w:adjustRightInd w:val="0"/>
              <w:snapToGrid w:val="0"/>
              <w:spacing w:line="360" w:lineRule="auto"/>
              <w:ind w:firstLine="480" w:firstLineChars="200"/>
              <w:rPr>
                <w:color w:val="000000"/>
                <w:sz w:val="24"/>
              </w:rPr>
            </w:pPr>
            <w:r>
              <w:rPr>
                <w:rFonts w:hint="eastAsia"/>
                <w:color w:val="000000"/>
                <w:sz w:val="24"/>
              </w:rPr>
              <w:t>②每车每次运送的危险废物采用《危险废物运送登记卡》管理，一车一卡，由危险废物管理人员交接时填写并签字。当危险废物运至处置单位时，处置厂接收人员确认该登记卡上填写的危险废物数量真实、准确后签收。</w:t>
            </w:r>
          </w:p>
          <w:p w14:paraId="7CB6C594">
            <w:pPr>
              <w:adjustRightInd w:val="0"/>
              <w:snapToGrid w:val="0"/>
              <w:spacing w:line="360" w:lineRule="auto"/>
              <w:ind w:firstLine="482" w:firstLineChars="200"/>
              <w:rPr>
                <w:b/>
                <w:bCs/>
                <w:color w:val="000000"/>
                <w:sz w:val="24"/>
              </w:rPr>
            </w:pPr>
            <w:r>
              <w:rPr>
                <w:rFonts w:hint="eastAsia"/>
                <w:b/>
                <w:bCs/>
                <w:color w:val="000000"/>
                <w:sz w:val="24"/>
              </w:rPr>
              <w:t>危险废物的运送：</w:t>
            </w:r>
          </w:p>
          <w:p w14:paraId="0AC6CBA2">
            <w:pPr>
              <w:adjustRightInd w:val="0"/>
              <w:snapToGrid w:val="0"/>
              <w:spacing w:line="360" w:lineRule="auto"/>
              <w:ind w:firstLine="480" w:firstLineChars="200"/>
              <w:rPr>
                <w:color w:val="000000"/>
                <w:sz w:val="24"/>
              </w:rPr>
            </w:pPr>
            <w:r>
              <w:rPr>
                <w:rFonts w:hint="eastAsia"/>
                <w:color w:val="000000"/>
                <w:sz w:val="24"/>
              </w:rPr>
              <w:t>①本项目危险废物由处置单位专用车辆定期运送到相应处置单位。危险废物转运车应符合相关要求。</w:t>
            </w:r>
          </w:p>
          <w:p w14:paraId="077ECBEA">
            <w:pPr>
              <w:adjustRightInd w:val="0"/>
              <w:snapToGrid w:val="0"/>
              <w:spacing w:line="360" w:lineRule="auto"/>
              <w:ind w:firstLine="480" w:firstLineChars="200"/>
              <w:rPr>
                <w:color w:val="000000"/>
                <w:sz w:val="24"/>
              </w:rPr>
            </w:pPr>
            <w:r>
              <w:rPr>
                <w:rFonts w:hint="eastAsia"/>
                <w:color w:val="000000"/>
                <w:sz w:val="24"/>
              </w:rPr>
              <w:t>②运送路线应尽量避开人口密集区域和交通拥堵道路。驾驶室与货箱完全隔开，以保证驾驶人员的安全。</w:t>
            </w:r>
          </w:p>
          <w:p w14:paraId="26617D1E">
            <w:pPr>
              <w:adjustRightInd w:val="0"/>
              <w:snapToGrid w:val="0"/>
              <w:spacing w:line="360" w:lineRule="auto"/>
              <w:ind w:firstLine="480" w:firstLineChars="200"/>
              <w:rPr>
                <w:color w:val="000000"/>
                <w:sz w:val="24"/>
              </w:rPr>
            </w:pPr>
            <w:r>
              <w:rPr>
                <w:rFonts w:hint="eastAsia"/>
                <w:color w:val="000000"/>
                <w:sz w:val="24"/>
              </w:rPr>
              <w:t>③车厢应经防渗处理，在装载货物时，即使车厢内部有液体，也不会渗漏到厢体和外部环境中；车厢底部应设置具有良好气密性的排水孔，在清洗车厢内部时，能够有效收集和排出污水，不可使清洗污水直接漫流到外部环境中；正常运输使用时应具有良好气密性。</w:t>
            </w:r>
          </w:p>
          <w:p w14:paraId="0509A8B7">
            <w:pPr>
              <w:adjustRightInd w:val="0"/>
              <w:snapToGrid w:val="0"/>
              <w:spacing w:line="360" w:lineRule="auto"/>
              <w:ind w:firstLine="480" w:firstLineChars="200"/>
              <w:rPr>
                <w:color w:val="000000"/>
                <w:sz w:val="24"/>
              </w:rPr>
            </w:pPr>
            <w:r>
              <w:rPr>
                <w:rFonts w:hint="eastAsia"/>
                <w:color w:val="000000"/>
                <w:sz w:val="24"/>
              </w:rPr>
              <w:t>④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5E9A2C86">
            <w:pPr>
              <w:adjustRightInd w:val="0"/>
              <w:snapToGrid w:val="0"/>
              <w:spacing w:line="360" w:lineRule="auto"/>
              <w:ind w:firstLine="480" w:firstLineChars="200"/>
              <w:rPr>
                <w:color w:val="000000"/>
                <w:sz w:val="24"/>
              </w:rPr>
            </w:pPr>
            <w:r>
              <w:rPr>
                <w:rFonts w:hint="eastAsia"/>
                <w:color w:val="000000"/>
                <w:sz w:val="24"/>
              </w:rPr>
              <w:t>⑤危险废物转运车应在明显部位固定产品标牌。危险废物转运车应在车辆的前部、后部及车厢两侧喷涂警示性标志；驾驶室两侧应标明危险废物处置转运单位名称。</w:t>
            </w:r>
          </w:p>
          <w:p w14:paraId="5BAB0BC9">
            <w:pPr>
              <w:widowControl/>
              <w:spacing w:line="360" w:lineRule="auto"/>
              <w:jc w:val="left"/>
              <w:rPr>
                <w:b/>
                <w:bCs/>
                <w:color w:val="000000"/>
                <w:kern w:val="0"/>
                <w:sz w:val="24"/>
                <w:lang w:bidi="ar"/>
              </w:rPr>
            </w:pPr>
            <w:r>
              <w:rPr>
                <w:rFonts w:hint="eastAsia"/>
                <w:b/>
                <w:bCs/>
                <w:color w:val="000000"/>
                <w:kern w:val="0"/>
                <w:sz w:val="24"/>
                <w:lang w:bidi="ar"/>
              </w:rPr>
              <w:t>五、</w:t>
            </w:r>
            <w:r>
              <w:rPr>
                <w:b/>
                <w:bCs/>
                <w:sz w:val="24"/>
              </w:rPr>
              <w:t>地下水、土壤污染及防治措施</w:t>
            </w:r>
          </w:p>
          <w:p w14:paraId="4BF00891">
            <w:pPr>
              <w:adjustRightInd w:val="0"/>
              <w:snapToGrid w:val="0"/>
              <w:spacing w:line="360" w:lineRule="auto"/>
              <w:ind w:firstLine="480" w:firstLineChars="200"/>
              <w:rPr>
                <w:color w:val="000000"/>
                <w:sz w:val="24"/>
              </w:rPr>
            </w:pPr>
            <w:r>
              <w:rPr>
                <w:rFonts w:hint="eastAsia"/>
                <w:color w:val="000000"/>
                <w:sz w:val="24"/>
              </w:rPr>
              <w:t>为了降低本项目对地下水和土壤环境造成的影响，项目应严格执行《中华人民共和国水污染防治法》的相关规定，按照“源头控制、分区防治、污染监控、应急响应”的原则进行地下水污染防治控制，项目对地下水/土壤的潜在污染可能来自项目化粪池、污水处理构筑物、发电机房、压缩车间、危废贮存点、维保房、初期雨水收集池、发电机房等。本次评价按简单防渗区、一般防渗区、重点防渗区设计考虑控制措施，采取不同等级的防渗措施，防止事故情况下液体漫流。项目采取防渗措施见下表。</w:t>
            </w:r>
          </w:p>
          <w:p w14:paraId="528587C1">
            <w:pPr>
              <w:jc w:val="center"/>
              <w:rPr>
                <w:b/>
                <w:bCs/>
                <w:szCs w:val="21"/>
              </w:rPr>
            </w:pPr>
            <w:r>
              <w:rPr>
                <w:b/>
                <w:bCs/>
                <w:szCs w:val="21"/>
              </w:rPr>
              <w:t>表4-</w:t>
            </w:r>
            <w:r>
              <w:rPr>
                <w:rFonts w:hint="eastAsia"/>
                <w:b/>
                <w:bCs/>
                <w:szCs w:val="21"/>
              </w:rPr>
              <w:t xml:space="preserve">24  </w:t>
            </w:r>
            <w:r>
              <w:rPr>
                <w:b/>
                <w:bCs/>
                <w:szCs w:val="21"/>
              </w:rPr>
              <w:t>分区防渗一览表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794"/>
              <w:gridCol w:w="2765"/>
              <w:gridCol w:w="1994"/>
            </w:tblGrid>
            <w:tr w14:paraId="5C04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14:paraId="67B5D239">
                  <w:pPr>
                    <w:adjustRightInd w:val="0"/>
                    <w:snapToGrid w:val="0"/>
                    <w:spacing w:line="300" w:lineRule="auto"/>
                    <w:jc w:val="center"/>
                    <w:rPr>
                      <w:b/>
                      <w:bCs/>
                      <w:kern w:val="0"/>
                      <w:szCs w:val="21"/>
                    </w:rPr>
                  </w:pPr>
                  <w:r>
                    <w:rPr>
                      <w:rFonts w:hint="eastAsia"/>
                      <w:b/>
                      <w:bCs/>
                      <w:kern w:val="0"/>
                      <w:szCs w:val="21"/>
                    </w:rPr>
                    <w:t>防渗区分类</w:t>
                  </w:r>
                </w:p>
              </w:tc>
              <w:tc>
                <w:tcPr>
                  <w:tcW w:w="1648" w:type="pct"/>
                  <w:tcBorders>
                    <w:tl2br w:val="nil"/>
                    <w:tr2bl w:val="nil"/>
                  </w:tcBorders>
                  <w:vAlign w:val="center"/>
                </w:tcPr>
                <w:p w14:paraId="454ED01D">
                  <w:pPr>
                    <w:adjustRightInd w:val="0"/>
                    <w:snapToGrid w:val="0"/>
                    <w:spacing w:line="300" w:lineRule="auto"/>
                    <w:jc w:val="center"/>
                    <w:rPr>
                      <w:b/>
                      <w:bCs/>
                      <w:kern w:val="0"/>
                      <w:szCs w:val="21"/>
                    </w:rPr>
                  </w:pPr>
                  <w:r>
                    <w:rPr>
                      <w:rFonts w:hint="eastAsia"/>
                      <w:b/>
                      <w:bCs/>
                      <w:kern w:val="0"/>
                      <w:szCs w:val="21"/>
                    </w:rPr>
                    <w:t>防渗区域</w:t>
                  </w:r>
                </w:p>
              </w:tc>
              <w:tc>
                <w:tcPr>
                  <w:tcW w:w="1631" w:type="pct"/>
                  <w:tcBorders>
                    <w:tl2br w:val="nil"/>
                    <w:tr2bl w:val="nil"/>
                  </w:tcBorders>
                  <w:vAlign w:val="center"/>
                </w:tcPr>
                <w:p w14:paraId="7B92C897">
                  <w:pPr>
                    <w:adjustRightInd w:val="0"/>
                    <w:snapToGrid w:val="0"/>
                    <w:spacing w:line="300" w:lineRule="auto"/>
                    <w:jc w:val="center"/>
                    <w:rPr>
                      <w:b/>
                      <w:bCs/>
                      <w:kern w:val="0"/>
                      <w:szCs w:val="21"/>
                    </w:rPr>
                  </w:pPr>
                  <w:r>
                    <w:rPr>
                      <w:rFonts w:hint="eastAsia"/>
                      <w:b/>
                      <w:bCs/>
                      <w:kern w:val="0"/>
                      <w:szCs w:val="21"/>
                    </w:rPr>
                    <w:t>拟采取的措施</w:t>
                  </w:r>
                </w:p>
              </w:tc>
              <w:tc>
                <w:tcPr>
                  <w:tcW w:w="1176" w:type="pct"/>
                  <w:tcBorders>
                    <w:tl2br w:val="nil"/>
                    <w:tr2bl w:val="nil"/>
                  </w:tcBorders>
                  <w:vAlign w:val="center"/>
                </w:tcPr>
                <w:p w14:paraId="492643D0">
                  <w:pPr>
                    <w:adjustRightInd w:val="0"/>
                    <w:snapToGrid w:val="0"/>
                    <w:spacing w:line="300" w:lineRule="auto"/>
                    <w:jc w:val="center"/>
                    <w:rPr>
                      <w:b/>
                      <w:bCs/>
                      <w:kern w:val="0"/>
                      <w:szCs w:val="21"/>
                    </w:rPr>
                  </w:pPr>
                  <w:r>
                    <w:rPr>
                      <w:rFonts w:hint="eastAsia"/>
                      <w:b/>
                      <w:bCs/>
                      <w:kern w:val="0"/>
                      <w:szCs w:val="21"/>
                    </w:rPr>
                    <w:t>防渗技术要求</w:t>
                  </w:r>
                </w:p>
              </w:tc>
            </w:tr>
            <w:tr w14:paraId="7571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Merge w:val="restart"/>
                  <w:tcBorders>
                    <w:tl2br w:val="nil"/>
                    <w:tr2bl w:val="nil"/>
                  </w:tcBorders>
                  <w:vAlign w:val="center"/>
                </w:tcPr>
                <w:p w14:paraId="2EC6E82D">
                  <w:pPr>
                    <w:adjustRightInd w:val="0"/>
                    <w:snapToGrid w:val="0"/>
                    <w:spacing w:line="300" w:lineRule="auto"/>
                    <w:jc w:val="center"/>
                    <w:rPr>
                      <w:kern w:val="0"/>
                      <w:szCs w:val="21"/>
                    </w:rPr>
                  </w:pPr>
                  <w:r>
                    <w:rPr>
                      <w:rFonts w:hint="eastAsia"/>
                      <w:kern w:val="0"/>
                      <w:szCs w:val="21"/>
                    </w:rPr>
                    <w:t>重点防渗区</w:t>
                  </w:r>
                </w:p>
              </w:tc>
              <w:tc>
                <w:tcPr>
                  <w:tcW w:w="1648" w:type="pct"/>
                  <w:tcBorders>
                    <w:tl2br w:val="nil"/>
                    <w:tr2bl w:val="nil"/>
                  </w:tcBorders>
                  <w:vAlign w:val="center"/>
                </w:tcPr>
                <w:p w14:paraId="1FC5DC98">
                  <w:pPr>
                    <w:adjustRightInd w:val="0"/>
                    <w:snapToGrid w:val="0"/>
                    <w:spacing w:line="300" w:lineRule="auto"/>
                    <w:jc w:val="center"/>
                    <w:rPr>
                      <w:kern w:val="0"/>
                      <w:szCs w:val="21"/>
                    </w:rPr>
                  </w:pPr>
                  <w:r>
                    <w:rPr>
                      <w:rFonts w:hint="eastAsia"/>
                      <w:kern w:val="0"/>
                      <w:szCs w:val="21"/>
                    </w:rPr>
                    <w:t>危废贮存点</w:t>
                  </w:r>
                </w:p>
              </w:tc>
              <w:tc>
                <w:tcPr>
                  <w:tcW w:w="1631" w:type="pct"/>
                  <w:tcBorders>
                    <w:tl2br w:val="nil"/>
                    <w:tr2bl w:val="nil"/>
                  </w:tcBorders>
                  <w:vAlign w:val="center"/>
                </w:tcPr>
                <w:p w14:paraId="04AC6952">
                  <w:pPr>
                    <w:adjustRightInd w:val="0"/>
                    <w:snapToGrid w:val="0"/>
                    <w:spacing w:line="300" w:lineRule="auto"/>
                    <w:jc w:val="center"/>
                    <w:rPr>
                      <w:kern w:val="0"/>
                      <w:szCs w:val="21"/>
                    </w:rPr>
                  </w:pPr>
                  <w:r>
                    <w:rPr>
                      <w:rFonts w:hint="eastAsia"/>
                      <w:kern w:val="0"/>
                      <w:szCs w:val="21"/>
                    </w:rPr>
                    <w:t>抗渗混凝土+2mm厚环氧树脂，液态物料桶置于托盘内</w:t>
                  </w:r>
                </w:p>
              </w:tc>
              <w:tc>
                <w:tcPr>
                  <w:tcW w:w="1176" w:type="pct"/>
                  <w:tcBorders>
                    <w:tl2br w:val="nil"/>
                    <w:tr2bl w:val="nil"/>
                  </w:tcBorders>
                  <w:vAlign w:val="center"/>
                </w:tcPr>
                <w:p w14:paraId="655127CF">
                  <w:pPr>
                    <w:adjustRightInd w:val="0"/>
                    <w:snapToGrid w:val="0"/>
                    <w:spacing w:line="300" w:lineRule="auto"/>
                    <w:jc w:val="center"/>
                    <w:rPr>
                      <w:kern w:val="0"/>
                      <w:szCs w:val="21"/>
                    </w:rPr>
                  </w:pPr>
                  <w:r>
                    <w:rPr>
                      <w:rFonts w:hint="eastAsia"/>
                      <w:kern w:val="0"/>
                      <w:szCs w:val="21"/>
                    </w:rPr>
                    <w:t>至少2 mm厚高密度聚乙烯膜等人工防渗材料，</w:t>
                  </w:r>
                  <w:r>
                    <w:rPr>
                      <w:kern w:val="0"/>
                      <w:szCs w:val="21"/>
                    </w:rPr>
                    <w:t>防渗层渗透系数</w:t>
                  </w:r>
                  <w:r>
                    <w:rPr>
                      <w:rFonts w:eastAsia="TimesNewRomanPSMT"/>
                      <w:kern w:val="0"/>
                      <w:szCs w:val="21"/>
                    </w:rPr>
                    <w:t>≤10</w:t>
                  </w:r>
                  <w:r>
                    <w:rPr>
                      <w:rFonts w:hint="eastAsia"/>
                      <w:kern w:val="0"/>
                      <w:szCs w:val="21"/>
                      <w:lang w:eastAsia="zh-CN"/>
                    </w:rPr>
                    <w:t>～</w:t>
                  </w:r>
                  <w:r>
                    <w:rPr>
                      <w:rFonts w:eastAsia="TimesNewRomanPSMT"/>
                      <w:kern w:val="0"/>
                      <w:szCs w:val="21"/>
                      <w:vertAlign w:val="superscript"/>
                    </w:rPr>
                    <w:t>10</w:t>
                  </w:r>
                  <w:r>
                    <w:rPr>
                      <w:rFonts w:eastAsia="TimesNewRomanPSMT"/>
                      <w:kern w:val="0"/>
                      <w:szCs w:val="21"/>
                    </w:rPr>
                    <w:t>cm/s</w:t>
                  </w:r>
                </w:p>
              </w:tc>
            </w:tr>
            <w:tr w14:paraId="1136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Merge w:val="continue"/>
                  <w:tcBorders>
                    <w:tl2br w:val="nil"/>
                    <w:tr2bl w:val="nil"/>
                  </w:tcBorders>
                  <w:vAlign w:val="center"/>
                </w:tcPr>
                <w:p w14:paraId="0DEB442D">
                  <w:pPr>
                    <w:adjustRightInd w:val="0"/>
                    <w:snapToGrid w:val="0"/>
                    <w:spacing w:line="300" w:lineRule="auto"/>
                    <w:jc w:val="center"/>
                    <w:rPr>
                      <w:kern w:val="0"/>
                      <w:szCs w:val="21"/>
                    </w:rPr>
                  </w:pPr>
                </w:p>
              </w:tc>
              <w:tc>
                <w:tcPr>
                  <w:tcW w:w="1648" w:type="pct"/>
                  <w:tcBorders>
                    <w:tl2br w:val="nil"/>
                    <w:tr2bl w:val="nil"/>
                  </w:tcBorders>
                  <w:vAlign w:val="center"/>
                </w:tcPr>
                <w:p w14:paraId="15A33603">
                  <w:pPr>
                    <w:adjustRightInd w:val="0"/>
                    <w:snapToGrid w:val="0"/>
                    <w:spacing w:line="300" w:lineRule="auto"/>
                    <w:jc w:val="center"/>
                    <w:rPr>
                      <w:kern w:val="0"/>
                      <w:szCs w:val="21"/>
                    </w:rPr>
                  </w:pPr>
                  <w:r>
                    <w:rPr>
                      <w:rFonts w:hint="eastAsia"/>
                      <w:kern w:val="0"/>
                      <w:szCs w:val="21"/>
                    </w:rPr>
                    <w:t>污水处理构筑物、压缩车间、卸料平台、发电机房</w:t>
                  </w:r>
                </w:p>
              </w:tc>
              <w:tc>
                <w:tcPr>
                  <w:tcW w:w="1631" w:type="pct"/>
                  <w:tcBorders>
                    <w:tl2br w:val="nil"/>
                    <w:tr2bl w:val="nil"/>
                  </w:tcBorders>
                  <w:vAlign w:val="center"/>
                </w:tcPr>
                <w:p w14:paraId="315BC564">
                  <w:pPr>
                    <w:adjustRightInd w:val="0"/>
                    <w:snapToGrid w:val="0"/>
                    <w:spacing w:line="300" w:lineRule="auto"/>
                    <w:jc w:val="center"/>
                    <w:rPr>
                      <w:kern w:val="0"/>
                      <w:szCs w:val="21"/>
                    </w:rPr>
                  </w:pPr>
                  <w:r>
                    <w:rPr>
                      <w:rFonts w:hint="eastAsia"/>
                      <w:kern w:val="0"/>
                      <w:szCs w:val="21"/>
                    </w:rPr>
                    <w:t>抗渗混凝土+</w:t>
                  </w:r>
                  <w:r>
                    <w:rPr>
                      <w:kern w:val="0"/>
                      <w:szCs w:val="21"/>
                    </w:rPr>
                    <w:t>2</w:t>
                  </w:r>
                  <w:r>
                    <w:rPr>
                      <w:rFonts w:hint="eastAsia"/>
                      <w:kern w:val="0"/>
                      <w:szCs w:val="21"/>
                    </w:rPr>
                    <w:t>mm厚喷涂速凝橡胶沥青防腐涂料防渗层</w:t>
                  </w:r>
                </w:p>
              </w:tc>
              <w:tc>
                <w:tcPr>
                  <w:tcW w:w="1176" w:type="pct"/>
                  <w:tcBorders>
                    <w:tl2br w:val="nil"/>
                    <w:tr2bl w:val="nil"/>
                  </w:tcBorders>
                  <w:vAlign w:val="center"/>
                </w:tcPr>
                <w:p w14:paraId="28B05EED">
                  <w:pPr>
                    <w:adjustRightInd w:val="0"/>
                    <w:snapToGrid w:val="0"/>
                    <w:spacing w:line="300" w:lineRule="auto"/>
                    <w:jc w:val="center"/>
                    <w:rPr>
                      <w:kern w:val="0"/>
                      <w:szCs w:val="21"/>
                    </w:rPr>
                  </w:pPr>
                  <w:r>
                    <w:rPr>
                      <w:rFonts w:hint="eastAsia"/>
                      <w:kern w:val="0"/>
                      <w:szCs w:val="21"/>
                    </w:rPr>
                    <w:t>等效黏土防渗层Mb≥6.0m，</w:t>
                  </w:r>
                  <w:r>
                    <w:rPr>
                      <w:kern w:val="0"/>
                      <w:szCs w:val="21"/>
                    </w:rPr>
                    <w:t>防渗层渗透系数</w:t>
                  </w:r>
                  <w:r>
                    <w:rPr>
                      <w:rFonts w:eastAsia="TimesNewRomanPSMT"/>
                      <w:kern w:val="0"/>
                      <w:szCs w:val="21"/>
                    </w:rPr>
                    <w:t>≤10</w:t>
                  </w:r>
                  <w:r>
                    <w:rPr>
                      <w:rFonts w:hint="eastAsia"/>
                      <w:kern w:val="0"/>
                      <w:szCs w:val="21"/>
                      <w:lang w:eastAsia="zh-CN"/>
                    </w:rPr>
                    <w:t>～</w:t>
                  </w:r>
                  <w:r>
                    <w:rPr>
                      <w:rFonts w:hint="eastAsia"/>
                      <w:kern w:val="0"/>
                      <w:szCs w:val="21"/>
                      <w:vertAlign w:val="superscript"/>
                    </w:rPr>
                    <w:t>7</w:t>
                  </w:r>
                  <w:r>
                    <w:rPr>
                      <w:rFonts w:eastAsia="TimesNewRomanPSMT"/>
                      <w:kern w:val="0"/>
                      <w:szCs w:val="21"/>
                    </w:rPr>
                    <w:t>cm/s</w:t>
                  </w:r>
                </w:p>
              </w:tc>
            </w:tr>
            <w:tr w14:paraId="4FD9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tcBorders>
                    <w:tl2br w:val="nil"/>
                    <w:tr2bl w:val="nil"/>
                  </w:tcBorders>
                  <w:vAlign w:val="center"/>
                </w:tcPr>
                <w:p w14:paraId="7253CCA9">
                  <w:pPr>
                    <w:adjustRightInd w:val="0"/>
                    <w:snapToGrid w:val="0"/>
                    <w:spacing w:line="300" w:lineRule="auto"/>
                    <w:jc w:val="center"/>
                    <w:rPr>
                      <w:kern w:val="0"/>
                      <w:szCs w:val="21"/>
                    </w:rPr>
                  </w:pPr>
                  <w:r>
                    <w:rPr>
                      <w:rFonts w:hint="eastAsia"/>
                      <w:kern w:val="0"/>
                      <w:szCs w:val="21"/>
                    </w:rPr>
                    <w:t>一般防渗区</w:t>
                  </w:r>
                </w:p>
              </w:tc>
              <w:tc>
                <w:tcPr>
                  <w:tcW w:w="1648" w:type="pct"/>
                  <w:tcBorders>
                    <w:tl2br w:val="nil"/>
                    <w:tr2bl w:val="nil"/>
                  </w:tcBorders>
                  <w:vAlign w:val="center"/>
                </w:tcPr>
                <w:p w14:paraId="13DF6124">
                  <w:pPr>
                    <w:adjustRightInd w:val="0"/>
                    <w:snapToGrid w:val="0"/>
                    <w:spacing w:line="300" w:lineRule="auto"/>
                    <w:jc w:val="center"/>
                    <w:rPr>
                      <w:kern w:val="0"/>
                      <w:szCs w:val="21"/>
                    </w:rPr>
                  </w:pPr>
                  <w:r>
                    <w:rPr>
                      <w:rFonts w:hint="eastAsia"/>
                      <w:kern w:val="0"/>
                      <w:szCs w:val="21"/>
                    </w:rPr>
                    <w:t>隔油池、化粪池、洗车间、初期雨水收集池</w:t>
                  </w:r>
                </w:p>
              </w:tc>
              <w:tc>
                <w:tcPr>
                  <w:tcW w:w="1631" w:type="pct"/>
                  <w:tcBorders>
                    <w:tl2br w:val="nil"/>
                    <w:tr2bl w:val="nil"/>
                  </w:tcBorders>
                  <w:vAlign w:val="center"/>
                </w:tcPr>
                <w:p w14:paraId="7B9E4B5C">
                  <w:pPr>
                    <w:adjustRightInd w:val="0"/>
                    <w:snapToGrid w:val="0"/>
                    <w:spacing w:line="300" w:lineRule="auto"/>
                    <w:jc w:val="center"/>
                    <w:rPr>
                      <w:kern w:val="0"/>
                      <w:szCs w:val="21"/>
                    </w:rPr>
                  </w:pPr>
                  <w:r>
                    <w:rPr>
                      <w:rFonts w:hint="eastAsia"/>
                      <w:kern w:val="0"/>
                      <w:szCs w:val="21"/>
                    </w:rPr>
                    <w:t>抗渗混凝土硬化</w:t>
                  </w:r>
                </w:p>
              </w:tc>
              <w:tc>
                <w:tcPr>
                  <w:tcW w:w="1176" w:type="pct"/>
                  <w:tcBorders>
                    <w:tl2br w:val="nil"/>
                    <w:tr2bl w:val="nil"/>
                  </w:tcBorders>
                  <w:vAlign w:val="center"/>
                </w:tcPr>
                <w:p w14:paraId="02BE0BDA">
                  <w:pPr>
                    <w:adjustRightInd w:val="0"/>
                    <w:snapToGrid w:val="0"/>
                    <w:spacing w:line="300" w:lineRule="auto"/>
                    <w:jc w:val="center"/>
                    <w:rPr>
                      <w:kern w:val="0"/>
                      <w:szCs w:val="21"/>
                    </w:rPr>
                  </w:pPr>
                  <w:r>
                    <w:rPr>
                      <w:rFonts w:hint="eastAsia"/>
                      <w:kern w:val="0"/>
                      <w:szCs w:val="21"/>
                    </w:rPr>
                    <w:t>等效黏土防渗层Mb≥1.5m，K≤1</w:t>
                  </w:r>
                  <w:r>
                    <w:rPr>
                      <w:kern w:val="0"/>
                      <w:szCs w:val="21"/>
                    </w:rPr>
                    <w:t>×</w:t>
                  </w:r>
                  <w:r>
                    <w:rPr>
                      <w:rFonts w:hint="eastAsia"/>
                      <w:kern w:val="0"/>
                      <w:szCs w:val="21"/>
                    </w:rPr>
                    <w:t>10</w:t>
                  </w:r>
                  <w:r>
                    <w:rPr>
                      <w:rFonts w:hint="eastAsia"/>
                      <w:kern w:val="0"/>
                      <w:szCs w:val="21"/>
                      <w:lang w:eastAsia="zh-CN"/>
                    </w:rPr>
                    <w:t>～</w:t>
                  </w:r>
                  <w:r>
                    <w:rPr>
                      <w:rFonts w:hint="eastAsia"/>
                      <w:kern w:val="0"/>
                      <w:szCs w:val="21"/>
                      <w:vertAlign w:val="superscript"/>
                    </w:rPr>
                    <w:t>7</w:t>
                  </w:r>
                  <w:r>
                    <w:rPr>
                      <w:rFonts w:hint="eastAsia"/>
                      <w:kern w:val="0"/>
                      <w:szCs w:val="21"/>
                    </w:rPr>
                    <w:t>cm/s</w:t>
                  </w:r>
                </w:p>
              </w:tc>
            </w:tr>
            <w:tr w14:paraId="0450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43" w:type="pct"/>
                  <w:tcBorders>
                    <w:tl2br w:val="nil"/>
                    <w:tr2bl w:val="nil"/>
                  </w:tcBorders>
                  <w:vAlign w:val="center"/>
                </w:tcPr>
                <w:p w14:paraId="5EA0FB8A">
                  <w:pPr>
                    <w:adjustRightInd w:val="0"/>
                    <w:snapToGrid w:val="0"/>
                    <w:spacing w:line="300" w:lineRule="auto"/>
                    <w:jc w:val="center"/>
                    <w:rPr>
                      <w:kern w:val="0"/>
                      <w:szCs w:val="21"/>
                    </w:rPr>
                  </w:pPr>
                  <w:r>
                    <w:rPr>
                      <w:rFonts w:hint="eastAsia"/>
                      <w:kern w:val="0"/>
                      <w:szCs w:val="21"/>
                    </w:rPr>
                    <w:t>简单防渗区</w:t>
                  </w:r>
                </w:p>
              </w:tc>
              <w:tc>
                <w:tcPr>
                  <w:tcW w:w="1648" w:type="pct"/>
                  <w:tcBorders>
                    <w:tl2br w:val="nil"/>
                    <w:tr2bl w:val="nil"/>
                  </w:tcBorders>
                  <w:vAlign w:val="center"/>
                </w:tcPr>
                <w:p w14:paraId="60DECA3A">
                  <w:pPr>
                    <w:adjustRightInd w:val="0"/>
                    <w:snapToGrid w:val="0"/>
                    <w:spacing w:line="300" w:lineRule="auto"/>
                    <w:jc w:val="center"/>
                    <w:rPr>
                      <w:kern w:val="0"/>
                      <w:szCs w:val="21"/>
                    </w:rPr>
                  </w:pPr>
                  <w:r>
                    <w:rPr>
                      <w:rFonts w:hint="eastAsia"/>
                      <w:kern w:val="0"/>
                      <w:szCs w:val="21"/>
                    </w:rPr>
                    <w:t>除重点防渗区、一般防渗区、绿化区域以外的其他区域</w:t>
                  </w:r>
                </w:p>
              </w:tc>
              <w:tc>
                <w:tcPr>
                  <w:tcW w:w="1631" w:type="pct"/>
                  <w:tcBorders>
                    <w:tl2br w:val="nil"/>
                    <w:tr2bl w:val="nil"/>
                  </w:tcBorders>
                  <w:vAlign w:val="center"/>
                </w:tcPr>
                <w:p w14:paraId="5E00FEE4">
                  <w:pPr>
                    <w:adjustRightInd w:val="0"/>
                    <w:snapToGrid w:val="0"/>
                    <w:spacing w:line="300" w:lineRule="auto"/>
                    <w:jc w:val="center"/>
                    <w:rPr>
                      <w:kern w:val="0"/>
                      <w:szCs w:val="21"/>
                    </w:rPr>
                  </w:pPr>
                  <w:r>
                    <w:rPr>
                      <w:rFonts w:hint="eastAsia"/>
                      <w:kern w:val="0"/>
                      <w:szCs w:val="21"/>
                    </w:rPr>
                    <w:t>水泥硬化</w:t>
                  </w:r>
                </w:p>
              </w:tc>
              <w:tc>
                <w:tcPr>
                  <w:tcW w:w="1176" w:type="pct"/>
                  <w:tcBorders>
                    <w:tl2br w:val="nil"/>
                    <w:tr2bl w:val="nil"/>
                  </w:tcBorders>
                  <w:vAlign w:val="center"/>
                </w:tcPr>
                <w:p w14:paraId="673F5947">
                  <w:pPr>
                    <w:adjustRightInd w:val="0"/>
                    <w:snapToGrid w:val="0"/>
                    <w:spacing w:line="300" w:lineRule="auto"/>
                    <w:jc w:val="center"/>
                    <w:rPr>
                      <w:kern w:val="0"/>
                      <w:szCs w:val="21"/>
                    </w:rPr>
                  </w:pPr>
                  <w:r>
                    <w:rPr>
                      <w:rFonts w:hint="eastAsia"/>
                      <w:kern w:val="0"/>
                      <w:szCs w:val="21"/>
                    </w:rPr>
                    <w:t>/</w:t>
                  </w:r>
                </w:p>
              </w:tc>
            </w:tr>
          </w:tbl>
          <w:p w14:paraId="2CDE14D1">
            <w:pPr>
              <w:pStyle w:val="64"/>
              <w:snapToGrid w:val="0"/>
              <w:spacing w:before="120" w:beforeLines="50" w:line="360" w:lineRule="auto"/>
              <w:ind w:left="0" w:right="0" w:firstLine="480" w:firstLineChars="200"/>
              <w:jc w:val="both"/>
              <w:rPr>
                <w:bCs/>
                <w:szCs w:val="21"/>
              </w:rPr>
            </w:pPr>
            <w:r>
              <w:rPr>
                <w:bCs/>
                <w:szCs w:val="21"/>
              </w:rPr>
              <w:t>综上，项目在采取上述</w:t>
            </w:r>
            <w:r>
              <w:rPr>
                <w:rFonts w:hint="eastAsia"/>
                <w:bCs/>
                <w:szCs w:val="21"/>
              </w:rPr>
              <w:t>防渗</w:t>
            </w:r>
            <w:r>
              <w:rPr>
                <w:bCs/>
                <w:szCs w:val="21"/>
              </w:rPr>
              <w:t>防治措施后对地下水</w:t>
            </w:r>
            <w:r>
              <w:rPr>
                <w:rFonts w:hint="eastAsia"/>
                <w:bCs/>
                <w:szCs w:val="21"/>
              </w:rPr>
              <w:t>、土壤</w:t>
            </w:r>
            <w:r>
              <w:rPr>
                <w:bCs/>
                <w:szCs w:val="21"/>
              </w:rPr>
              <w:t>不会造成明显影响。</w:t>
            </w:r>
          </w:p>
          <w:p w14:paraId="5ED1607A">
            <w:pPr>
              <w:widowControl/>
              <w:spacing w:line="360" w:lineRule="auto"/>
              <w:jc w:val="left"/>
              <w:rPr>
                <w:b/>
                <w:bCs/>
                <w:color w:val="000000"/>
                <w:kern w:val="0"/>
                <w:sz w:val="24"/>
                <w:lang w:bidi="ar"/>
              </w:rPr>
            </w:pPr>
            <w:r>
              <w:rPr>
                <w:rFonts w:hint="eastAsia"/>
                <w:b/>
                <w:bCs/>
                <w:color w:val="000000"/>
                <w:kern w:val="0"/>
                <w:sz w:val="24"/>
                <w:lang w:bidi="ar"/>
              </w:rPr>
              <w:t>六、环境风险</w:t>
            </w:r>
          </w:p>
          <w:p w14:paraId="216F1E42">
            <w:pPr>
              <w:adjustRightInd w:val="0"/>
              <w:snapToGrid w:val="0"/>
              <w:spacing w:line="360" w:lineRule="auto"/>
              <w:ind w:firstLine="482" w:firstLineChars="200"/>
              <w:rPr>
                <w:b/>
                <w:sz w:val="24"/>
              </w:rPr>
            </w:pPr>
            <w:r>
              <w:rPr>
                <w:b/>
                <w:sz w:val="24"/>
              </w:rPr>
              <w:t>1、风险调查</w:t>
            </w:r>
          </w:p>
          <w:p w14:paraId="3EE8A012">
            <w:pPr>
              <w:pStyle w:val="11"/>
              <w:spacing w:before="0" w:after="0" w:line="360" w:lineRule="auto"/>
              <w:ind w:firstLine="480" w:firstLineChars="200"/>
            </w:pPr>
            <w:r>
              <w:rPr>
                <w:sz w:val="24"/>
                <w:szCs w:val="24"/>
              </w:rPr>
              <w:t>根据《建设项目环境风险评价技术导则》</w:t>
            </w:r>
            <w:r>
              <w:rPr>
                <w:rFonts w:hint="eastAsia"/>
                <w:sz w:val="24"/>
                <w:szCs w:val="24"/>
              </w:rPr>
              <w:t>（</w:t>
            </w:r>
            <w:r>
              <w:rPr>
                <w:sz w:val="24"/>
                <w:szCs w:val="24"/>
              </w:rPr>
              <w:t>HJ169-2018</w:t>
            </w:r>
            <w:r>
              <w:rPr>
                <w:rFonts w:hint="eastAsia"/>
                <w:sz w:val="24"/>
                <w:szCs w:val="24"/>
              </w:rPr>
              <w:t>）</w:t>
            </w:r>
            <w:r>
              <w:rPr>
                <w:sz w:val="24"/>
                <w:szCs w:val="24"/>
              </w:rPr>
              <w:t>附录B，本项目</w:t>
            </w:r>
            <w:r>
              <w:rPr>
                <w:rFonts w:hint="eastAsia"/>
                <w:sz w:val="24"/>
                <w:szCs w:val="24"/>
              </w:rPr>
              <w:t>涉及的</w:t>
            </w:r>
            <w:r>
              <w:rPr>
                <w:sz w:val="24"/>
                <w:szCs w:val="24"/>
              </w:rPr>
              <w:t>风险</w:t>
            </w:r>
            <w:r>
              <w:rPr>
                <w:rFonts w:hint="eastAsia"/>
                <w:sz w:val="24"/>
                <w:szCs w:val="24"/>
              </w:rPr>
              <w:t>物质</w:t>
            </w:r>
            <w:r>
              <w:rPr>
                <w:sz w:val="24"/>
                <w:szCs w:val="24"/>
              </w:rPr>
              <w:t>主要有</w:t>
            </w:r>
            <w:r>
              <w:rPr>
                <w:rFonts w:hint="eastAsia"/>
                <w:color w:val="000000"/>
                <w:sz w:val="24"/>
                <w:szCs w:val="24"/>
              </w:rPr>
              <w:t>柴油，润滑油、废润滑油；本项目不设液压油储存库，更换后废液压油统一暂存在危废暂存间。</w:t>
            </w:r>
            <w:r>
              <w:rPr>
                <w:sz w:val="24"/>
                <w:szCs w:val="24"/>
              </w:rPr>
              <w:t>存在泄漏、火灾爆炸环境风险</w:t>
            </w:r>
            <w:r>
              <w:rPr>
                <w:rFonts w:hint="eastAsia"/>
                <w:sz w:val="24"/>
                <w:szCs w:val="24"/>
              </w:rPr>
              <w:t>，</w:t>
            </w:r>
            <w:r>
              <w:rPr>
                <w:sz w:val="24"/>
                <w:szCs w:val="24"/>
              </w:rPr>
              <w:t>风险物质情况如下表所示。</w:t>
            </w:r>
          </w:p>
          <w:p w14:paraId="7D51A10F">
            <w:pPr>
              <w:jc w:val="center"/>
              <w:rPr>
                <w:b/>
                <w:bCs/>
                <w:szCs w:val="21"/>
              </w:rPr>
            </w:pPr>
            <w:r>
              <w:rPr>
                <w:b/>
                <w:bCs/>
                <w:szCs w:val="21"/>
              </w:rPr>
              <w:t>表4-</w:t>
            </w:r>
            <w:r>
              <w:rPr>
                <w:rFonts w:hint="eastAsia"/>
                <w:b/>
                <w:bCs/>
                <w:szCs w:val="21"/>
              </w:rPr>
              <w:t xml:space="preserve">25  </w:t>
            </w:r>
            <w:r>
              <w:rPr>
                <w:b/>
                <w:bCs/>
                <w:szCs w:val="21"/>
              </w:rPr>
              <w:t>主要危险物质储存及危险特性</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56"/>
              <w:gridCol w:w="1694"/>
              <w:gridCol w:w="1254"/>
              <w:gridCol w:w="1604"/>
              <w:gridCol w:w="1575"/>
            </w:tblGrid>
            <w:tr w14:paraId="1815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4" w:type="pct"/>
                  <w:vAlign w:val="center"/>
                </w:tcPr>
                <w:p w14:paraId="3F9CCA70">
                  <w:pPr>
                    <w:jc w:val="center"/>
                    <w:rPr>
                      <w:b/>
                      <w:bCs/>
                    </w:rPr>
                  </w:pPr>
                  <w:r>
                    <w:rPr>
                      <w:b/>
                      <w:bCs/>
                    </w:rPr>
                    <w:t>序号</w:t>
                  </w:r>
                </w:p>
              </w:tc>
              <w:tc>
                <w:tcPr>
                  <w:tcW w:w="859" w:type="pct"/>
                  <w:vAlign w:val="center"/>
                </w:tcPr>
                <w:p w14:paraId="7D0F0C9E">
                  <w:pPr>
                    <w:jc w:val="center"/>
                    <w:rPr>
                      <w:b/>
                      <w:bCs/>
                    </w:rPr>
                  </w:pPr>
                  <w:r>
                    <w:rPr>
                      <w:b/>
                      <w:bCs/>
                    </w:rPr>
                    <w:t>物质名称</w:t>
                  </w:r>
                </w:p>
              </w:tc>
              <w:tc>
                <w:tcPr>
                  <w:tcW w:w="999" w:type="pct"/>
                  <w:vAlign w:val="center"/>
                </w:tcPr>
                <w:p w14:paraId="4563F2BF">
                  <w:pPr>
                    <w:jc w:val="center"/>
                    <w:rPr>
                      <w:b/>
                      <w:bCs/>
                    </w:rPr>
                  </w:pPr>
                  <w:r>
                    <w:rPr>
                      <w:b/>
                      <w:bCs/>
                    </w:rPr>
                    <w:t>最大储存量</w:t>
                  </w:r>
                  <w:r>
                    <w:rPr>
                      <w:rFonts w:hint="eastAsia"/>
                      <w:b/>
                      <w:bCs/>
                    </w:rPr>
                    <w:t>（t）</w:t>
                  </w:r>
                </w:p>
              </w:tc>
              <w:tc>
                <w:tcPr>
                  <w:tcW w:w="740" w:type="pct"/>
                  <w:vAlign w:val="center"/>
                </w:tcPr>
                <w:p w14:paraId="26647237">
                  <w:pPr>
                    <w:jc w:val="center"/>
                    <w:rPr>
                      <w:b/>
                      <w:bCs/>
                    </w:rPr>
                  </w:pPr>
                  <w:r>
                    <w:rPr>
                      <w:b/>
                      <w:bCs/>
                    </w:rPr>
                    <w:t>储存方式</w:t>
                  </w:r>
                </w:p>
              </w:tc>
              <w:tc>
                <w:tcPr>
                  <w:tcW w:w="946" w:type="pct"/>
                  <w:vAlign w:val="center"/>
                </w:tcPr>
                <w:p w14:paraId="767E5FE0">
                  <w:pPr>
                    <w:jc w:val="center"/>
                    <w:rPr>
                      <w:b/>
                      <w:bCs/>
                    </w:rPr>
                  </w:pPr>
                  <w:r>
                    <w:rPr>
                      <w:b/>
                      <w:bCs/>
                    </w:rPr>
                    <w:t>储存位置</w:t>
                  </w:r>
                </w:p>
              </w:tc>
              <w:tc>
                <w:tcPr>
                  <w:tcW w:w="929" w:type="pct"/>
                  <w:vAlign w:val="center"/>
                </w:tcPr>
                <w:p w14:paraId="6931018B">
                  <w:pPr>
                    <w:jc w:val="center"/>
                    <w:rPr>
                      <w:b/>
                      <w:bCs/>
                    </w:rPr>
                  </w:pPr>
                  <w:r>
                    <w:rPr>
                      <w:b/>
                      <w:bCs/>
                    </w:rPr>
                    <w:t>危险性</w:t>
                  </w:r>
                </w:p>
              </w:tc>
            </w:tr>
            <w:tr w14:paraId="14CA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Align w:val="center"/>
                </w:tcPr>
                <w:p w14:paraId="7E20C8B7">
                  <w:pPr>
                    <w:jc w:val="center"/>
                  </w:pPr>
                  <w:r>
                    <w:rPr>
                      <w:rFonts w:hint="eastAsia"/>
                    </w:rPr>
                    <w:t>1</w:t>
                  </w:r>
                </w:p>
              </w:tc>
              <w:tc>
                <w:tcPr>
                  <w:tcW w:w="859" w:type="pct"/>
                  <w:vAlign w:val="center"/>
                </w:tcPr>
                <w:p w14:paraId="4AC118E1">
                  <w:pPr>
                    <w:widowControl/>
                    <w:jc w:val="center"/>
                    <w:rPr>
                      <w:color w:val="000000"/>
                      <w:kern w:val="0"/>
                      <w:szCs w:val="21"/>
                    </w:rPr>
                  </w:pPr>
                  <w:r>
                    <w:rPr>
                      <w:rFonts w:hint="eastAsia"/>
                      <w:color w:val="000000"/>
                      <w:kern w:val="0"/>
                      <w:szCs w:val="21"/>
                    </w:rPr>
                    <w:t>柴油</w:t>
                  </w:r>
                </w:p>
              </w:tc>
              <w:tc>
                <w:tcPr>
                  <w:tcW w:w="999" w:type="pct"/>
                  <w:vAlign w:val="center"/>
                </w:tcPr>
                <w:p w14:paraId="6CE44814">
                  <w:pPr>
                    <w:jc w:val="center"/>
                  </w:pPr>
                  <w:r>
                    <w:rPr>
                      <w:rFonts w:hint="eastAsia"/>
                    </w:rPr>
                    <w:t>0.68</w:t>
                  </w:r>
                </w:p>
              </w:tc>
              <w:tc>
                <w:tcPr>
                  <w:tcW w:w="740" w:type="pct"/>
                  <w:vAlign w:val="center"/>
                </w:tcPr>
                <w:p w14:paraId="0CAE0707">
                  <w:pPr>
                    <w:jc w:val="center"/>
                  </w:pPr>
                  <w:r>
                    <w:t>桶装</w:t>
                  </w:r>
                </w:p>
              </w:tc>
              <w:tc>
                <w:tcPr>
                  <w:tcW w:w="946" w:type="pct"/>
                  <w:vAlign w:val="center"/>
                </w:tcPr>
                <w:p w14:paraId="0B50506B">
                  <w:pPr>
                    <w:jc w:val="center"/>
                  </w:pPr>
                  <w:r>
                    <w:rPr>
                      <w:rFonts w:hint="eastAsia"/>
                    </w:rPr>
                    <w:t>发电机房</w:t>
                  </w:r>
                  <w:r>
                    <w:rPr>
                      <w:rFonts w:hint="eastAsia"/>
                      <w:szCs w:val="21"/>
                    </w:rPr>
                    <w:t>柴油储存间</w:t>
                  </w:r>
                </w:p>
              </w:tc>
              <w:tc>
                <w:tcPr>
                  <w:tcW w:w="929" w:type="pct"/>
                  <w:vAlign w:val="center"/>
                </w:tcPr>
                <w:p w14:paraId="2329C72E">
                  <w:pPr>
                    <w:jc w:val="center"/>
                  </w:pPr>
                  <w:r>
                    <w:t>易燃性</w:t>
                  </w:r>
                </w:p>
              </w:tc>
            </w:tr>
            <w:tr w14:paraId="7EEC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shd w:val="clear" w:color="auto" w:fill="auto"/>
                  <w:vAlign w:val="center"/>
                </w:tcPr>
                <w:p w14:paraId="47F0294C">
                  <w:pPr>
                    <w:jc w:val="center"/>
                  </w:pPr>
                  <w:r>
                    <w:rPr>
                      <w:rFonts w:hint="eastAsia"/>
                    </w:rPr>
                    <w:t>2</w:t>
                  </w:r>
                </w:p>
              </w:tc>
              <w:tc>
                <w:tcPr>
                  <w:tcW w:w="859" w:type="pct"/>
                  <w:vAlign w:val="center"/>
                </w:tcPr>
                <w:p w14:paraId="636D2358">
                  <w:pPr>
                    <w:widowControl/>
                    <w:jc w:val="center"/>
                    <w:rPr>
                      <w:color w:val="000000"/>
                      <w:kern w:val="0"/>
                      <w:szCs w:val="21"/>
                    </w:rPr>
                  </w:pPr>
                  <w:r>
                    <w:rPr>
                      <w:rFonts w:hint="eastAsia"/>
                      <w:color w:val="000000"/>
                      <w:kern w:val="0"/>
                      <w:szCs w:val="21"/>
                    </w:rPr>
                    <w:t>液压油</w:t>
                  </w:r>
                </w:p>
              </w:tc>
              <w:tc>
                <w:tcPr>
                  <w:tcW w:w="999" w:type="pct"/>
                  <w:vAlign w:val="center"/>
                </w:tcPr>
                <w:p w14:paraId="6CF1E5E5">
                  <w:pPr>
                    <w:jc w:val="center"/>
                  </w:pPr>
                  <w:r>
                    <w:rPr>
                      <w:rFonts w:hint="eastAsia"/>
                    </w:rPr>
                    <w:t>0.5</w:t>
                  </w:r>
                </w:p>
              </w:tc>
              <w:tc>
                <w:tcPr>
                  <w:tcW w:w="740" w:type="pct"/>
                  <w:vAlign w:val="center"/>
                </w:tcPr>
                <w:p w14:paraId="170D76DC">
                  <w:pPr>
                    <w:jc w:val="center"/>
                  </w:pPr>
                  <w:r>
                    <w:t>桶装</w:t>
                  </w:r>
                </w:p>
              </w:tc>
              <w:tc>
                <w:tcPr>
                  <w:tcW w:w="946" w:type="pct"/>
                  <w:vAlign w:val="center"/>
                </w:tcPr>
                <w:p w14:paraId="7A95825A">
                  <w:pPr>
                    <w:jc w:val="center"/>
                  </w:pPr>
                  <w:r>
                    <w:rPr>
                      <w:rFonts w:hint="eastAsia"/>
                    </w:rPr>
                    <w:t>维保房</w:t>
                  </w:r>
                </w:p>
              </w:tc>
              <w:tc>
                <w:tcPr>
                  <w:tcW w:w="929" w:type="pct"/>
                  <w:vAlign w:val="center"/>
                </w:tcPr>
                <w:p w14:paraId="54B6ABE2">
                  <w:pPr>
                    <w:jc w:val="center"/>
                  </w:pPr>
                  <w:r>
                    <w:t>易燃性</w:t>
                  </w:r>
                </w:p>
              </w:tc>
            </w:tr>
            <w:tr w14:paraId="62B0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shd w:val="clear" w:color="auto" w:fill="auto"/>
                  <w:vAlign w:val="center"/>
                </w:tcPr>
                <w:p w14:paraId="5F7D2788">
                  <w:pPr>
                    <w:jc w:val="center"/>
                  </w:pPr>
                  <w:r>
                    <w:rPr>
                      <w:rFonts w:hint="eastAsia"/>
                    </w:rPr>
                    <w:t>3</w:t>
                  </w:r>
                </w:p>
              </w:tc>
              <w:tc>
                <w:tcPr>
                  <w:tcW w:w="859" w:type="pct"/>
                  <w:vAlign w:val="center"/>
                </w:tcPr>
                <w:p w14:paraId="5F62706F">
                  <w:pPr>
                    <w:widowControl/>
                    <w:jc w:val="center"/>
                    <w:rPr>
                      <w:color w:val="000000"/>
                      <w:kern w:val="0"/>
                      <w:szCs w:val="21"/>
                    </w:rPr>
                  </w:pPr>
                  <w:r>
                    <w:rPr>
                      <w:rFonts w:hint="eastAsia"/>
                      <w:color w:val="000000"/>
                      <w:kern w:val="0"/>
                      <w:szCs w:val="21"/>
                    </w:rPr>
                    <w:t>废液压油</w:t>
                  </w:r>
                </w:p>
              </w:tc>
              <w:tc>
                <w:tcPr>
                  <w:tcW w:w="999" w:type="pct"/>
                  <w:vAlign w:val="center"/>
                </w:tcPr>
                <w:p w14:paraId="5E803EF8">
                  <w:pPr>
                    <w:jc w:val="center"/>
                  </w:pPr>
                  <w:r>
                    <w:rPr>
                      <w:rFonts w:hint="eastAsia"/>
                    </w:rPr>
                    <w:t>1.25</w:t>
                  </w:r>
                </w:p>
              </w:tc>
              <w:tc>
                <w:tcPr>
                  <w:tcW w:w="740" w:type="pct"/>
                  <w:vAlign w:val="center"/>
                </w:tcPr>
                <w:p w14:paraId="78FC9877">
                  <w:pPr>
                    <w:jc w:val="center"/>
                  </w:pPr>
                  <w:r>
                    <w:t>桶装</w:t>
                  </w:r>
                </w:p>
              </w:tc>
              <w:tc>
                <w:tcPr>
                  <w:tcW w:w="946" w:type="pct"/>
                  <w:vAlign w:val="center"/>
                </w:tcPr>
                <w:p w14:paraId="0D720E69">
                  <w:pPr>
                    <w:jc w:val="center"/>
                  </w:pPr>
                  <w:r>
                    <w:rPr>
                      <w:rFonts w:hint="eastAsia"/>
                    </w:rPr>
                    <w:t>危废暂存间</w:t>
                  </w:r>
                </w:p>
              </w:tc>
              <w:tc>
                <w:tcPr>
                  <w:tcW w:w="929" w:type="pct"/>
                  <w:vAlign w:val="center"/>
                </w:tcPr>
                <w:p w14:paraId="6B9F8B50">
                  <w:pPr>
                    <w:jc w:val="center"/>
                  </w:pPr>
                  <w:r>
                    <w:t>易燃性</w:t>
                  </w:r>
                </w:p>
              </w:tc>
            </w:tr>
            <w:tr w14:paraId="1D20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24" w:type="pct"/>
                  <w:shd w:val="clear" w:color="auto" w:fill="auto"/>
                  <w:vAlign w:val="center"/>
                </w:tcPr>
                <w:p w14:paraId="2543498E">
                  <w:pPr>
                    <w:jc w:val="center"/>
                  </w:pPr>
                  <w:r>
                    <w:rPr>
                      <w:rFonts w:hint="eastAsia"/>
                    </w:rPr>
                    <w:t>4</w:t>
                  </w:r>
                </w:p>
              </w:tc>
              <w:tc>
                <w:tcPr>
                  <w:tcW w:w="859" w:type="pct"/>
                  <w:vAlign w:val="center"/>
                </w:tcPr>
                <w:p w14:paraId="21699EDC">
                  <w:pPr>
                    <w:widowControl/>
                    <w:jc w:val="center"/>
                    <w:rPr>
                      <w:color w:val="000000"/>
                      <w:kern w:val="0"/>
                      <w:szCs w:val="21"/>
                    </w:rPr>
                  </w:pPr>
                  <w:r>
                    <w:rPr>
                      <w:rFonts w:hint="eastAsia"/>
                      <w:color w:val="000000"/>
                      <w:kern w:val="0"/>
                      <w:szCs w:val="21"/>
                    </w:rPr>
                    <w:t>润滑油</w:t>
                  </w:r>
                </w:p>
              </w:tc>
              <w:tc>
                <w:tcPr>
                  <w:tcW w:w="999" w:type="pct"/>
                  <w:vAlign w:val="center"/>
                </w:tcPr>
                <w:p w14:paraId="6C002254">
                  <w:pPr>
                    <w:jc w:val="center"/>
                  </w:pPr>
                  <w:r>
                    <w:rPr>
                      <w:rFonts w:hint="eastAsia"/>
                    </w:rPr>
                    <w:t>0.05</w:t>
                  </w:r>
                </w:p>
              </w:tc>
              <w:tc>
                <w:tcPr>
                  <w:tcW w:w="740" w:type="pct"/>
                  <w:vAlign w:val="center"/>
                </w:tcPr>
                <w:p w14:paraId="5C31EA7F">
                  <w:pPr>
                    <w:jc w:val="center"/>
                  </w:pPr>
                  <w:r>
                    <w:t>桶装</w:t>
                  </w:r>
                </w:p>
              </w:tc>
              <w:tc>
                <w:tcPr>
                  <w:tcW w:w="946" w:type="pct"/>
                  <w:vAlign w:val="center"/>
                </w:tcPr>
                <w:p w14:paraId="01FDFF41">
                  <w:pPr>
                    <w:jc w:val="center"/>
                  </w:pPr>
                  <w:r>
                    <w:rPr>
                      <w:rFonts w:hint="eastAsia"/>
                    </w:rPr>
                    <w:t>维保房</w:t>
                  </w:r>
                </w:p>
              </w:tc>
              <w:tc>
                <w:tcPr>
                  <w:tcW w:w="929" w:type="pct"/>
                  <w:vAlign w:val="center"/>
                </w:tcPr>
                <w:p w14:paraId="0836106C">
                  <w:pPr>
                    <w:jc w:val="center"/>
                  </w:pPr>
                  <w:r>
                    <w:t>易燃性</w:t>
                  </w:r>
                </w:p>
              </w:tc>
            </w:tr>
            <w:tr w14:paraId="061E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shd w:val="clear" w:color="auto" w:fill="auto"/>
                  <w:vAlign w:val="center"/>
                </w:tcPr>
                <w:p w14:paraId="09CE204A">
                  <w:pPr>
                    <w:jc w:val="center"/>
                  </w:pPr>
                  <w:r>
                    <w:rPr>
                      <w:rFonts w:hint="eastAsia"/>
                    </w:rPr>
                    <w:t>5</w:t>
                  </w:r>
                </w:p>
              </w:tc>
              <w:tc>
                <w:tcPr>
                  <w:tcW w:w="859" w:type="pct"/>
                  <w:vAlign w:val="center"/>
                </w:tcPr>
                <w:p w14:paraId="43B95A70">
                  <w:pPr>
                    <w:widowControl/>
                    <w:jc w:val="center"/>
                    <w:rPr>
                      <w:color w:val="000000"/>
                      <w:kern w:val="0"/>
                      <w:szCs w:val="21"/>
                    </w:rPr>
                  </w:pPr>
                  <w:r>
                    <w:rPr>
                      <w:rFonts w:hint="eastAsia"/>
                      <w:color w:val="000000"/>
                      <w:kern w:val="0"/>
                      <w:szCs w:val="21"/>
                    </w:rPr>
                    <w:t>废润滑油</w:t>
                  </w:r>
                </w:p>
              </w:tc>
              <w:tc>
                <w:tcPr>
                  <w:tcW w:w="999" w:type="pct"/>
                  <w:vAlign w:val="center"/>
                </w:tcPr>
                <w:p w14:paraId="38CF4894">
                  <w:pPr>
                    <w:jc w:val="center"/>
                  </w:pPr>
                  <w:r>
                    <w:rPr>
                      <w:rFonts w:hint="eastAsia"/>
                    </w:rPr>
                    <w:t>0.097</w:t>
                  </w:r>
                </w:p>
              </w:tc>
              <w:tc>
                <w:tcPr>
                  <w:tcW w:w="740" w:type="pct"/>
                  <w:shd w:val="clear" w:color="auto" w:fill="auto"/>
                  <w:vAlign w:val="center"/>
                </w:tcPr>
                <w:p w14:paraId="0320154F">
                  <w:pPr>
                    <w:jc w:val="center"/>
                  </w:pPr>
                  <w:r>
                    <w:t>桶装</w:t>
                  </w:r>
                </w:p>
              </w:tc>
              <w:tc>
                <w:tcPr>
                  <w:tcW w:w="946" w:type="pct"/>
                  <w:shd w:val="clear" w:color="auto" w:fill="auto"/>
                  <w:vAlign w:val="center"/>
                </w:tcPr>
                <w:p w14:paraId="00DE2C61">
                  <w:pPr>
                    <w:jc w:val="center"/>
                  </w:pPr>
                  <w:r>
                    <w:rPr>
                      <w:rFonts w:hint="eastAsia"/>
                    </w:rPr>
                    <w:t>危废暂存间</w:t>
                  </w:r>
                </w:p>
              </w:tc>
              <w:tc>
                <w:tcPr>
                  <w:tcW w:w="929" w:type="pct"/>
                  <w:shd w:val="clear" w:color="auto" w:fill="auto"/>
                  <w:vAlign w:val="center"/>
                </w:tcPr>
                <w:p w14:paraId="66592CF3">
                  <w:pPr>
                    <w:jc w:val="center"/>
                  </w:pPr>
                  <w:r>
                    <w:t>易燃性</w:t>
                  </w:r>
                </w:p>
              </w:tc>
            </w:tr>
            <w:tr w14:paraId="4448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vAlign w:val="center"/>
                </w:tcPr>
                <w:p w14:paraId="568D7D8D">
                  <w:pPr>
                    <w:jc w:val="center"/>
                  </w:pPr>
                  <w:r>
                    <w:rPr>
                      <w:rFonts w:hint="eastAsia"/>
                    </w:rPr>
                    <w:t>6</w:t>
                  </w:r>
                </w:p>
              </w:tc>
              <w:tc>
                <w:tcPr>
                  <w:tcW w:w="859" w:type="pct"/>
                  <w:vAlign w:val="center"/>
                </w:tcPr>
                <w:p w14:paraId="0D165EF8">
                  <w:pPr>
                    <w:widowControl/>
                    <w:jc w:val="center"/>
                    <w:rPr>
                      <w:color w:val="000000"/>
                      <w:kern w:val="0"/>
                      <w:szCs w:val="21"/>
                    </w:rPr>
                  </w:pPr>
                  <w:r>
                    <w:rPr>
                      <w:rFonts w:hint="eastAsia"/>
                      <w:color w:val="000000"/>
                      <w:kern w:val="0"/>
                      <w:szCs w:val="21"/>
                    </w:rPr>
                    <w:t>次氯酸钠</w:t>
                  </w:r>
                </w:p>
              </w:tc>
              <w:tc>
                <w:tcPr>
                  <w:tcW w:w="999" w:type="pct"/>
                  <w:vAlign w:val="center"/>
                </w:tcPr>
                <w:p w14:paraId="2E461448">
                  <w:pPr>
                    <w:jc w:val="center"/>
                  </w:pPr>
                  <w:r>
                    <w:rPr>
                      <w:rFonts w:hint="eastAsia"/>
                    </w:rPr>
                    <w:t>0.01</w:t>
                  </w:r>
                </w:p>
              </w:tc>
              <w:tc>
                <w:tcPr>
                  <w:tcW w:w="740" w:type="pct"/>
                  <w:shd w:val="clear" w:color="auto" w:fill="auto"/>
                  <w:vAlign w:val="center"/>
                </w:tcPr>
                <w:p w14:paraId="5184CCDF">
                  <w:pPr>
                    <w:jc w:val="center"/>
                  </w:pPr>
                  <w:r>
                    <w:t>桶装</w:t>
                  </w:r>
                </w:p>
              </w:tc>
              <w:tc>
                <w:tcPr>
                  <w:tcW w:w="946" w:type="pct"/>
                  <w:shd w:val="clear" w:color="auto" w:fill="auto"/>
                  <w:vAlign w:val="center"/>
                </w:tcPr>
                <w:p w14:paraId="6EB4621F">
                  <w:pPr>
                    <w:jc w:val="center"/>
                  </w:pPr>
                  <w:r>
                    <w:rPr>
                      <w:rFonts w:hint="eastAsia"/>
                    </w:rPr>
                    <w:t>污水处理站</w:t>
                  </w:r>
                </w:p>
              </w:tc>
              <w:tc>
                <w:tcPr>
                  <w:tcW w:w="929" w:type="pct"/>
                  <w:shd w:val="clear" w:color="auto" w:fill="auto"/>
                  <w:vAlign w:val="center"/>
                </w:tcPr>
                <w:p w14:paraId="19253AAC">
                  <w:pPr>
                    <w:jc w:val="center"/>
                  </w:pPr>
                  <w:r>
                    <w:rPr>
                      <w:rFonts w:hint="eastAsia"/>
                    </w:rPr>
                    <w:t>毒性</w:t>
                  </w:r>
                </w:p>
              </w:tc>
            </w:tr>
          </w:tbl>
          <w:p w14:paraId="2F1FA32D">
            <w:pPr>
              <w:pStyle w:val="24"/>
              <w:adjustRightInd w:val="0"/>
              <w:snapToGrid w:val="0"/>
              <w:spacing w:before="120" w:beforeLines="50" w:beforeAutospacing="0" w:after="0" w:afterAutospacing="0" w:line="360" w:lineRule="auto"/>
              <w:ind w:firstLine="482" w:firstLineChars="200"/>
              <w:rPr>
                <w:rFonts w:ascii="Times New Roman" w:hAnsi="Times New Roman"/>
                <w:b/>
              </w:rPr>
            </w:pPr>
            <w:r>
              <w:rPr>
                <w:rFonts w:ascii="Times New Roman" w:hAnsi="Times New Roman"/>
                <w:b/>
              </w:rPr>
              <w:t>2、危险物种数量与临界量比值（Q）</w:t>
            </w:r>
          </w:p>
          <w:p w14:paraId="6BC3CDD6">
            <w:pPr>
              <w:spacing w:line="360" w:lineRule="auto"/>
              <w:ind w:firstLine="480"/>
              <w:rPr>
                <w:sz w:val="24"/>
              </w:rPr>
            </w:pPr>
            <w:r>
              <w:rPr>
                <w:sz w:val="24"/>
              </w:rPr>
              <w:t>建设项目环境风险潜势划分为I、</w:t>
            </w:r>
            <w:r>
              <w:rPr>
                <w:rFonts w:hint="eastAsia"/>
                <w:sz w:val="24"/>
                <w:lang w:eastAsia="zh-CN"/>
              </w:rPr>
              <w:t>Ⅱ</w:t>
            </w:r>
            <w:r>
              <w:rPr>
                <w:sz w:val="24"/>
              </w:rPr>
              <w:t>、</w:t>
            </w:r>
            <w:r>
              <w:rPr>
                <w:rFonts w:hint="eastAsia"/>
                <w:sz w:val="24"/>
                <w:lang w:eastAsia="zh-CN"/>
              </w:rPr>
              <w:t>Ⅲ</w:t>
            </w:r>
            <w:r>
              <w:rPr>
                <w:sz w:val="24"/>
              </w:rPr>
              <w:t>、</w:t>
            </w:r>
            <w:r>
              <w:rPr>
                <w:rFonts w:hint="eastAsia"/>
                <w:sz w:val="24"/>
                <w:lang w:eastAsia="zh-CN"/>
              </w:rPr>
              <w:t>Ⅳ</w:t>
            </w:r>
            <w:r>
              <w:rPr>
                <w:sz w:val="24"/>
              </w:rPr>
              <w:t>/</w:t>
            </w:r>
            <w:r>
              <w:rPr>
                <w:rFonts w:hint="eastAsia"/>
                <w:sz w:val="24"/>
                <w:lang w:eastAsia="zh-CN"/>
              </w:rPr>
              <w:t>Ⅳ</w:t>
            </w:r>
            <w:r>
              <w:rPr>
                <w:sz w:val="24"/>
                <w:vertAlign w:val="superscript"/>
              </w:rPr>
              <w:t>+</w:t>
            </w:r>
            <w:r>
              <w:rPr>
                <w:sz w:val="24"/>
              </w:rPr>
              <w:t>级，主要根据建设项目涉及的物质和工艺系统的危险性及其所在地的环境敏感程度，结合事故情形下环境影响途径，按照《建设项目环境风险评价技术导则》（HJ169-2018</w:t>
            </w:r>
            <w:r>
              <w:rPr>
                <w:rFonts w:hint="eastAsia"/>
                <w:sz w:val="24"/>
              </w:rPr>
              <w:t>）</w:t>
            </w:r>
            <w:r>
              <w:rPr>
                <w:sz w:val="24"/>
              </w:rPr>
              <w:t>表2进行确定，其中：危险物质数量与临界量比值（</w:t>
            </w:r>
            <w:r>
              <w:rPr>
                <w:i/>
                <w:sz w:val="24"/>
              </w:rPr>
              <w:t>Q</w:t>
            </w:r>
            <w:r>
              <w:rPr>
                <w:rFonts w:hint="eastAsia"/>
                <w:sz w:val="24"/>
              </w:rPr>
              <w:t>）</w:t>
            </w:r>
            <w:r>
              <w:rPr>
                <w:sz w:val="24"/>
              </w:rPr>
              <w:t>为每种危险物质在厂界内的最大存在总量与其在HJ169-2018附录B中对应临界量的比值，即：</w:t>
            </w:r>
          </w:p>
          <w:p w14:paraId="51BC7870">
            <w:pPr>
              <w:adjustRightInd w:val="0"/>
              <w:snapToGrid w:val="0"/>
              <w:spacing w:line="360" w:lineRule="auto"/>
              <w:ind w:firstLine="480" w:firstLineChars="200"/>
              <w:jc w:val="center"/>
              <w:rPr>
                <w:iCs/>
                <w:sz w:val="24"/>
              </w:rPr>
            </w:pPr>
            <w:r>
              <w:rPr>
                <w:sz w:val="24"/>
              </w:rPr>
              <w:drawing>
                <wp:inline distT="0" distB="0" distL="114300" distR="114300">
                  <wp:extent cx="1924685" cy="616585"/>
                  <wp:effectExtent l="0" t="0" r="1841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4"/>
                          <a:stretch>
                            <a:fillRect/>
                          </a:stretch>
                        </pic:blipFill>
                        <pic:spPr>
                          <a:xfrm>
                            <a:off x="0" y="0"/>
                            <a:ext cx="1924685" cy="616585"/>
                          </a:xfrm>
                          <a:prstGeom prst="rect">
                            <a:avLst/>
                          </a:prstGeom>
                          <a:noFill/>
                          <a:ln>
                            <a:noFill/>
                          </a:ln>
                        </pic:spPr>
                      </pic:pic>
                    </a:graphicData>
                  </a:graphic>
                </wp:inline>
              </w:drawing>
            </w:r>
          </w:p>
          <w:p w14:paraId="46653788">
            <w:pPr>
              <w:adjustRightInd w:val="0"/>
              <w:snapToGrid w:val="0"/>
              <w:spacing w:line="360" w:lineRule="auto"/>
              <w:ind w:firstLine="480" w:firstLineChars="200"/>
              <w:rPr>
                <w:iCs/>
                <w:sz w:val="24"/>
              </w:rPr>
            </w:pPr>
            <w:r>
              <w:rPr>
                <w:iCs/>
                <w:sz w:val="24"/>
              </w:rPr>
              <w:t>式中：</w:t>
            </w:r>
            <w:r>
              <w:rPr>
                <w:i/>
                <w:iCs/>
                <w:sz w:val="24"/>
              </w:rPr>
              <w:t>q</w:t>
            </w:r>
            <w:r>
              <w:rPr>
                <w:iCs/>
                <w:sz w:val="24"/>
              </w:rPr>
              <w:t>1，</w:t>
            </w:r>
            <w:r>
              <w:rPr>
                <w:i/>
                <w:iCs/>
                <w:sz w:val="24"/>
              </w:rPr>
              <w:t>q</w:t>
            </w:r>
            <w:r>
              <w:rPr>
                <w:iCs/>
                <w:sz w:val="24"/>
              </w:rPr>
              <w:t>2</w:t>
            </w:r>
            <w:r>
              <w:rPr>
                <w:rFonts w:hint="eastAsia"/>
                <w:iCs/>
                <w:sz w:val="24"/>
                <w:lang w:eastAsia="zh-CN"/>
              </w:rPr>
              <w:t>，</w:t>
            </w:r>
            <w:r>
              <w:rPr>
                <w:i/>
                <w:iCs/>
                <w:sz w:val="24"/>
              </w:rPr>
              <w:t>qn</w:t>
            </w:r>
            <w:r>
              <w:rPr>
                <w:iCs/>
                <w:sz w:val="24"/>
              </w:rPr>
              <w:t>——每种危险物质的最大存在总量，t；</w:t>
            </w:r>
          </w:p>
          <w:p w14:paraId="341023E4">
            <w:pPr>
              <w:adjustRightInd w:val="0"/>
              <w:snapToGrid w:val="0"/>
              <w:spacing w:line="360" w:lineRule="auto"/>
              <w:ind w:firstLine="480" w:firstLineChars="200"/>
              <w:rPr>
                <w:iCs/>
                <w:sz w:val="24"/>
              </w:rPr>
            </w:pPr>
            <w:r>
              <w:rPr>
                <w:i/>
                <w:iCs/>
                <w:sz w:val="24"/>
              </w:rPr>
              <w:t>Q</w:t>
            </w:r>
            <w:r>
              <w:rPr>
                <w:iCs/>
                <w:sz w:val="24"/>
              </w:rPr>
              <w:t>1，</w:t>
            </w:r>
            <w:r>
              <w:rPr>
                <w:i/>
                <w:iCs/>
                <w:sz w:val="24"/>
              </w:rPr>
              <w:t>Q</w:t>
            </w:r>
            <w:r>
              <w:rPr>
                <w:iCs/>
                <w:sz w:val="24"/>
              </w:rPr>
              <w:t>2</w:t>
            </w:r>
            <w:r>
              <w:rPr>
                <w:rFonts w:hint="eastAsia"/>
                <w:iCs/>
                <w:sz w:val="24"/>
              </w:rPr>
              <w:t>，</w:t>
            </w:r>
            <w:r>
              <w:rPr>
                <w:iCs/>
                <w:sz w:val="24"/>
              </w:rPr>
              <w:t xml:space="preserve"> </w:t>
            </w:r>
            <w:r>
              <w:rPr>
                <w:rFonts w:hint="eastAsia"/>
                <w:iCs/>
                <w:sz w:val="24"/>
                <w:lang w:eastAsia="zh-CN"/>
              </w:rPr>
              <w:t>.</w:t>
            </w:r>
            <w:r>
              <w:rPr>
                <w:iCs/>
                <w:sz w:val="24"/>
              </w:rPr>
              <w:t xml:space="preserve"> </w:t>
            </w:r>
            <w:r>
              <w:rPr>
                <w:i/>
                <w:iCs/>
                <w:sz w:val="24"/>
              </w:rPr>
              <w:t>Qn</w:t>
            </w:r>
            <w:r>
              <w:rPr>
                <w:iCs/>
                <w:sz w:val="24"/>
              </w:rPr>
              <w:t>——每种危险物质的临界量，t。</w:t>
            </w:r>
          </w:p>
          <w:p w14:paraId="6A3DA03E">
            <w:pPr>
              <w:adjustRightInd w:val="0"/>
              <w:snapToGrid w:val="0"/>
              <w:spacing w:line="360" w:lineRule="auto"/>
              <w:ind w:firstLine="480" w:firstLineChars="200"/>
              <w:rPr>
                <w:iCs/>
                <w:sz w:val="24"/>
              </w:rPr>
            </w:pPr>
            <w:r>
              <w:rPr>
                <w:iCs/>
                <w:sz w:val="24"/>
              </w:rPr>
              <w:t>当</w:t>
            </w:r>
            <w:r>
              <w:rPr>
                <w:i/>
                <w:iCs/>
                <w:sz w:val="24"/>
              </w:rPr>
              <w:t>Q</w:t>
            </w:r>
            <w:r>
              <w:rPr>
                <w:iCs/>
                <w:sz w:val="24"/>
              </w:rPr>
              <w:t>＜1 时，该项目环境风险潜势为</w:t>
            </w:r>
            <w:r>
              <w:rPr>
                <w:iCs/>
                <w:sz w:val="24"/>
              </w:rPr>
              <w:fldChar w:fldCharType="begin"/>
            </w:r>
            <w:r>
              <w:rPr>
                <w:iCs/>
                <w:sz w:val="24"/>
              </w:rPr>
              <w:instrText xml:space="preserve">= 1 \* ROMAN</w:instrText>
            </w:r>
            <w:r>
              <w:rPr>
                <w:iCs/>
                <w:sz w:val="24"/>
              </w:rPr>
              <w:fldChar w:fldCharType="separate"/>
            </w:r>
            <w:r>
              <w:rPr>
                <w:iCs/>
                <w:sz w:val="24"/>
              </w:rPr>
              <w:t>I</w:t>
            </w:r>
            <w:r>
              <w:rPr>
                <w:iCs/>
                <w:sz w:val="24"/>
              </w:rPr>
              <w:fldChar w:fldCharType="end"/>
            </w:r>
            <w:r>
              <w:rPr>
                <w:iCs/>
                <w:sz w:val="24"/>
              </w:rPr>
              <w:t>。</w:t>
            </w:r>
          </w:p>
          <w:p w14:paraId="59395020">
            <w:pPr>
              <w:adjustRightInd w:val="0"/>
              <w:snapToGrid w:val="0"/>
              <w:spacing w:line="360" w:lineRule="auto"/>
              <w:ind w:firstLine="480" w:firstLineChars="200"/>
              <w:rPr>
                <w:iCs/>
                <w:sz w:val="24"/>
              </w:rPr>
            </w:pPr>
            <w:r>
              <w:rPr>
                <w:iCs/>
                <w:sz w:val="24"/>
              </w:rPr>
              <w:t>当</w:t>
            </w:r>
            <w:r>
              <w:rPr>
                <w:i/>
                <w:iCs/>
                <w:sz w:val="24"/>
              </w:rPr>
              <w:t>Q</w:t>
            </w:r>
            <w:r>
              <w:rPr>
                <w:iCs/>
                <w:sz w:val="24"/>
              </w:rPr>
              <w:t>≥1 时，将</w:t>
            </w:r>
            <w:r>
              <w:rPr>
                <w:i/>
                <w:iCs/>
                <w:sz w:val="24"/>
              </w:rPr>
              <w:t>Q</w:t>
            </w:r>
            <w:r>
              <w:rPr>
                <w:iCs/>
                <w:sz w:val="24"/>
              </w:rPr>
              <w:t>值划分为：（1</w:t>
            </w:r>
            <w:r>
              <w:rPr>
                <w:rFonts w:hint="eastAsia"/>
                <w:iCs/>
                <w:sz w:val="24"/>
              </w:rPr>
              <w:t>）</w:t>
            </w:r>
            <w:r>
              <w:rPr>
                <w:iCs/>
                <w:sz w:val="24"/>
              </w:rPr>
              <w:t>1≤</w:t>
            </w:r>
            <w:r>
              <w:rPr>
                <w:i/>
                <w:iCs/>
                <w:sz w:val="24"/>
              </w:rPr>
              <w:t>Q</w:t>
            </w:r>
            <w:r>
              <w:rPr>
                <w:iCs/>
                <w:sz w:val="24"/>
              </w:rPr>
              <w:t>＜10；（2</w:t>
            </w:r>
            <w:r>
              <w:rPr>
                <w:rFonts w:hint="eastAsia"/>
                <w:iCs/>
                <w:sz w:val="24"/>
              </w:rPr>
              <w:t>）</w:t>
            </w:r>
            <w:r>
              <w:rPr>
                <w:iCs/>
                <w:sz w:val="24"/>
              </w:rPr>
              <w:t>10≤</w:t>
            </w:r>
            <w:r>
              <w:rPr>
                <w:i/>
                <w:iCs/>
                <w:sz w:val="24"/>
              </w:rPr>
              <w:t>Q</w:t>
            </w:r>
            <w:r>
              <w:rPr>
                <w:iCs/>
                <w:sz w:val="24"/>
              </w:rPr>
              <w:t>＜100；（3</w:t>
            </w:r>
            <w:r>
              <w:rPr>
                <w:rFonts w:hint="eastAsia"/>
                <w:iCs/>
                <w:sz w:val="24"/>
              </w:rPr>
              <w:t>）</w:t>
            </w:r>
            <w:r>
              <w:rPr>
                <w:i/>
                <w:iCs/>
                <w:sz w:val="24"/>
              </w:rPr>
              <w:t>Q</w:t>
            </w:r>
            <w:r>
              <w:rPr>
                <w:iCs/>
                <w:sz w:val="24"/>
              </w:rPr>
              <w:t>≥100。</w:t>
            </w:r>
          </w:p>
          <w:p w14:paraId="06C3C128">
            <w:pPr>
              <w:adjustRightInd w:val="0"/>
              <w:snapToGrid w:val="0"/>
              <w:spacing w:line="360" w:lineRule="auto"/>
              <w:ind w:firstLine="480" w:firstLineChars="200"/>
              <w:rPr>
                <w:sz w:val="24"/>
              </w:rPr>
            </w:pPr>
            <w:r>
              <w:rPr>
                <w:sz w:val="24"/>
              </w:rPr>
              <w:t>根据《建设项目环境风险评价技术导则》（HJ169-2018）附录B中B.1突发环境事件风险物质及临界量表进行危险辨识。本项目涉及的突发环境事件风险物质与其临界量情况见下表所示。</w:t>
            </w:r>
          </w:p>
          <w:p w14:paraId="1ED5D3BB">
            <w:pPr>
              <w:jc w:val="center"/>
              <w:rPr>
                <w:b/>
                <w:bCs/>
                <w:szCs w:val="21"/>
              </w:rPr>
            </w:pPr>
            <w:r>
              <w:rPr>
                <w:b/>
                <w:bCs/>
                <w:szCs w:val="21"/>
              </w:rPr>
              <w:t>表4-</w:t>
            </w:r>
            <w:r>
              <w:rPr>
                <w:rFonts w:hint="eastAsia"/>
                <w:b/>
                <w:bCs/>
                <w:szCs w:val="21"/>
              </w:rPr>
              <w:t xml:space="preserve">26  </w:t>
            </w:r>
            <w:r>
              <w:rPr>
                <w:b/>
                <w:bCs/>
                <w:szCs w:val="21"/>
              </w:rPr>
              <w:t>企业涉及突发环境事件风险物质清单表</w:t>
            </w:r>
          </w:p>
          <w:tbl>
            <w:tblPr>
              <w:tblStyle w:val="27"/>
              <w:tblpPr w:leftFromText="180" w:rightFromText="180" w:vertAnchor="text" w:horzAnchor="page" w:tblpX="103" w:tblpY="26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645"/>
              <w:gridCol w:w="1572"/>
              <w:gridCol w:w="1284"/>
              <w:gridCol w:w="1109"/>
              <w:gridCol w:w="1214"/>
            </w:tblGrid>
            <w:tr w14:paraId="29F0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vAlign w:val="center"/>
                </w:tcPr>
                <w:p w14:paraId="0C286941">
                  <w:pPr>
                    <w:jc w:val="center"/>
                    <w:rPr>
                      <w:b/>
                      <w:bCs/>
                    </w:rPr>
                  </w:pPr>
                  <w:r>
                    <w:rPr>
                      <w:b/>
                      <w:bCs/>
                    </w:rPr>
                    <w:t>序号</w:t>
                  </w:r>
                </w:p>
              </w:tc>
              <w:tc>
                <w:tcPr>
                  <w:tcW w:w="1565" w:type="pct"/>
                  <w:tcBorders>
                    <w:top w:val="single" w:color="auto" w:sz="4" w:space="0"/>
                    <w:left w:val="single" w:color="auto" w:sz="4" w:space="0"/>
                    <w:bottom w:val="single" w:color="auto" w:sz="4" w:space="0"/>
                    <w:right w:val="single" w:color="auto" w:sz="4" w:space="0"/>
                  </w:tcBorders>
                  <w:vAlign w:val="center"/>
                </w:tcPr>
                <w:p w14:paraId="055A9E8F">
                  <w:pPr>
                    <w:jc w:val="center"/>
                    <w:rPr>
                      <w:b/>
                      <w:bCs/>
                    </w:rPr>
                  </w:pPr>
                  <w:r>
                    <w:rPr>
                      <w:b/>
                      <w:bCs/>
                    </w:rPr>
                    <w:t>物质名称</w:t>
                  </w:r>
                </w:p>
              </w:tc>
              <w:tc>
                <w:tcPr>
                  <w:tcW w:w="932" w:type="pct"/>
                  <w:tcBorders>
                    <w:top w:val="single" w:color="auto" w:sz="4" w:space="0"/>
                    <w:left w:val="single" w:color="auto" w:sz="4" w:space="0"/>
                    <w:bottom w:val="single" w:color="auto" w:sz="4" w:space="0"/>
                    <w:right w:val="single" w:color="auto" w:sz="4" w:space="0"/>
                  </w:tcBorders>
                  <w:vAlign w:val="center"/>
                </w:tcPr>
                <w:p w14:paraId="0081936B">
                  <w:pPr>
                    <w:jc w:val="center"/>
                    <w:rPr>
                      <w:b/>
                      <w:bCs/>
                    </w:rPr>
                  </w:pPr>
                  <w:r>
                    <w:rPr>
                      <w:b/>
                      <w:bCs/>
                    </w:rPr>
                    <w:t>最大储存量（</w:t>
                  </w:r>
                  <w:r>
                    <w:rPr>
                      <w:rFonts w:hint="eastAsia"/>
                      <w:b/>
                      <w:bCs/>
                    </w:rPr>
                    <w:t>t）</w:t>
                  </w:r>
                </w:p>
              </w:tc>
              <w:tc>
                <w:tcPr>
                  <w:tcW w:w="762" w:type="pct"/>
                  <w:tcBorders>
                    <w:top w:val="single" w:color="auto" w:sz="4" w:space="0"/>
                    <w:left w:val="single" w:color="auto" w:sz="4" w:space="0"/>
                    <w:bottom w:val="single" w:color="auto" w:sz="4" w:space="0"/>
                    <w:right w:val="single" w:color="auto" w:sz="4" w:space="0"/>
                  </w:tcBorders>
                  <w:vAlign w:val="center"/>
                </w:tcPr>
                <w:p w14:paraId="06011D95">
                  <w:pPr>
                    <w:jc w:val="center"/>
                    <w:rPr>
                      <w:b/>
                      <w:bCs/>
                    </w:rPr>
                  </w:pPr>
                  <w:r>
                    <w:rPr>
                      <w:b/>
                      <w:bCs/>
                    </w:rPr>
                    <w:t>临界量（</w:t>
                  </w:r>
                  <w:r>
                    <w:rPr>
                      <w:rFonts w:hint="eastAsia"/>
                      <w:b/>
                      <w:bCs/>
                    </w:rPr>
                    <w:t>t）</w:t>
                  </w:r>
                </w:p>
              </w:tc>
              <w:tc>
                <w:tcPr>
                  <w:tcW w:w="627" w:type="pct"/>
                  <w:tcBorders>
                    <w:top w:val="single" w:color="auto" w:sz="4" w:space="0"/>
                    <w:left w:val="single" w:color="auto" w:sz="4" w:space="0"/>
                    <w:bottom w:val="single" w:color="auto" w:sz="4" w:space="0"/>
                    <w:right w:val="single" w:color="auto" w:sz="4" w:space="0"/>
                  </w:tcBorders>
                  <w:vAlign w:val="center"/>
                </w:tcPr>
                <w:p w14:paraId="73D888F6">
                  <w:pPr>
                    <w:jc w:val="center"/>
                    <w:rPr>
                      <w:b/>
                      <w:bCs/>
                    </w:rPr>
                  </w:pPr>
                  <w:r>
                    <w:rPr>
                      <w:b/>
                      <w:bCs/>
                    </w:rPr>
                    <w:t>比值</w:t>
                  </w:r>
                </w:p>
              </w:tc>
              <w:tc>
                <w:tcPr>
                  <w:tcW w:w="721" w:type="pct"/>
                  <w:tcBorders>
                    <w:top w:val="single" w:color="auto" w:sz="4" w:space="0"/>
                    <w:left w:val="single" w:color="auto" w:sz="4" w:space="0"/>
                    <w:bottom w:val="single" w:color="auto" w:sz="4" w:space="0"/>
                    <w:right w:val="single" w:color="auto" w:sz="4" w:space="0"/>
                  </w:tcBorders>
                  <w:vAlign w:val="center"/>
                </w:tcPr>
                <w:p w14:paraId="550B34AB">
                  <w:pPr>
                    <w:jc w:val="center"/>
                    <w:rPr>
                      <w:b/>
                      <w:bCs/>
                    </w:rPr>
                  </w:pPr>
                  <w:r>
                    <w:rPr>
                      <w:b/>
                      <w:bCs/>
                    </w:rPr>
                    <w:t>合计</w:t>
                  </w:r>
                </w:p>
              </w:tc>
            </w:tr>
            <w:tr w14:paraId="32B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vAlign w:val="center"/>
                </w:tcPr>
                <w:p w14:paraId="060F2F82">
                  <w:pPr>
                    <w:jc w:val="center"/>
                  </w:pPr>
                  <w:r>
                    <w:t>1</w:t>
                  </w:r>
                </w:p>
              </w:tc>
              <w:tc>
                <w:tcPr>
                  <w:tcW w:w="1565" w:type="pct"/>
                  <w:tcBorders>
                    <w:top w:val="single" w:color="auto" w:sz="4" w:space="0"/>
                    <w:left w:val="single" w:color="auto" w:sz="4" w:space="0"/>
                    <w:bottom w:val="single" w:color="auto" w:sz="4" w:space="0"/>
                    <w:right w:val="single" w:color="auto" w:sz="4" w:space="0"/>
                  </w:tcBorders>
                  <w:vAlign w:val="center"/>
                </w:tcPr>
                <w:p w14:paraId="0F9E3DCF">
                  <w:pPr>
                    <w:widowControl/>
                    <w:jc w:val="center"/>
                    <w:rPr>
                      <w:color w:val="000000"/>
                      <w:kern w:val="0"/>
                      <w:szCs w:val="21"/>
                    </w:rPr>
                  </w:pPr>
                  <w:r>
                    <w:rPr>
                      <w:rFonts w:hint="eastAsia"/>
                      <w:color w:val="000000"/>
                      <w:kern w:val="0"/>
                      <w:szCs w:val="21"/>
                    </w:rPr>
                    <w:t>柴油</w:t>
                  </w:r>
                </w:p>
              </w:tc>
              <w:tc>
                <w:tcPr>
                  <w:tcW w:w="932" w:type="pct"/>
                  <w:tcBorders>
                    <w:top w:val="single" w:color="auto" w:sz="4" w:space="0"/>
                    <w:left w:val="single" w:color="auto" w:sz="4" w:space="0"/>
                    <w:bottom w:val="single" w:color="auto" w:sz="4" w:space="0"/>
                    <w:right w:val="single" w:color="auto" w:sz="4" w:space="0"/>
                  </w:tcBorders>
                  <w:vAlign w:val="center"/>
                </w:tcPr>
                <w:p w14:paraId="44B5EECA">
                  <w:pPr>
                    <w:jc w:val="center"/>
                  </w:pPr>
                  <w:r>
                    <w:rPr>
                      <w:rFonts w:hint="eastAsia"/>
                    </w:rPr>
                    <w:t>0.68</w:t>
                  </w:r>
                </w:p>
              </w:tc>
              <w:tc>
                <w:tcPr>
                  <w:tcW w:w="762" w:type="pct"/>
                  <w:tcBorders>
                    <w:top w:val="single" w:color="auto" w:sz="4" w:space="0"/>
                    <w:left w:val="single" w:color="auto" w:sz="4" w:space="0"/>
                    <w:bottom w:val="single" w:color="auto" w:sz="4" w:space="0"/>
                    <w:right w:val="single" w:color="auto" w:sz="4" w:space="0"/>
                  </w:tcBorders>
                  <w:vAlign w:val="center"/>
                </w:tcPr>
                <w:p w14:paraId="129684E4">
                  <w:pPr>
                    <w:jc w:val="center"/>
                  </w:pPr>
                  <w:r>
                    <w:rPr>
                      <w:rFonts w:hint="eastAsia"/>
                    </w:rPr>
                    <w:t>500</w:t>
                  </w:r>
                </w:p>
              </w:tc>
              <w:tc>
                <w:tcPr>
                  <w:tcW w:w="1064" w:type="dxa"/>
                  <w:tcBorders>
                    <w:top w:val="single" w:color="auto" w:sz="4" w:space="0"/>
                    <w:left w:val="single" w:color="auto" w:sz="4" w:space="0"/>
                    <w:bottom w:val="single" w:color="auto" w:sz="4" w:space="0"/>
                    <w:right w:val="single" w:color="auto" w:sz="4" w:space="0"/>
                  </w:tcBorders>
                  <w:vAlign w:val="center"/>
                </w:tcPr>
                <w:p w14:paraId="3374D993">
                  <w:pPr>
                    <w:widowControl/>
                    <w:jc w:val="center"/>
                    <w:textAlignment w:val="center"/>
                  </w:pPr>
                  <w:r>
                    <w:rPr>
                      <w:color w:val="000000"/>
                      <w:kern w:val="0"/>
                      <w:szCs w:val="21"/>
                      <w:lang w:bidi="ar"/>
                    </w:rPr>
                    <w:t>0.00136</w:t>
                  </w:r>
                </w:p>
              </w:tc>
              <w:tc>
                <w:tcPr>
                  <w:tcW w:w="721" w:type="pct"/>
                  <w:vMerge w:val="restart"/>
                  <w:tcBorders>
                    <w:left w:val="single" w:color="auto" w:sz="4" w:space="0"/>
                    <w:right w:val="single" w:color="auto" w:sz="4" w:space="0"/>
                  </w:tcBorders>
                  <w:vAlign w:val="center"/>
                </w:tcPr>
                <w:p w14:paraId="24CB9F77">
                  <w:pPr>
                    <w:jc w:val="center"/>
                  </w:pPr>
                  <w:r>
                    <w:rPr>
                      <w:rFonts w:hint="eastAsia"/>
                    </w:rPr>
                    <w:t>0.0041188</w:t>
                  </w:r>
                </w:p>
              </w:tc>
            </w:tr>
            <w:tr w14:paraId="3FB6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vAlign w:val="center"/>
                </w:tcPr>
                <w:p w14:paraId="59F6AACA">
                  <w:pPr>
                    <w:jc w:val="center"/>
                  </w:pPr>
                  <w:r>
                    <w:t>2</w:t>
                  </w:r>
                </w:p>
              </w:tc>
              <w:tc>
                <w:tcPr>
                  <w:tcW w:w="1565" w:type="pct"/>
                  <w:tcBorders>
                    <w:top w:val="single" w:color="auto" w:sz="4" w:space="0"/>
                    <w:left w:val="single" w:color="auto" w:sz="4" w:space="0"/>
                    <w:bottom w:val="single" w:color="auto" w:sz="4" w:space="0"/>
                    <w:right w:val="single" w:color="auto" w:sz="4" w:space="0"/>
                  </w:tcBorders>
                  <w:vAlign w:val="center"/>
                </w:tcPr>
                <w:p w14:paraId="6702FD2B">
                  <w:pPr>
                    <w:widowControl/>
                    <w:jc w:val="center"/>
                    <w:rPr>
                      <w:color w:val="000000"/>
                      <w:kern w:val="0"/>
                      <w:szCs w:val="21"/>
                    </w:rPr>
                  </w:pPr>
                  <w:r>
                    <w:rPr>
                      <w:rFonts w:hint="eastAsia"/>
                      <w:color w:val="000000"/>
                      <w:kern w:val="0"/>
                      <w:szCs w:val="21"/>
                    </w:rPr>
                    <w:t>液压油</w:t>
                  </w:r>
                </w:p>
              </w:tc>
              <w:tc>
                <w:tcPr>
                  <w:tcW w:w="932" w:type="pct"/>
                  <w:tcBorders>
                    <w:top w:val="single" w:color="auto" w:sz="4" w:space="0"/>
                    <w:left w:val="single" w:color="auto" w:sz="4" w:space="0"/>
                    <w:bottom w:val="single" w:color="auto" w:sz="4" w:space="0"/>
                    <w:right w:val="single" w:color="auto" w:sz="4" w:space="0"/>
                  </w:tcBorders>
                  <w:vAlign w:val="center"/>
                </w:tcPr>
                <w:p w14:paraId="78B74923">
                  <w:pPr>
                    <w:jc w:val="center"/>
                  </w:pPr>
                  <w:r>
                    <w:rPr>
                      <w:rFonts w:hint="eastAsia"/>
                    </w:rPr>
                    <w:t>0.5</w:t>
                  </w:r>
                </w:p>
              </w:tc>
              <w:tc>
                <w:tcPr>
                  <w:tcW w:w="762" w:type="pct"/>
                  <w:tcBorders>
                    <w:top w:val="single" w:color="auto" w:sz="4" w:space="0"/>
                    <w:left w:val="single" w:color="auto" w:sz="4" w:space="0"/>
                    <w:bottom w:val="single" w:color="auto" w:sz="4" w:space="0"/>
                    <w:right w:val="single" w:color="auto" w:sz="4" w:space="0"/>
                  </w:tcBorders>
                  <w:vAlign w:val="center"/>
                </w:tcPr>
                <w:p w14:paraId="2A7DC0D9">
                  <w:pPr>
                    <w:jc w:val="center"/>
                  </w:pPr>
                  <w:r>
                    <w:rPr>
                      <w:rFonts w:hint="eastAsia"/>
                    </w:rPr>
                    <w:t>2500</w:t>
                  </w:r>
                </w:p>
              </w:tc>
              <w:tc>
                <w:tcPr>
                  <w:tcW w:w="1064" w:type="dxa"/>
                  <w:tcBorders>
                    <w:top w:val="single" w:color="auto" w:sz="4" w:space="0"/>
                    <w:left w:val="single" w:color="auto" w:sz="4" w:space="0"/>
                    <w:bottom w:val="single" w:color="auto" w:sz="4" w:space="0"/>
                    <w:right w:val="single" w:color="auto" w:sz="4" w:space="0"/>
                  </w:tcBorders>
                  <w:vAlign w:val="center"/>
                </w:tcPr>
                <w:p w14:paraId="355C057F">
                  <w:pPr>
                    <w:widowControl/>
                    <w:jc w:val="center"/>
                    <w:textAlignment w:val="center"/>
                  </w:pPr>
                  <w:r>
                    <w:rPr>
                      <w:color w:val="000000"/>
                      <w:kern w:val="0"/>
                      <w:szCs w:val="21"/>
                      <w:lang w:bidi="ar"/>
                    </w:rPr>
                    <w:t>0.0002</w:t>
                  </w:r>
                </w:p>
              </w:tc>
              <w:tc>
                <w:tcPr>
                  <w:tcW w:w="721" w:type="pct"/>
                  <w:vMerge w:val="continue"/>
                  <w:tcBorders>
                    <w:left w:val="single" w:color="auto" w:sz="4" w:space="0"/>
                    <w:right w:val="single" w:color="auto" w:sz="4" w:space="0"/>
                  </w:tcBorders>
                  <w:vAlign w:val="center"/>
                </w:tcPr>
                <w:p w14:paraId="264BA99D">
                  <w:pPr>
                    <w:jc w:val="center"/>
                  </w:pPr>
                </w:p>
              </w:tc>
            </w:tr>
            <w:tr w14:paraId="7C37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vAlign w:val="center"/>
                </w:tcPr>
                <w:p w14:paraId="5C8AF0D4">
                  <w:pPr>
                    <w:jc w:val="center"/>
                  </w:pPr>
                  <w:r>
                    <w:t>3</w:t>
                  </w:r>
                </w:p>
              </w:tc>
              <w:tc>
                <w:tcPr>
                  <w:tcW w:w="1565" w:type="pct"/>
                  <w:tcBorders>
                    <w:top w:val="single" w:color="auto" w:sz="4" w:space="0"/>
                    <w:left w:val="single" w:color="auto" w:sz="4" w:space="0"/>
                    <w:bottom w:val="single" w:color="auto" w:sz="4" w:space="0"/>
                    <w:right w:val="single" w:color="auto" w:sz="4" w:space="0"/>
                  </w:tcBorders>
                  <w:vAlign w:val="center"/>
                </w:tcPr>
                <w:p w14:paraId="5945E123">
                  <w:pPr>
                    <w:widowControl/>
                    <w:jc w:val="center"/>
                    <w:rPr>
                      <w:color w:val="000000"/>
                      <w:kern w:val="0"/>
                      <w:szCs w:val="21"/>
                    </w:rPr>
                  </w:pPr>
                  <w:r>
                    <w:rPr>
                      <w:rFonts w:hint="eastAsia"/>
                      <w:color w:val="000000"/>
                      <w:kern w:val="0"/>
                      <w:szCs w:val="21"/>
                    </w:rPr>
                    <w:t>废液压油</w:t>
                  </w:r>
                </w:p>
              </w:tc>
              <w:tc>
                <w:tcPr>
                  <w:tcW w:w="932" w:type="pct"/>
                  <w:tcBorders>
                    <w:top w:val="single" w:color="auto" w:sz="4" w:space="0"/>
                    <w:left w:val="single" w:color="auto" w:sz="4" w:space="0"/>
                    <w:bottom w:val="single" w:color="auto" w:sz="4" w:space="0"/>
                    <w:right w:val="single" w:color="auto" w:sz="4" w:space="0"/>
                  </w:tcBorders>
                  <w:vAlign w:val="center"/>
                </w:tcPr>
                <w:p w14:paraId="68DAD9AC">
                  <w:pPr>
                    <w:jc w:val="center"/>
                  </w:pPr>
                  <w:r>
                    <w:rPr>
                      <w:rFonts w:hint="eastAsia"/>
                    </w:rPr>
                    <w:t>1.25</w:t>
                  </w:r>
                </w:p>
              </w:tc>
              <w:tc>
                <w:tcPr>
                  <w:tcW w:w="762" w:type="pct"/>
                  <w:tcBorders>
                    <w:top w:val="single" w:color="auto" w:sz="4" w:space="0"/>
                    <w:left w:val="single" w:color="auto" w:sz="4" w:space="0"/>
                    <w:bottom w:val="single" w:color="auto" w:sz="4" w:space="0"/>
                    <w:right w:val="single" w:color="auto" w:sz="4" w:space="0"/>
                  </w:tcBorders>
                  <w:vAlign w:val="center"/>
                </w:tcPr>
                <w:p w14:paraId="2EDD9325">
                  <w:pPr>
                    <w:jc w:val="center"/>
                  </w:pPr>
                  <w:r>
                    <w:rPr>
                      <w:rFonts w:hint="eastAsia"/>
                    </w:rPr>
                    <w:t>2500</w:t>
                  </w:r>
                </w:p>
              </w:tc>
              <w:tc>
                <w:tcPr>
                  <w:tcW w:w="1064" w:type="dxa"/>
                  <w:tcBorders>
                    <w:top w:val="single" w:color="auto" w:sz="4" w:space="0"/>
                    <w:left w:val="single" w:color="auto" w:sz="4" w:space="0"/>
                    <w:bottom w:val="single" w:color="auto" w:sz="4" w:space="0"/>
                    <w:right w:val="single" w:color="auto" w:sz="4" w:space="0"/>
                  </w:tcBorders>
                  <w:vAlign w:val="center"/>
                </w:tcPr>
                <w:p w14:paraId="0562CF5B">
                  <w:pPr>
                    <w:widowControl/>
                    <w:jc w:val="center"/>
                    <w:textAlignment w:val="center"/>
                  </w:pPr>
                  <w:r>
                    <w:rPr>
                      <w:color w:val="000000"/>
                      <w:kern w:val="0"/>
                      <w:szCs w:val="21"/>
                      <w:lang w:bidi="ar"/>
                    </w:rPr>
                    <w:t>0.0005</w:t>
                  </w:r>
                </w:p>
              </w:tc>
              <w:tc>
                <w:tcPr>
                  <w:tcW w:w="721" w:type="pct"/>
                  <w:vMerge w:val="continue"/>
                  <w:tcBorders>
                    <w:left w:val="single" w:color="auto" w:sz="4" w:space="0"/>
                    <w:right w:val="single" w:color="auto" w:sz="4" w:space="0"/>
                  </w:tcBorders>
                  <w:vAlign w:val="center"/>
                </w:tcPr>
                <w:p w14:paraId="3AB99287">
                  <w:pPr>
                    <w:jc w:val="center"/>
                  </w:pPr>
                </w:p>
              </w:tc>
            </w:tr>
            <w:tr w14:paraId="0458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7445151">
                  <w:pPr>
                    <w:jc w:val="center"/>
                  </w:pPr>
                  <w:r>
                    <w:rPr>
                      <w:rFonts w:hint="eastAsia"/>
                    </w:rPr>
                    <w:t>4</w:t>
                  </w:r>
                </w:p>
              </w:tc>
              <w:tc>
                <w:tcPr>
                  <w:tcW w:w="1565" w:type="pct"/>
                  <w:vAlign w:val="center"/>
                </w:tcPr>
                <w:p w14:paraId="42F08BAF">
                  <w:pPr>
                    <w:widowControl/>
                    <w:jc w:val="center"/>
                    <w:rPr>
                      <w:color w:val="000000"/>
                      <w:kern w:val="0"/>
                      <w:szCs w:val="21"/>
                    </w:rPr>
                  </w:pPr>
                  <w:r>
                    <w:rPr>
                      <w:rFonts w:hint="eastAsia"/>
                      <w:color w:val="000000"/>
                      <w:kern w:val="0"/>
                      <w:szCs w:val="21"/>
                    </w:rPr>
                    <w:t>润滑油</w:t>
                  </w:r>
                </w:p>
              </w:tc>
              <w:tc>
                <w:tcPr>
                  <w:tcW w:w="932" w:type="pct"/>
                  <w:vAlign w:val="center"/>
                </w:tcPr>
                <w:p w14:paraId="212B8AB3">
                  <w:pPr>
                    <w:jc w:val="center"/>
                  </w:pPr>
                  <w:r>
                    <w:rPr>
                      <w:rFonts w:hint="eastAsia"/>
                    </w:rPr>
                    <w:t>0.05</w:t>
                  </w:r>
                </w:p>
              </w:tc>
              <w:tc>
                <w:tcPr>
                  <w:tcW w:w="762" w:type="pct"/>
                  <w:vAlign w:val="center"/>
                </w:tcPr>
                <w:p w14:paraId="1E74AB81">
                  <w:pPr>
                    <w:jc w:val="center"/>
                  </w:pPr>
                  <w:r>
                    <w:rPr>
                      <w:rFonts w:hint="eastAsia"/>
                    </w:rPr>
                    <w:t>2500</w:t>
                  </w:r>
                </w:p>
              </w:tc>
              <w:tc>
                <w:tcPr>
                  <w:tcW w:w="1064" w:type="dxa"/>
                  <w:vAlign w:val="center"/>
                </w:tcPr>
                <w:p w14:paraId="7CE4295C">
                  <w:pPr>
                    <w:widowControl/>
                    <w:jc w:val="center"/>
                    <w:textAlignment w:val="center"/>
                  </w:pPr>
                  <w:r>
                    <w:rPr>
                      <w:color w:val="000000"/>
                      <w:kern w:val="0"/>
                      <w:szCs w:val="21"/>
                      <w:lang w:bidi="ar"/>
                    </w:rPr>
                    <w:t>0.00002</w:t>
                  </w:r>
                </w:p>
              </w:tc>
              <w:tc>
                <w:tcPr>
                  <w:tcW w:w="721" w:type="pct"/>
                  <w:vMerge w:val="continue"/>
                  <w:tcBorders>
                    <w:left w:val="single" w:color="auto" w:sz="4" w:space="0"/>
                    <w:right w:val="single" w:color="auto" w:sz="4" w:space="0"/>
                  </w:tcBorders>
                  <w:vAlign w:val="center"/>
                </w:tcPr>
                <w:p w14:paraId="5813A2C9">
                  <w:pPr>
                    <w:jc w:val="center"/>
                  </w:pPr>
                </w:p>
              </w:tc>
            </w:tr>
            <w:tr w14:paraId="451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5F224DA5">
                  <w:pPr>
                    <w:jc w:val="center"/>
                  </w:pPr>
                  <w:r>
                    <w:rPr>
                      <w:rFonts w:hint="eastAsia"/>
                    </w:rPr>
                    <w:t>5</w:t>
                  </w:r>
                </w:p>
              </w:tc>
              <w:tc>
                <w:tcPr>
                  <w:tcW w:w="1565" w:type="pct"/>
                  <w:vAlign w:val="center"/>
                </w:tcPr>
                <w:p w14:paraId="42098E94">
                  <w:pPr>
                    <w:widowControl/>
                    <w:jc w:val="center"/>
                    <w:rPr>
                      <w:color w:val="000000"/>
                      <w:kern w:val="0"/>
                      <w:szCs w:val="21"/>
                    </w:rPr>
                  </w:pPr>
                  <w:r>
                    <w:rPr>
                      <w:rFonts w:hint="eastAsia"/>
                      <w:color w:val="000000"/>
                      <w:kern w:val="0"/>
                      <w:szCs w:val="21"/>
                    </w:rPr>
                    <w:t>废润滑油</w:t>
                  </w:r>
                </w:p>
              </w:tc>
              <w:tc>
                <w:tcPr>
                  <w:tcW w:w="932" w:type="pct"/>
                  <w:vAlign w:val="center"/>
                </w:tcPr>
                <w:p w14:paraId="03AFA33A">
                  <w:pPr>
                    <w:jc w:val="center"/>
                  </w:pPr>
                  <w:r>
                    <w:rPr>
                      <w:rFonts w:hint="eastAsia"/>
                    </w:rPr>
                    <w:t>0.097</w:t>
                  </w:r>
                </w:p>
              </w:tc>
              <w:tc>
                <w:tcPr>
                  <w:tcW w:w="762" w:type="pct"/>
                  <w:vAlign w:val="center"/>
                </w:tcPr>
                <w:p w14:paraId="0415AB49">
                  <w:pPr>
                    <w:jc w:val="center"/>
                  </w:pPr>
                  <w:r>
                    <w:rPr>
                      <w:rFonts w:hint="eastAsia"/>
                    </w:rPr>
                    <w:t>2500</w:t>
                  </w:r>
                </w:p>
              </w:tc>
              <w:tc>
                <w:tcPr>
                  <w:tcW w:w="1064" w:type="dxa"/>
                  <w:vAlign w:val="center"/>
                </w:tcPr>
                <w:p w14:paraId="4E58C05F">
                  <w:pPr>
                    <w:widowControl/>
                    <w:jc w:val="center"/>
                    <w:textAlignment w:val="center"/>
                  </w:pPr>
                  <w:r>
                    <w:rPr>
                      <w:color w:val="000000"/>
                      <w:kern w:val="0"/>
                      <w:szCs w:val="21"/>
                      <w:lang w:bidi="ar"/>
                    </w:rPr>
                    <w:t>0.0000388</w:t>
                  </w:r>
                </w:p>
              </w:tc>
              <w:tc>
                <w:tcPr>
                  <w:tcW w:w="721" w:type="pct"/>
                  <w:vMerge w:val="continue"/>
                  <w:tcBorders>
                    <w:left w:val="single" w:color="auto" w:sz="4" w:space="0"/>
                    <w:right w:val="single" w:color="auto" w:sz="4" w:space="0"/>
                  </w:tcBorders>
                  <w:vAlign w:val="center"/>
                </w:tcPr>
                <w:p w14:paraId="3DD8E6D6">
                  <w:pPr>
                    <w:jc w:val="center"/>
                  </w:pPr>
                </w:p>
              </w:tc>
            </w:tr>
            <w:tr w14:paraId="7FF1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EFE4B7B">
                  <w:pPr>
                    <w:jc w:val="center"/>
                  </w:pPr>
                  <w:r>
                    <w:rPr>
                      <w:rFonts w:hint="eastAsia"/>
                    </w:rPr>
                    <w:t>6</w:t>
                  </w:r>
                </w:p>
              </w:tc>
              <w:tc>
                <w:tcPr>
                  <w:tcW w:w="1565" w:type="pct"/>
                  <w:vAlign w:val="center"/>
                </w:tcPr>
                <w:p w14:paraId="2CA2A7F8">
                  <w:pPr>
                    <w:widowControl/>
                    <w:jc w:val="center"/>
                    <w:rPr>
                      <w:color w:val="000000"/>
                      <w:kern w:val="0"/>
                      <w:szCs w:val="21"/>
                    </w:rPr>
                  </w:pPr>
                  <w:r>
                    <w:rPr>
                      <w:rFonts w:hint="eastAsia"/>
                      <w:color w:val="000000"/>
                      <w:kern w:val="0"/>
                      <w:szCs w:val="21"/>
                    </w:rPr>
                    <w:t>次氯酸钠</w:t>
                  </w:r>
                </w:p>
              </w:tc>
              <w:tc>
                <w:tcPr>
                  <w:tcW w:w="932" w:type="pct"/>
                  <w:vAlign w:val="center"/>
                </w:tcPr>
                <w:p w14:paraId="7712995A">
                  <w:pPr>
                    <w:jc w:val="center"/>
                  </w:pPr>
                  <w:r>
                    <w:rPr>
                      <w:rFonts w:hint="eastAsia"/>
                    </w:rPr>
                    <w:t>0.01</w:t>
                  </w:r>
                </w:p>
              </w:tc>
              <w:tc>
                <w:tcPr>
                  <w:tcW w:w="762" w:type="pct"/>
                  <w:vAlign w:val="center"/>
                </w:tcPr>
                <w:p w14:paraId="1F91FDBF">
                  <w:pPr>
                    <w:jc w:val="center"/>
                  </w:pPr>
                  <w:r>
                    <w:rPr>
                      <w:rFonts w:hint="eastAsia"/>
                    </w:rPr>
                    <w:t>5.0</w:t>
                  </w:r>
                </w:p>
              </w:tc>
              <w:tc>
                <w:tcPr>
                  <w:tcW w:w="1064" w:type="dxa"/>
                  <w:vAlign w:val="center"/>
                </w:tcPr>
                <w:p w14:paraId="3EC0392A">
                  <w:pPr>
                    <w:widowControl/>
                    <w:jc w:val="center"/>
                    <w:textAlignment w:val="center"/>
                  </w:pPr>
                  <w:r>
                    <w:rPr>
                      <w:color w:val="000000"/>
                      <w:kern w:val="0"/>
                      <w:szCs w:val="21"/>
                      <w:lang w:bidi="ar"/>
                    </w:rPr>
                    <w:t>0.002</w:t>
                  </w:r>
                </w:p>
              </w:tc>
              <w:tc>
                <w:tcPr>
                  <w:tcW w:w="721" w:type="pct"/>
                  <w:vMerge w:val="continue"/>
                  <w:tcBorders>
                    <w:left w:val="single" w:color="auto" w:sz="4" w:space="0"/>
                    <w:right w:val="single" w:color="auto" w:sz="4" w:space="0"/>
                  </w:tcBorders>
                  <w:vAlign w:val="center"/>
                </w:tcPr>
                <w:p w14:paraId="6F5DE39C">
                  <w:pPr>
                    <w:jc w:val="center"/>
                  </w:pPr>
                </w:p>
              </w:tc>
            </w:tr>
          </w:tbl>
          <w:p w14:paraId="7B1EC7B0">
            <w:pPr>
              <w:autoSpaceDE w:val="0"/>
              <w:autoSpaceDN w:val="0"/>
              <w:adjustRightInd w:val="0"/>
              <w:snapToGrid w:val="0"/>
              <w:spacing w:before="120" w:beforeLines="50" w:line="360" w:lineRule="auto"/>
              <w:ind w:firstLine="480" w:firstLineChars="200"/>
              <w:rPr>
                <w:sz w:val="24"/>
              </w:rPr>
            </w:pPr>
            <w:r>
              <w:rPr>
                <w:sz w:val="24"/>
              </w:rPr>
              <w:t>根据上表可知：项目Q＜1，故本项目不需做环境风险专项评价。本次评价重点进行风险识别、</w:t>
            </w:r>
            <w:r>
              <w:rPr>
                <w:rFonts w:hint="eastAsia"/>
                <w:sz w:val="24"/>
                <w:lang w:eastAsia="zh-CN"/>
              </w:rPr>
              <w:t>专项</w:t>
            </w:r>
            <w:r>
              <w:rPr>
                <w:sz w:val="24"/>
              </w:rPr>
              <w:t>分析和对事故影响进行简单分析，提出防范、减缓和应急措施</w:t>
            </w:r>
          </w:p>
          <w:p w14:paraId="66DFAFC9">
            <w:pPr>
              <w:spacing w:before="120" w:beforeLines="50" w:line="360" w:lineRule="auto"/>
              <w:ind w:firstLine="482" w:firstLineChars="200"/>
              <w:outlineLvl w:val="1"/>
              <w:rPr>
                <w:b/>
                <w:kern w:val="0"/>
                <w:sz w:val="24"/>
                <w:szCs w:val="20"/>
              </w:rPr>
            </w:pPr>
            <w:r>
              <w:rPr>
                <w:rFonts w:hint="eastAsia"/>
                <w:b/>
                <w:kern w:val="0"/>
                <w:sz w:val="24"/>
                <w:szCs w:val="20"/>
              </w:rPr>
              <w:t>3、</w:t>
            </w:r>
            <w:r>
              <w:rPr>
                <w:b/>
                <w:kern w:val="0"/>
                <w:sz w:val="24"/>
                <w:szCs w:val="20"/>
              </w:rPr>
              <w:t>环境风险事故分析</w:t>
            </w:r>
          </w:p>
          <w:p w14:paraId="2E678DCF">
            <w:pPr>
              <w:spacing w:line="360" w:lineRule="auto"/>
              <w:ind w:firstLine="482" w:firstLineChars="200"/>
              <w:rPr>
                <w:b/>
                <w:bCs/>
                <w:sz w:val="24"/>
              </w:rPr>
            </w:pPr>
            <w:r>
              <w:rPr>
                <w:b/>
                <w:bCs/>
                <w:sz w:val="24"/>
              </w:rPr>
              <w:t>（1</w:t>
            </w:r>
            <w:r>
              <w:rPr>
                <w:rFonts w:hint="eastAsia"/>
                <w:b/>
                <w:bCs/>
                <w:sz w:val="24"/>
              </w:rPr>
              <w:t>）污水处理系统</w:t>
            </w:r>
            <w:r>
              <w:rPr>
                <w:rFonts w:hint="eastAsia"/>
                <w:b/>
                <w:bCs/>
                <w:sz w:val="24"/>
                <w:lang w:eastAsia="zh-CN"/>
              </w:rPr>
              <w:t>泄漏</w:t>
            </w:r>
            <w:r>
              <w:rPr>
                <w:rFonts w:hint="eastAsia"/>
                <w:b/>
                <w:bCs/>
                <w:sz w:val="24"/>
              </w:rPr>
              <w:t>事故</w:t>
            </w:r>
          </w:p>
          <w:p w14:paraId="55B8053B">
            <w:pPr>
              <w:spacing w:line="360" w:lineRule="auto"/>
              <w:ind w:firstLine="480" w:firstLineChars="200"/>
              <w:rPr>
                <w:sz w:val="24"/>
              </w:rPr>
            </w:pPr>
            <w:r>
              <w:rPr>
                <w:sz w:val="24"/>
              </w:rPr>
              <w:t>生产废水等高浓度有机废水发生泄漏事故后，在泄漏点地面形成液池，由于应急措施采取不及时，未及时关闭车间周边雨污切换阀门，造成泄漏危险物质随厂区雨水管网持续排入当地地表水体，对</w:t>
            </w:r>
            <w:r>
              <w:rPr>
                <w:rFonts w:hint="eastAsia"/>
                <w:sz w:val="24"/>
              </w:rPr>
              <w:t>州河</w:t>
            </w:r>
            <w:r>
              <w:rPr>
                <w:sz w:val="24"/>
              </w:rPr>
              <w:t>下游水质造成环境污染事故；由于自建污水处理站管理不善或未采取有效的防渗措施，在管道及</w:t>
            </w:r>
            <w:r>
              <w:rPr>
                <w:rFonts w:hint="eastAsia"/>
                <w:sz w:val="24"/>
              </w:rPr>
              <w:t>设备</w:t>
            </w:r>
            <w:r>
              <w:rPr>
                <w:sz w:val="24"/>
              </w:rPr>
              <w:t>破损造成泄漏后，缓慢通过污水处理站池体地面下渗污染区域地下水环境，并进而造成土壤环境污染。</w:t>
            </w:r>
          </w:p>
          <w:p w14:paraId="0FAD89C5">
            <w:pPr>
              <w:spacing w:line="360" w:lineRule="auto"/>
              <w:ind w:firstLine="480" w:firstLineChars="200"/>
              <w:rPr>
                <w:b/>
                <w:bCs/>
                <w:sz w:val="24"/>
              </w:rPr>
            </w:pPr>
            <w:r>
              <w:rPr>
                <w:sz w:val="24"/>
              </w:rPr>
              <w:t>污水输送管道发生破裂，发生渗漏，导致地下水受到污染。污水输送管道堵塞、暴雨或者事故时导致污水厂区蔓延，会对地表水体和土壤造成污染。</w:t>
            </w:r>
          </w:p>
          <w:p w14:paraId="0F8AFC2C">
            <w:pPr>
              <w:spacing w:line="360" w:lineRule="auto"/>
              <w:ind w:firstLine="482" w:firstLineChars="200"/>
              <w:rPr>
                <w:b/>
                <w:bCs/>
                <w:sz w:val="24"/>
              </w:rPr>
            </w:pPr>
            <w:r>
              <w:rPr>
                <w:rFonts w:hint="eastAsia"/>
                <w:b/>
                <w:bCs/>
                <w:sz w:val="24"/>
              </w:rPr>
              <w:t>（2）危险废物</w:t>
            </w:r>
            <w:r>
              <w:rPr>
                <w:rFonts w:hint="eastAsia"/>
                <w:b/>
                <w:bCs/>
                <w:sz w:val="24"/>
                <w:lang w:eastAsia="zh-CN"/>
              </w:rPr>
              <w:t>泄漏</w:t>
            </w:r>
            <w:r>
              <w:rPr>
                <w:rFonts w:hint="eastAsia"/>
                <w:b/>
                <w:bCs/>
                <w:sz w:val="24"/>
              </w:rPr>
              <w:t>事故</w:t>
            </w:r>
          </w:p>
          <w:p w14:paraId="61F8E0E6">
            <w:pPr>
              <w:spacing w:line="360" w:lineRule="auto"/>
              <w:ind w:firstLine="480" w:firstLineChars="200"/>
              <w:rPr>
                <w:b/>
                <w:bCs/>
                <w:sz w:val="24"/>
              </w:rPr>
            </w:pPr>
            <w:r>
              <w:rPr>
                <w:rFonts w:hint="eastAsia"/>
                <w:sz w:val="24"/>
              </w:rPr>
              <w:t>企业设置的危废贮存点中存在一定量的废机油、废润滑油等，危险废物转运过程中如因容器破裂，造成跑、冒、滴、漏现象，未及时收集，通过雨水管道进入周边水体，会对周围的土壤及地表水体、地下水造成一定的影响。如周围存在火源，还会有火灾爆炸的风险。</w:t>
            </w:r>
          </w:p>
          <w:p w14:paraId="23D8CB3F">
            <w:pPr>
              <w:spacing w:line="360" w:lineRule="auto"/>
              <w:ind w:firstLine="482" w:firstLineChars="200"/>
              <w:rPr>
                <w:b/>
                <w:bCs/>
                <w:sz w:val="24"/>
              </w:rPr>
            </w:pPr>
            <w:r>
              <w:rPr>
                <w:rFonts w:hint="eastAsia"/>
                <w:b/>
                <w:bCs/>
                <w:sz w:val="24"/>
              </w:rPr>
              <w:t>（3）液压油、润滑油、柴油等</w:t>
            </w:r>
            <w:r>
              <w:rPr>
                <w:rFonts w:hint="eastAsia"/>
                <w:b/>
                <w:bCs/>
                <w:sz w:val="24"/>
                <w:lang w:eastAsia="zh-CN"/>
              </w:rPr>
              <w:t>泄漏</w:t>
            </w:r>
          </w:p>
          <w:p w14:paraId="4EF9F4BF">
            <w:pPr>
              <w:spacing w:line="360" w:lineRule="auto"/>
              <w:ind w:firstLine="480" w:firstLineChars="200"/>
              <w:rPr>
                <w:sz w:val="24"/>
              </w:rPr>
            </w:pPr>
            <w:r>
              <w:rPr>
                <w:sz w:val="24"/>
              </w:rPr>
              <w:t>本项目原材料运输方式采用汽车运输，在运输过程中因意外交通事故，可能</w:t>
            </w:r>
            <w:r>
              <w:rPr>
                <w:rFonts w:hint="eastAsia"/>
                <w:sz w:val="24"/>
              </w:rPr>
              <w:t>导致容器</w:t>
            </w:r>
            <w:r>
              <w:rPr>
                <w:sz w:val="24"/>
              </w:rPr>
              <w:t>被撞破，而造成</w:t>
            </w:r>
            <w:r>
              <w:rPr>
                <w:rFonts w:hint="eastAsia"/>
                <w:sz w:val="24"/>
              </w:rPr>
              <w:t>液压油</w:t>
            </w:r>
            <w:r>
              <w:rPr>
                <w:rFonts w:hint="eastAsia"/>
                <w:color w:val="000000"/>
                <w:kern w:val="0"/>
                <w:sz w:val="24"/>
              </w:rPr>
              <w:t>、润滑油、柴油</w:t>
            </w:r>
            <w:r>
              <w:rPr>
                <w:sz w:val="24"/>
              </w:rPr>
              <w:t>等化学品流出或</w:t>
            </w:r>
            <w:r>
              <w:rPr>
                <w:rFonts w:hint="eastAsia"/>
                <w:sz w:val="24"/>
                <w:lang w:eastAsia="zh-CN"/>
              </w:rPr>
              <w:t>溢出</w:t>
            </w:r>
            <w:r>
              <w:rPr>
                <w:sz w:val="24"/>
              </w:rPr>
              <w:t>，导致运输人员和周围人员中毒，造成局部环境污染；或运输过程中因长时间震动可造成化学品逸散、泄漏，导致沿途环境污染或人员中毒。</w:t>
            </w:r>
          </w:p>
          <w:p w14:paraId="662F1A74">
            <w:pPr>
              <w:spacing w:line="360" w:lineRule="auto"/>
              <w:ind w:firstLine="480" w:firstLineChars="200"/>
              <w:rPr>
                <w:b/>
                <w:bCs/>
                <w:sz w:val="24"/>
              </w:rPr>
            </w:pPr>
            <w:r>
              <w:rPr>
                <w:sz w:val="24"/>
              </w:rPr>
              <w:t>在贮存、</w:t>
            </w:r>
            <w:r>
              <w:rPr>
                <w:rFonts w:hint="eastAsia"/>
                <w:sz w:val="24"/>
              </w:rPr>
              <w:t>转运、</w:t>
            </w:r>
            <w:r>
              <w:rPr>
                <w:sz w:val="24"/>
              </w:rPr>
              <w:t>使用过程，可能由于贮存</w:t>
            </w:r>
            <w:r>
              <w:rPr>
                <w:rFonts w:hint="eastAsia"/>
                <w:sz w:val="24"/>
              </w:rPr>
              <w:t>容器</w:t>
            </w:r>
            <w:r>
              <w:rPr>
                <w:sz w:val="24"/>
              </w:rPr>
              <w:t>破裂</w:t>
            </w:r>
            <w:r>
              <w:rPr>
                <w:rFonts w:hint="eastAsia"/>
                <w:sz w:val="24"/>
                <w:lang w:eastAsia="zh-CN"/>
              </w:rPr>
              <w:t>或</w:t>
            </w:r>
            <w:r>
              <w:rPr>
                <w:sz w:val="24"/>
              </w:rPr>
              <w:t>操作不当，造成泄漏，导致人员中毒和环境污染，或在使用过程中由于操作人员失误造成</w:t>
            </w:r>
            <w:r>
              <w:rPr>
                <w:rFonts w:hint="eastAsia"/>
                <w:sz w:val="24"/>
              </w:rPr>
              <w:t>化学品泄漏</w:t>
            </w:r>
            <w:r>
              <w:rPr>
                <w:sz w:val="24"/>
              </w:rPr>
              <w:t>。</w:t>
            </w:r>
          </w:p>
          <w:p w14:paraId="3816B087">
            <w:pPr>
              <w:spacing w:line="360" w:lineRule="auto"/>
              <w:ind w:left="420" w:leftChars="200"/>
              <w:rPr>
                <w:b/>
                <w:bCs/>
                <w:sz w:val="24"/>
              </w:rPr>
            </w:pPr>
            <w:r>
              <w:rPr>
                <w:rFonts w:hint="eastAsia"/>
                <w:b/>
                <w:bCs/>
                <w:sz w:val="24"/>
              </w:rPr>
              <w:t>（4）</w:t>
            </w:r>
            <w:r>
              <w:rPr>
                <w:b/>
                <w:bCs/>
                <w:sz w:val="24"/>
              </w:rPr>
              <w:t>次生/伴生环境风险分析</w:t>
            </w:r>
          </w:p>
          <w:p w14:paraId="597F0375">
            <w:pPr>
              <w:spacing w:line="360" w:lineRule="auto"/>
              <w:ind w:firstLine="480" w:firstLineChars="200"/>
              <w:rPr>
                <w:sz w:val="24"/>
              </w:rPr>
            </w:pPr>
            <w:r>
              <w:rPr>
                <w:sz w:val="24"/>
              </w:rPr>
              <w:t>火灾的发生，可产生大量浓烟浓雾，温度骤然升高，甚至可引起某些物品的爆炸。火灾事故后排放大量消防废液，厂区内大量可燃物的焚烧可产生的大气污染物，对大气环境影响较大。</w:t>
            </w:r>
          </w:p>
          <w:p w14:paraId="78B4863A">
            <w:pPr>
              <w:pStyle w:val="24"/>
              <w:adjustRightInd w:val="0"/>
              <w:snapToGrid w:val="0"/>
              <w:spacing w:before="0" w:beforeAutospacing="0" w:after="0" w:afterAutospacing="0" w:line="360" w:lineRule="auto"/>
              <w:ind w:firstLine="482" w:firstLineChars="200"/>
              <w:rPr>
                <w:rFonts w:ascii="Times New Roman" w:hAnsi="Times New Roman"/>
                <w:b/>
              </w:rPr>
            </w:pPr>
            <w:r>
              <w:rPr>
                <w:rFonts w:hint="eastAsia" w:ascii="Times New Roman" w:hAnsi="Times New Roman"/>
                <w:b/>
              </w:rPr>
              <w:t>4</w:t>
            </w:r>
            <w:r>
              <w:rPr>
                <w:rFonts w:ascii="Times New Roman" w:hAnsi="Times New Roman"/>
                <w:b/>
              </w:rPr>
              <w:t>、环境风险防范措施及应急要求</w:t>
            </w:r>
          </w:p>
          <w:p w14:paraId="408E6066">
            <w:pPr>
              <w:pStyle w:val="24"/>
              <w:adjustRightInd w:val="0"/>
              <w:snapToGrid w:val="0"/>
              <w:spacing w:before="0" w:beforeAutospacing="0" w:after="0" w:afterAutospacing="0" w:line="360" w:lineRule="auto"/>
              <w:ind w:firstLine="482" w:firstLineChars="200"/>
              <w:rPr>
                <w:rFonts w:ascii="Times New Roman" w:hAnsi="Times New Roman"/>
                <w:b/>
              </w:rPr>
            </w:pPr>
            <w:r>
              <w:rPr>
                <w:rFonts w:hint="eastAsia" w:ascii="Times New Roman" w:hAnsi="Times New Roman"/>
                <w:b/>
              </w:rPr>
              <w:t>（1）环境风险防范措施</w:t>
            </w:r>
          </w:p>
          <w:p w14:paraId="3114F050">
            <w:pPr>
              <w:pStyle w:val="24"/>
              <w:adjustRightInd w:val="0"/>
              <w:snapToGrid w:val="0"/>
              <w:spacing w:before="0" w:beforeAutospacing="0" w:after="0" w:afterAutospacing="0" w:line="360" w:lineRule="auto"/>
              <w:ind w:firstLine="482" w:firstLineChars="200"/>
              <w:rPr>
                <w:rFonts w:ascii="Times New Roman" w:hAnsi="Times New Roman"/>
                <w:b/>
                <w:bCs/>
              </w:rPr>
            </w:pPr>
            <w:r>
              <w:rPr>
                <w:rFonts w:hint="eastAsia" w:ascii="Times New Roman" w:hAnsi="Times New Roman"/>
                <w:b/>
                <w:bCs/>
              </w:rPr>
              <w:t>1）管理预防措施</w:t>
            </w:r>
          </w:p>
          <w:p w14:paraId="0B53FCF1">
            <w:pPr>
              <w:spacing w:line="360" w:lineRule="auto"/>
              <w:ind w:firstLine="480" w:firstLineChars="200"/>
              <w:rPr>
                <w:sz w:val="24"/>
              </w:rPr>
            </w:pPr>
            <w:r>
              <w:rPr>
                <w:rFonts w:hint="eastAsia"/>
                <w:sz w:val="24"/>
              </w:rPr>
              <w:t>①建立健全各项环保制度、安全生产管理制度，包括环保设备检修制度、危险废物存储与转运制度等。</w:t>
            </w:r>
          </w:p>
          <w:p w14:paraId="301B4ECB">
            <w:pPr>
              <w:spacing w:line="360" w:lineRule="auto"/>
              <w:ind w:firstLine="480" w:firstLineChars="200"/>
              <w:rPr>
                <w:sz w:val="24"/>
              </w:rPr>
            </w:pPr>
            <w:r>
              <w:rPr>
                <w:rFonts w:hint="eastAsia"/>
                <w:sz w:val="24"/>
              </w:rPr>
              <w:t>②按章操作，杜绝违章；加强对员工的各类培训和考核，员工上岗前必须经过培训，内容包括易燃易爆物料的特性（物理、化学性质），中毒危害及防护、自然措施；岗位操作规程、设备使用操作规程，做到考核合格持证上岗。</w:t>
            </w:r>
          </w:p>
          <w:p w14:paraId="22AA7FCA">
            <w:pPr>
              <w:spacing w:line="360" w:lineRule="auto"/>
              <w:ind w:firstLine="480" w:firstLineChars="200"/>
              <w:rPr>
                <w:sz w:val="24"/>
              </w:rPr>
            </w:pPr>
            <w:r>
              <w:rPr>
                <w:rFonts w:hint="eastAsia"/>
                <w:sz w:val="24"/>
              </w:rPr>
              <w:t>③配备相应的防控器材，包括消防器材、监控设施、可燃气体监测装置等，消防器材要设置在明显、取用方便的地方，要经常检查，做到“三定”（定点、定型号和用量、定专人维护管理），不准</w:t>
            </w:r>
            <w:r>
              <w:rPr>
                <w:rFonts w:hint="eastAsia"/>
                <w:sz w:val="24"/>
                <w:lang w:eastAsia="zh-CN"/>
              </w:rPr>
              <w:t>挪作他用</w:t>
            </w:r>
            <w:r>
              <w:rPr>
                <w:rFonts w:hint="eastAsia"/>
                <w:sz w:val="24"/>
              </w:rPr>
              <w:t>，还应按规定定期检测，保持完好。</w:t>
            </w:r>
          </w:p>
          <w:p w14:paraId="01F52B26">
            <w:pPr>
              <w:spacing w:line="360" w:lineRule="auto"/>
              <w:ind w:firstLine="480" w:firstLineChars="200"/>
              <w:rPr>
                <w:sz w:val="24"/>
              </w:rPr>
            </w:pPr>
            <w:r>
              <w:rPr>
                <w:rFonts w:hint="eastAsia"/>
                <w:sz w:val="24"/>
              </w:rPr>
              <w:t>④各风险物质贮存及使用场所应设置醒目的安全标志、禁令、警语和告示牌，杜绝明火火源，并由专业人员负责其使用及管理。</w:t>
            </w:r>
          </w:p>
          <w:p w14:paraId="3584FE36">
            <w:pPr>
              <w:spacing w:line="360" w:lineRule="auto"/>
              <w:ind w:firstLine="480" w:firstLineChars="200"/>
              <w:rPr>
                <w:sz w:val="24"/>
              </w:rPr>
            </w:pPr>
            <w:r>
              <w:rPr>
                <w:rFonts w:hint="eastAsia"/>
                <w:sz w:val="24"/>
              </w:rPr>
              <w:t>⑤定期检查各设备、构筑物、输送管线以及电气线路等完好性，发现问题及时处理。</w:t>
            </w:r>
          </w:p>
          <w:p w14:paraId="4A193A4E">
            <w:pPr>
              <w:spacing w:line="360" w:lineRule="auto"/>
              <w:ind w:firstLine="480" w:firstLineChars="200"/>
              <w:rPr>
                <w:sz w:val="24"/>
              </w:rPr>
            </w:pPr>
            <w:r>
              <w:rPr>
                <w:rFonts w:hint="eastAsia"/>
                <w:sz w:val="24"/>
              </w:rPr>
              <w:t>⑥配备足够的应急救援器材、设备和物资，并进行经常性维护、保养，保证正常运转。</w:t>
            </w:r>
          </w:p>
          <w:p w14:paraId="44DEA744">
            <w:pPr>
              <w:pStyle w:val="24"/>
              <w:adjustRightInd w:val="0"/>
              <w:snapToGrid w:val="0"/>
              <w:spacing w:before="0" w:beforeAutospacing="0" w:after="0" w:afterAutospacing="0" w:line="360" w:lineRule="auto"/>
              <w:ind w:firstLine="482" w:firstLineChars="200"/>
              <w:rPr>
                <w:rFonts w:ascii="Times New Roman" w:hAnsi="Times New Roman"/>
                <w:b/>
                <w:bCs/>
                <w:szCs w:val="24"/>
              </w:rPr>
            </w:pPr>
            <w:r>
              <w:rPr>
                <w:rFonts w:hint="eastAsia" w:ascii="Times New Roman" w:hAnsi="Times New Roman"/>
                <w:b/>
                <w:bCs/>
                <w:szCs w:val="24"/>
              </w:rPr>
              <w:t>2）发电机房风险防范措施</w:t>
            </w:r>
          </w:p>
          <w:p w14:paraId="2CC3A8E1">
            <w:pPr>
              <w:spacing w:line="360" w:lineRule="auto"/>
              <w:ind w:firstLine="480" w:firstLineChars="200"/>
              <w:rPr>
                <w:sz w:val="24"/>
              </w:rPr>
            </w:pPr>
            <w:r>
              <w:rPr>
                <w:sz w:val="24"/>
              </w:rPr>
              <w:t>①备用发电机仅停电时使用，柴油的最大储存量为0</w:t>
            </w:r>
            <w:r>
              <w:rPr>
                <w:rFonts w:hint="eastAsia"/>
                <w:sz w:val="24"/>
              </w:rPr>
              <w:t>.68t</w:t>
            </w:r>
            <w:r>
              <w:rPr>
                <w:sz w:val="24"/>
              </w:rPr>
              <w:t>，在柴油发电机房间设置防火安全设施，并严格《危险化学品安全管理条例》（2002年，国务院第344 号</w:t>
            </w:r>
            <w:r>
              <w:rPr>
                <w:rFonts w:hint="eastAsia"/>
                <w:sz w:val="24"/>
              </w:rPr>
              <w:t>）</w:t>
            </w:r>
            <w:r>
              <w:rPr>
                <w:sz w:val="24"/>
              </w:rPr>
              <w:t>的规定进行运输、储存和使用，发电机房内按有关规范要求配置干粉灭火器。</w:t>
            </w:r>
          </w:p>
          <w:p w14:paraId="69329D06">
            <w:pPr>
              <w:spacing w:line="360" w:lineRule="auto"/>
              <w:ind w:firstLine="480" w:firstLineChars="200"/>
              <w:rPr>
                <w:sz w:val="24"/>
              </w:rPr>
            </w:pPr>
            <w:r>
              <w:rPr>
                <w:sz w:val="24"/>
              </w:rPr>
              <w:t>②发电机房设置围堰，地面按照重点防渗区要求进行防渗混凝土+2mmHDPE土工膜或其他同等级防渗材料处理。</w:t>
            </w:r>
          </w:p>
          <w:p w14:paraId="55BECE7D">
            <w:pPr>
              <w:pStyle w:val="24"/>
              <w:adjustRightInd w:val="0"/>
              <w:snapToGrid w:val="0"/>
              <w:spacing w:before="0" w:beforeAutospacing="0" w:after="0" w:afterAutospacing="0" w:line="360" w:lineRule="auto"/>
              <w:ind w:firstLine="482" w:firstLineChars="200"/>
              <w:rPr>
                <w:rFonts w:ascii="Times New Roman" w:hAnsi="Times New Roman"/>
                <w:b/>
                <w:bCs/>
                <w:szCs w:val="24"/>
              </w:rPr>
            </w:pPr>
            <w:r>
              <w:rPr>
                <w:rFonts w:hint="eastAsia" w:ascii="Times New Roman" w:hAnsi="Times New Roman"/>
                <w:b/>
                <w:bCs/>
                <w:szCs w:val="24"/>
              </w:rPr>
              <w:t>3）</w:t>
            </w:r>
            <w:r>
              <w:rPr>
                <w:rFonts w:ascii="Times New Roman" w:hAnsi="Times New Roman"/>
                <w:b/>
                <w:bCs/>
                <w:szCs w:val="24"/>
              </w:rPr>
              <w:t>危废暂存间</w:t>
            </w:r>
            <w:r>
              <w:rPr>
                <w:rFonts w:hint="eastAsia" w:ascii="Times New Roman" w:hAnsi="Times New Roman"/>
                <w:b/>
                <w:bCs/>
                <w:szCs w:val="24"/>
              </w:rPr>
              <w:t>风险防范措施</w:t>
            </w:r>
          </w:p>
          <w:p w14:paraId="14046D0D">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kern w:val="2"/>
                <w:szCs w:val="24"/>
              </w:rPr>
              <w:t>本项目危废暂存间应根据规范要求采取防渗措施，</w:t>
            </w:r>
            <w:r>
              <w:rPr>
                <w:rFonts w:hint="eastAsia" w:ascii="Times New Roman" w:hAnsi="Times New Roman"/>
              </w:rPr>
              <w:t>地面采用防渗混凝土+环氧树脂漆防渗，设置金属托盘（防渗系数≤10</w:t>
            </w:r>
            <w:r>
              <w:rPr>
                <w:rFonts w:hint="eastAsia" w:ascii="Times New Roman" w:hAnsi="Times New Roman"/>
                <w:lang w:eastAsia="zh-CN"/>
              </w:rPr>
              <w:t>～</w:t>
            </w:r>
            <w:r>
              <w:rPr>
                <w:rFonts w:hint="eastAsia" w:ascii="Times New Roman" w:hAnsi="Times New Roman"/>
                <w:vertAlign w:val="superscript"/>
              </w:rPr>
              <w:t>7</w:t>
            </w:r>
            <w:r>
              <w:rPr>
                <w:rFonts w:hint="eastAsia" w:ascii="Times New Roman" w:hAnsi="Times New Roman"/>
              </w:rPr>
              <w:t>cm/s）。同时危废暂存间设置10cm高围堰并配备专业备用收容空桶，当液态危废暂存发生泄漏时，围堰及不锈钢防渗托盘可确保泄漏物不外泄，并及时转至专业备用收容空桶暂存。可确保可能产生的渗漏污水不会污染土壤和地下水。</w:t>
            </w:r>
          </w:p>
          <w:p w14:paraId="08D844D2">
            <w:pPr>
              <w:pStyle w:val="24"/>
              <w:adjustRightInd w:val="0"/>
              <w:snapToGrid w:val="0"/>
              <w:spacing w:before="0" w:beforeAutospacing="0" w:after="0" w:afterAutospacing="0" w:line="360" w:lineRule="auto"/>
              <w:ind w:firstLine="482" w:firstLineChars="200"/>
              <w:rPr>
                <w:rFonts w:ascii="Times New Roman" w:hAnsi="Times New Roman"/>
                <w:b/>
              </w:rPr>
            </w:pPr>
            <w:r>
              <w:rPr>
                <w:rFonts w:hint="eastAsia" w:ascii="Times New Roman" w:hAnsi="Times New Roman"/>
                <w:b/>
              </w:rPr>
              <w:t>4）</w:t>
            </w:r>
            <w:r>
              <w:rPr>
                <w:rFonts w:ascii="Times New Roman" w:hAnsi="Times New Roman"/>
                <w:b/>
              </w:rPr>
              <w:t>废水</w:t>
            </w:r>
            <w:r>
              <w:rPr>
                <w:rFonts w:hint="eastAsia" w:ascii="Times New Roman" w:hAnsi="Times New Roman"/>
                <w:b/>
              </w:rPr>
              <w:t>、废气</w:t>
            </w:r>
            <w:r>
              <w:rPr>
                <w:rFonts w:ascii="Times New Roman" w:hAnsi="Times New Roman"/>
                <w:b/>
              </w:rPr>
              <w:t>处理系统</w:t>
            </w:r>
            <w:r>
              <w:rPr>
                <w:rFonts w:hint="eastAsia" w:ascii="Times New Roman" w:hAnsi="Times New Roman"/>
                <w:b/>
                <w:szCs w:val="24"/>
              </w:rPr>
              <w:t>风</w:t>
            </w:r>
            <w:r>
              <w:rPr>
                <w:rFonts w:hint="eastAsia" w:ascii="Times New Roman" w:hAnsi="Times New Roman"/>
                <w:b/>
                <w:bCs/>
                <w:szCs w:val="24"/>
              </w:rPr>
              <w:t>险防范措施</w:t>
            </w:r>
          </w:p>
          <w:p w14:paraId="6BD4EF7F">
            <w:pPr>
              <w:spacing w:line="360" w:lineRule="auto"/>
              <w:ind w:firstLine="480"/>
              <w:rPr>
                <w:bCs/>
              </w:rPr>
            </w:pPr>
            <w:r>
              <w:rPr>
                <w:sz w:val="24"/>
              </w:rPr>
              <w:t>加强对</w:t>
            </w:r>
            <w:r>
              <w:rPr>
                <w:rFonts w:hint="eastAsia"/>
                <w:sz w:val="24"/>
              </w:rPr>
              <w:t>废水、</w:t>
            </w:r>
            <w:r>
              <w:rPr>
                <w:sz w:val="24"/>
              </w:rPr>
              <w:t>废气收集处理系统的维护和检修，使其处于良好的运行状态，并且需加强管理，提高工作人员的操作水平，以减少事故的发生。废气治理设施在设计、施工时，应严格按照工程设计规范要求进行，选用标准管材，并做必要的防腐处理。加强治理设施的运行管理和日常维护，发现异常应及时找出原因及时维修。一旦出现异常现象应及时查出异常原因，事故发生后应在最短的时间内排除故障，确保对周围环境的影响降到最低</w:t>
            </w:r>
            <w:r>
              <w:rPr>
                <w:rFonts w:hint="eastAsia"/>
                <w:sz w:val="24"/>
                <w:lang w:eastAsia="zh-CN"/>
              </w:rPr>
              <w:t>。</w:t>
            </w:r>
          </w:p>
          <w:p w14:paraId="62F4D8B7">
            <w:pPr>
              <w:pStyle w:val="24"/>
              <w:adjustRightInd w:val="0"/>
              <w:snapToGrid w:val="0"/>
              <w:spacing w:before="0" w:beforeAutospacing="0" w:after="0" w:afterAutospacing="0" w:line="360" w:lineRule="auto"/>
              <w:ind w:firstLine="482" w:firstLineChars="200"/>
              <w:rPr>
                <w:rFonts w:ascii="Times New Roman" w:hAnsi="Times New Roman"/>
                <w:b/>
              </w:rPr>
            </w:pPr>
            <w:r>
              <w:rPr>
                <w:rFonts w:hint="eastAsia" w:ascii="Times New Roman" w:hAnsi="Times New Roman"/>
                <w:b/>
              </w:rPr>
              <w:t>5）其他措施</w:t>
            </w:r>
          </w:p>
          <w:p w14:paraId="662ACECD">
            <w:pPr>
              <w:pStyle w:val="24"/>
              <w:adjustRightInd w:val="0"/>
              <w:snapToGrid w:val="0"/>
              <w:spacing w:before="0" w:beforeAutospacing="0" w:after="0" w:afterAutospacing="0" w:line="360" w:lineRule="auto"/>
              <w:ind w:firstLine="480" w:firstLineChars="200"/>
              <w:rPr>
                <w:rFonts w:ascii="Times New Roman" w:hAnsi="Times New Roman"/>
                <w:bCs/>
              </w:rPr>
            </w:pPr>
            <w:r>
              <w:rPr>
                <w:rFonts w:hint="eastAsia" w:ascii="Times New Roman" w:hAnsi="Times New Roman"/>
                <w:bCs/>
              </w:rPr>
              <w:t>加强管理，保证用电、用水、用气等安全，做好消防保证措施；在设计中，充分考虑风场对本项目高层建筑的影响。建筑物的高层和底层玻璃幕墙均应安装屏蔽防雷设施；按照国家规范，合理安排消防交通组织，确保消防扑救面和消防通道的畅通。</w:t>
            </w:r>
          </w:p>
          <w:p w14:paraId="134C8503">
            <w:pPr>
              <w:autoSpaceDE w:val="0"/>
              <w:autoSpaceDN w:val="0"/>
              <w:adjustRightInd w:val="0"/>
              <w:snapToGrid w:val="0"/>
              <w:spacing w:line="360" w:lineRule="auto"/>
              <w:ind w:firstLine="482" w:firstLineChars="200"/>
              <w:rPr>
                <w:b/>
                <w:bCs/>
                <w:sz w:val="24"/>
              </w:rPr>
            </w:pPr>
            <w:r>
              <w:rPr>
                <w:rFonts w:hint="eastAsia"/>
                <w:b/>
                <w:bCs/>
                <w:sz w:val="24"/>
              </w:rPr>
              <w:t>（2）风险应急措施</w:t>
            </w:r>
          </w:p>
          <w:p w14:paraId="79978533">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①泄漏事故应急处置措施</w:t>
            </w:r>
          </w:p>
          <w:p w14:paraId="44DDEFCF">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站内应配备个人防护用品及应急处置设施，项目危险化学品储存量很小，一旦发生有毒有害化学品泄漏，可立即用吸油棉进行吸附清理，并作为危险废物委外处置，从而避免对环境及人员健康造成危害。</w:t>
            </w:r>
          </w:p>
          <w:p w14:paraId="1145C2D3">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柴油一旦发生泄漏，</w:t>
            </w:r>
            <w:r>
              <w:rPr>
                <w:rFonts w:ascii="Times New Roman" w:hAnsi="Times New Roman"/>
              </w:rPr>
              <w:t>尽可能切断泄漏源</w:t>
            </w:r>
            <w:r>
              <w:rPr>
                <w:rFonts w:hint="eastAsia" w:ascii="Times New Roman" w:hAnsi="Times New Roman"/>
              </w:rPr>
              <w:t>，并</w:t>
            </w:r>
            <w:r>
              <w:rPr>
                <w:rFonts w:ascii="Times New Roman" w:hAnsi="Times New Roman"/>
              </w:rPr>
              <w:t>切断火源。防止流入下水道、排洪沟等限制性空间。小量泄漏：用惰性材料吸收。大量泄漏：构筑围堤或挖坑收容。用泵转移至槽车或专用收集器内，回收或</w:t>
            </w:r>
            <w:r>
              <w:rPr>
                <w:rFonts w:hint="eastAsia" w:ascii="Times New Roman" w:hAnsi="Times New Roman"/>
              </w:rPr>
              <w:t>作为危险废物委外处置</w:t>
            </w:r>
            <w:r>
              <w:rPr>
                <w:rFonts w:ascii="Times New Roman" w:hAnsi="Times New Roman"/>
              </w:rPr>
              <w:t>。</w:t>
            </w:r>
          </w:p>
          <w:p w14:paraId="3C4FDE56">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②火灾事故应急处置措施</w:t>
            </w:r>
          </w:p>
          <w:p w14:paraId="5F11603B">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项目维保房、垃圾站房等应配置干粉灭火器，在发生火灾时可立即投入使用，并自动启动防排烟系统。</w:t>
            </w:r>
          </w:p>
          <w:p w14:paraId="38A5B337">
            <w:pPr>
              <w:pStyle w:val="24"/>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③建立事故管理和经过优化的应急处理计划</w:t>
            </w:r>
          </w:p>
          <w:p w14:paraId="47D92184">
            <w:pPr>
              <w:pStyle w:val="24"/>
              <w:adjustRightInd w:val="0"/>
              <w:snapToGrid w:val="0"/>
              <w:spacing w:before="0" w:beforeAutospacing="0" w:after="0" w:afterAutospacing="0" w:line="360" w:lineRule="auto"/>
              <w:ind w:firstLine="480" w:firstLineChars="200"/>
              <w:rPr>
                <w:rFonts w:hint="eastAsia"/>
                <w:szCs w:val="24"/>
              </w:rPr>
            </w:pPr>
            <w:r>
              <w:rPr>
                <w:rFonts w:hint="eastAsia" w:ascii="Times New Roman" w:hAnsi="Times New Roman"/>
              </w:rPr>
              <w:t>包括各种应急处理设备器材、事故现场指挥、救护、通讯等系统建立，设立急救指挥小组，由有关部门负责，一旦发生事故，进行统一指挥和协调。</w:t>
            </w:r>
          </w:p>
          <w:p w14:paraId="6FE7AB4D">
            <w:pPr>
              <w:autoSpaceDE w:val="0"/>
              <w:autoSpaceDN w:val="0"/>
              <w:adjustRightInd w:val="0"/>
              <w:snapToGrid w:val="0"/>
              <w:spacing w:line="360" w:lineRule="auto"/>
              <w:ind w:firstLine="482" w:firstLineChars="200"/>
              <w:rPr>
                <w:b/>
                <w:bCs/>
                <w:sz w:val="24"/>
              </w:rPr>
            </w:pPr>
            <w:r>
              <w:rPr>
                <w:rFonts w:hint="eastAsia"/>
                <w:b/>
                <w:bCs/>
                <w:sz w:val="24"/>
              </w:rPr>
              <w:t>7、</w:t>
            </w:r>
            <w:r>
              <w:rPr>
                <w:b/>
                <w:bCs/>
                <w:sz w:val="24"/>
              </w:rPr>
              <w:t>风险事故应急预案</w:t>
            </w:r>
          </w:p>
          <w:p w14:paraId="25A3ADD3">
            <w:pPr>
              <w:autoSpaceDE w:val="0"/>
              <w:autoSpaceDN w:val="0"/>
              <w:adjustRightInd w:val="0"/>
              <w:snapToGrid w:val="0"/>
              <w:spacing w:line="360" w:lineRule="auto"/>
              <w:ind w:firstLine="480" w:firstLineChars="200"/>
              <w:rPr>
                <w:sz w:val="24"/>
              </w:rPr>
            </w:pPr>
            <w:r>
              <w:rPr>
                <w:rFonts w:hint="eastAsia"/>
                <w:sz w:val="24"/>
              </w:rPr>
              <w:t>建设单位应根据《国家突发公共事件总体应急预案》《国家事故应急预案框架指南》《突发公共卫生事件应急条例》、四川省生态环境厅关于印发《四川省突发环境事件应急预案备案行业名录（2022年版）》的通知（川环规</w:t>
            </w:r>
            <w:r>
              <w:rPr>
                <w:rFonts w:hint="eastAsia"/>
                <w:sz w:val="24"/>
                <w:lang w:eastAsia="zh-CN"/>
              </w:rPr>
              <w:t>〔2022〕5号</w:t>
            </w:r>
            <w:r>
              <w:rPr>
                <w:rFonts w:hint="eastAsia"/>
                <w:sz w:val="24"/>
              </w:rPr>
              <w:t>）文件的相关要求，</w:t>
            </w:r>
            <w:r>
              <w:rPr>
                <w:rFonts w:hint="eastAsia"/>
                <w:sz w:val="24"/>
                <w:lang w:eastAsia="zh-CN"/>
              </w:rPr>
              <w:t>制定</w:t>
            </w:r>
            <w:r>
              <w:rPr>
                <w:rFonts w:hint="eastAsia"/>
                <w:sz w:val="24"/>
              </w:rPr>
              <w:t>风险事故应急预案。等相关规定的要求，</w:t>
            </w:r>
            <w:r>
              <w:rPr>
                <w:rFonts w:hint="eastAsia"/>
                <w:sz w:val="24"/>
                <w:lang w:val="en-US" w:eastAsia="zh-CN"/>
              </w:rPr>
              <w:t>制定</w:t>
            </w:r>
            <w:r>
              <w:rPr>
                <w:rFonts w:hint="eastAsia"/>
                <w:sz w:val="24"/>
              </w:rPr>
              <w:t>和完善本项目风险事故应急预案。</w:t>
            </w:r>
            <w:r>
              <w:rPr>
                <w:rFonts w:hint="eastAsia"/>
                <w:sz w:val="24"/>
                <w:lang w:val="en-US" w:eastAsia="zh-CN"/>
              </w:rPr>
              <w:t>制定</w:t>
            </w:r>
            <w:bookmarkStart w:id="3" w:name="_GoBack"/>
            <w:bookmarkEnd w:id="3"/>
            <w:r>
              <w:rPr>
                <w:rFonts w:hint="eastAsia"/>
                <w:sz w:val="24"/>
              </w:rPr>
              <w:t>应急预案的原则如下：</w:t>
            </w:r>
          </w:p>
          <w:p w14:paraId="13502D14">
            <w:pPr>
              <w:spacing w:line="360" w:lineRule="auto"/>
              <w:ind w:firstLine="480" w:firstLineChars="200"/>
              <w:rPr>
                <w:sz w:val="24"/>
              </w:rPr>
            </w:pPr>
            <w:r>
              <w:rPr>
                <w:sz w:val="24"/>
              </w:rPr>
              <w:t>①确定救援组织、队伍和联络方式；</w:t>
            </w:r>
          </w:p>
          <w:p w14:paraId="05DE1F4D">
            <w:pPr>
              <w:spacing w:line="360" w:lineRule="auto"/>
              <w:ind w:firstLine="480" w:firstLineChars="200"/>
              <w:rPr>
                <w:sz w:val="24"/>
              </w:rPr>
            </w:pPr>
            <w:r>
              <w:rPr>
                <w:sz w:val="24"/>
              </w:rPr>
              <w:t>②制定事故类型等级和相应的应急响应程序；</w:t>
            </w:r>
          </w:p>
          <w:p w14:paraId="356387F1">
            <w:pPr>
              <w:spacing w:line="360" w:lineRule="auto"/>
              <w:ind w:firstLine="480" w:firstLineChars="200"/>
              <w:rPr>
                <w:sz w:val="24"/>
              </w:rPr>
            </w:pPr>
            <w:r>
              <w:rPr>
                <w:sz w:val="24"/>
              </w:rPr>
              <w:t>③配备必要的救灾防毒器具及防护用品；</w:t>
            </w:r>
          </w:p>
          <w:p w14:paraId="46630084">
            <w:pPr>
              <w:spacing w:line="360" w:lineRule="auto"/>
              <w:ind w:firstLine="480" w:firstLineChars="200"/>
              <w:rPr>
                <w:sz w:val="24"/>
              </w:rPr>
            </w:pPr>
            <w:r>
              <w:rPr>
                <w:sz w:val="24"/>
              </w:rPr>
              <w:t>④对系统制定应急状态切断终止或自动报警</w:t>
            </w:r>
            <w:r>
              <w:rPr>
                <w:rFonts w:hint="eastAsia"/>
                <w:sz w:val="24"/>
                <w:lang w:eastAsia="zh-CN"/>
              </w:rPr>
              <w:t>联锁</w:t>
            </w:r>
            <w:r>
              <w:rPr>
                <w:sz w:val="24"/>
              </w:rPr>
              <w:t>保护程序；</w:t>
            </w:r>
          </w:p>
          <w:p w14:paraId="5F17AB3B">
            <w:pPr>
              <w:spacing w:line="360" w:lineRule="auto"/>
              <w:ind w:firstLine="480" w:firstLineChars="200"/>
              <w:rPr>
                <w:sz w:val="24"/>
              </w:rPr>
            </w:pPr>
            <w:r>
              <w:rPr>
                <w:sz w:val="24"/>
              </w:rPr>
              <w:t>⑤岗位培训和演习，设置事故</w:t>
            </w:r>
            <w:r>
              <w:rPr>
                <w:rFonts w:hint="eastAsia"/>
                <w:sz w:val="24"/>
                <w:lang w:eastAsia="zh-CN"/>
              </w:rPr>
              <w:t>应急演习</w:t>
            </w:r>
            <w:r>
              <w:rPr>
                <w:sz w:val="24"/>
              </w:rPr>
              <w:t>手册及报告、记录和评估；</w:t>
            </w:r>
          </w:p>
          <w:p w14:paraId="2A10EA20">
            <w:pPr>
              <w:spacing w:line="360" w:lineRule="auto"/>
              <w:ind w:firstLine="480" w:firstLineChars="200"/>
              <w:rPr>
                <w:sz w:val="24"/>
              </w:rPr>
            </w:pPr>
            <w:r>
              <w:rPr>
                <w:sz w:val="24"/>
              </w:rPr>
              <w:t>⑥制定区域防灾救援方案，</w:t>
            </w:r>
            <w:r>
              <w:rPr>
                <w:rFonts w:hint="eastAsia"/>
                <w:sz w:val="24"/>
              </w:rPr>
              <w:t>校</w:t>
            </w:r>
            <w:r>
              <w:rPr>
                <w:sz w:val="24"/>
              </w:rPr>
              <w:t>外受影响人群的疏散、撤离方案，与当地政府、消防、环保和医疗救助等部门加强联系，以便风险事故发生时得到及时救援。</w:t>
            </w:r>
          </w:p>
          <w:p w14:paraId="65F2927B">
            <w:pPr>
              <w:spacing w:line="360" w:lineRule="auto"/>
              <w:ind w:firstLine="480" w:firstLineChars="200"/>
              <w:rPr>
                <w:sz w:val="24"/>
              </w:rPr>
            </w:pPr>
            <w:r>
              <w:rPr>
                <w:sz w:val="24"/>
              </w:rPr>
              <w:t>根据本项目环境风险分析的结果，对于本项目可能造成环境风险的突发性事故制定应急预案纲要，供项目决策人参考。</w:t>
            </w:r>
          </w:p>
          <w:p w14:paraId="25EA761E">
            <w:pPr>
              <w:spacing w:line="360" w:lineRule="auto"/>
              <w:ind w:firstLine="480" w:firstLineChars="200"/>
              <w:rPr>
                <w:sz w:val="24"/>
              </w:rPr>
            </w:pPr>
            <w:r>
              <w:rPr>
                <w:sz w:val="24"/>
              </w:rPr>
              <w:t>企业在制定环境风险应急预案时，还应包括</w:t>
            </w:r>
            <w:r>
              <w:rPr>
                <w:rFonts w:hint="eastAsia"/>
                <w:sz w:val="24"/>
              </w:rPr>
              <w:t>下表</w:t>
            </w:r>
            <w:r>
              <w:rPr>
                <w:sz w:val="24"/>
              </w:rPr>
              <w:t>所示内容。</w:t>
            </w:r>
          </w:p>
          <w:p w14:paraId="2EC212EC">
            <w:pPr>
              <w:jc w:val="center"/>
              <w:rPr>
                <w:b/>
                <w:bCs/>
                <w:szCs w:val="21"/>
                <w:lang w:val="zh-CN"/>
              </w:rPr>
            </w:pPr>
            <w:r>
              <w:rPr>
                <w:b/>
                <w:bCs/>
                <w:szCs w:val="21"/>
              </w:rPr>
              <w:t>表4-</w:t>
            </w:r>
            <w:r>
              <w:rPr>
                <w:rFonts w:hint="eastAsia"/>
                <w:b/>
                <w:bCs/>
                <w:szCs w:val="21"/>
              </w:rPr>
              <w:t xml:space="preserve">27  </w:t>
            </w:r>
            <w:r>
              <w:rPr>
                <w:b/>
                <w:bCs/>
                <w:szCs w:val="21"/>
                <w:lang w:val="zh-CN"/>
              </w:rPr>
              <w:t>应急预案内容</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48"/>
              <w:gridCol w:w="1944"/>
              <w:gridCol w:w="5981"/>
            </w:tblGrid>
            <w:tr w14:paraId="7EB6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23" w:type="pct"/>
                  <w:vAlign w:val="center"/>
                </w:tcPr>
                <w:p w14:paraId="665CC026">
                  <w:pPr>
                    <w:widowControl/>
                    <w:jc w:val="center"/>
                    <w:rPr>
                      <w:kern w:val="0"/>
                      <w:szCs w:val="21"/>
                    </w:rPr>
                  </w:pPr>
                  <w:r>
                    <w:rPr>
                      <w:kern w:val="0"/>
                      <w:szCs w:val="21"/>
                    </w:rPr>
                    <w:t>序号</w:t>
                  </w:r>
                </w:p>
              </w:tc>
              <w:tc>
                <w:tcPr>
                  <w:tcW w:w="1147" w:type="pct"/>
                  <w:vAlign w:val="center"/>
                </w:tcPr>
                <w:p w14:paraId="0F445889">
                  <w:pPr>
                    <w:widowControl/>
                    <w:jc w:val="center"/>
                    <w:rPr>
                      <w:kern w:val="0"/>
                      <w:szCs w:val="21"/>
                    </w:rPr>
                  </w:pPr>
                  <w:r>
                    <w:rPr>
                      <w:kern w:val="0"/>
                      <w:szCs w:val="21"/>
                    </w:rPr>
                    <w:t>项目</w:t>
                  </w:r>
                </w:p>
              </w:tc>
              <w:tc>
                <w:tcPr>
                  <w:tcW w:w="3528" w:type="pct"/>
                  <w:vAlign w:val="center"/>
                </w:tcPr>
                <w:p w14:paraId="4C05345E">
                  <w:pPr>
                    <w:widowControl/>
                    <w:jc w:val="center"/>
                    <w:rPr>
                      <w:kern w:val="0"/>
                      <w:szCs w:val="21"/>
                    </w:rPr>
                  </w:pPr>
                  <w:r>
                    <w:rPr>
                      <w:kern w:val="0"/>
                      <w:szCs w:val="21"/>
                    </w:rPr>
                    <w:t>内容及要求</w:t>
                  </w:r>
                </w:p>
              </w:tc>
            </w:tr>
            <w:tr w14:paraId="219E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49E080B3">
                  <w:pPr>
                    <w:widowControl/>
                    <w:jc w:val="center"/>
                    <w:rPr>
                      <w:kern w:val="0"/>
                      <w:szCs w:val="21"/>
                    </w:rPr>
                  </w:pPr>
                  <w:r>
                    <w:rPr>
                      <w:kern w:val="0"/>
                      <w:szCs w:val="21"/>
                    </w:rPr>
                    <w:t>1</w:t>
                  </w:r>
                </w:p>
              </w:tc>
              <w:tc>
                <w:tcPr>
                  <w:tcW w:w="1147" w:type="pct"/>
                  <w:vAlign w:val="center"/>
                </w:tcPr>
                <w:p w14:paraId="44B626DF">
                  <w:pPr>
                    <w:widowControl/>
                    <w:jc w:val="center"/>
                    <w:rPr>
                      <w:kern w:val="0"/>
                      <w:szCs w:val="21"/>
                    </w:rPr>
                  </w:pPr>
                  <w:r>
                    <w:rPr>
                      <w:kern w:val="0"/>
                      <w:szCs w:val="21"/>
                    </w:rPr>
                    <w:t>危险源情况</w:t>
                  </w:r>
                </w:p>
              </w:tc>
              <w:tc>
                <w:tcPr>
                  <w:tcW w:w="3528" w:type="pct"/>
                  <w:vAlign w:val="center"/>
                </w:tcPr>
                <w:p w14:paraId="1AFE1CAB">
                  <w:pPr>
                    <w:widowControl/>
                    <w:jc w:val="left"/>
                    <w:rPr>
                      <w:kern w:val="0"/>
                      <w:szCs w:val="21"/>
                    </w:rPr>
                  </w:pPr>
                  <w:r>
                    <w:rPr>
                      <w:kern w:val="0"/>
                      <w:szCs w:val="21"/>
                    </w:rPr>
                    <w:t>详细说明危险源类型、数量、分布及其对环境的风险</w:t>
                  </w:r>
                </w:p>
              </w:tc>
            </w:tr>
            <w:tr w14:paraId="26EB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5BEA7BB7">
                  <w:pPr>
                    <w:widowControl/>
                    <w:jc w:val="center"/>
                    <w:rPr>
                      <w:kern w:val="0"/>
                      <w:szCs w:val="21"/>
                    </w:rPr>
                  </w:pPr>
                  <w:r>
                    <w:rPr>
                      <w:kern w:val="0"/>
                      <w:szCs w:val="21"/>
                    </w:rPr>
                    <w:t>2</w:t>
                  </w:r>
                </w:p>
              </w:tc>
              <w:tc>
                <w:tcPr>
                  <w:tcW w:w="1147" w:type="pct"/>
                  <w:vAlign w:val="center"/>
                </w:tcPr>
                <w:p w14:paraId="4D98F46B">
                  <w:pPr>
                    <w:widowControl/>
                    <w:jc w:val="center"/>
                    <w:rPr>
                      <w:kern w:val="0"/>
                      <w:szCs w:val="21"/>
                    </w:rPr>
                  </w:pPr>
                  <w:r>
                    <w:rPr>
                      <w:kern w:val="0"/>
                      <w:szCs w:val="21"/>
                    </w:rPr>
                    <w:t>应急计划区</w:t>
                  </w:r>
                </w:p>
              </w:tc>
              <w:tc>
                <w:tcPr>
                  <w:tcW w:w="3528" w:type="pct"/>
                  <w:vAlign w:val="center"/>
                </w:tcPr>
                <w:p w14:paraId="7FE59E02">
                  <w:pPr>
                    <w:widowControl/>
                    <w:jc w:val="left"/>
                    <w:rPr>
                      <w:kern w:val="0"/>
                      <w:szCs w:val="21"/>
                    </w:rPr>
                  </w:pPr>
                  <w:r>
                    <w:rPr>
                      <w:kern w:val="0"/>
                      <w:szCs w:val="21"/>
                    </w:rPr>
                    <w:t>厂区</w:t>
                  </w:r>
                </w:p>
              </w:tc>
            </w:tr>
            <w:tr w14:paraId="1102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3CD453D8">
                  <w:pPr>
                    <w:widowControl/>
                    <w:jc w:val="center"/>
                    <w:rPr>
                      <w:kern w:val="0"/>
                      <w:szCs w:val="21"/>
                    </w:rPr>
                  </w:pPr>
                  <w:r>
                    <w:rPr>
                      <w:kern w:val="0"/>
                      <w:szCs w:val="21"/>
                    </w:rPr>
                    <w:t>3</w:t>
                  </w:r>
                </w:p>
              </w:tc>
              <w:tc>
                <w:tcPr>
                  <w:tcW w:w="1147" w:type="pct"/>
                  <w:vAlign w:val="center"/>
                </w:tcPr>
                <w:p w14:paraId="38A15C16">
                  <w:pPr>
                    <w:widowControl/>
                    <w:jc w:val="center"/>
                    <w:rPr>
                      <w:kern w:val="0"/>
                      <w:szCs w:val="21"/>
                    </w:rPr>
                  </w:pPr>
                  <w:r>
                    <w:rPr>
                      <w:kern w:val="0"/>
                      <w:szCs w:val="21"/>
                    </w:rPr>
                    <w:t>应急组织</w:t>
                  </w:r>
                </w:p>
              </w:tc>
              <w:tc>
                <w:tcPr>
                  <w:tcW w:w="3528" w:type="pct"/>
                  <w:vAlign w:val="center"/>
                </w:tcPr>
                <w:p w14:paraId="215690EF">
                  <w:pPr>
                    <w:widowControl/>
                    <w:jc w:val="left"/>
                    <w:rPr>
                      <w:kern w:val="0"/>
                      <w:szCs w:val="21"/>
                    </w:rPr>
                  </w:pPr>
                  <w:r>
                    <w:rPr>
                      <w:kern w:val="0"/>
                      <w:szCs w:val="21"/>
                    </w:rPr>
                    <w:t>成立应急指挥小组，由公司最高领导层担任小组长，负责现场全面指挥，专业救援队伍负责事故控制、救援和善后处理。</w:t>
                  </w:r>
                </w:p>
              </w:tc>
            </w:tr>
            <w:tr w14:paraId="1C94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3815576D">
                  <w:pPr>
                    <w:widowControl/>
                    <w:jc w:val="center"/>
                    <w:rPr>
                      <w:kern w:val="0"/>
                      <w:szCs w:val="21"/>
                    </w:rPr>
                  </w:pPr>
                  <w:r>
                    <w:rPr>
                      <w:kern w:val="0"/>
                      <w:szCs w:val="21"/>
                    </w:rPr>
                    <w:t>4</w:t>
                  </w:r>
                </w:p>
              </w:tc>
              <w:tc>
                <w:tcPr>
                  <w:tcW w:w="1147" w:type="pct"/>
                  <w:vAlign w:val="center"/>
                </w:tcPr>
                <w:p w14:paraId="25C7BA54">
                  <w:pPr>
                    <w:widowControl/>
                    <w:jc w:val="center"/>
                    <w:rPr>
                      <w:kern w:val="0"/>
                      <w:szCs w:val="21"/>
                    </w:rPr>
                  </w:pPr>
                  <w:r>
                    <w:rPr>
                      <w:kern w:val="0"/>
                      <w:szCs w:val="21"/>
                    </w:rPr>
                    <w:t>应急状态分类应急响应程序</w:t>
                  </w:r>
                </w:p>
              </w:tc>
              <w:tc>
                <w:tcPr>
                  <w:tcW w:w="3528" w:type="pct"/>
                  <w:vAlign w:val="center"/>
                </w:tcPr>
                <w:p w14:paraId="7A43F829">
                  <w:pPr>
                    <w:widowControl/>
                    <w:jc w:val="left"/>
                    <w:rPr>
                      <w:kern w:val="0"/>
                      <w:szCs w:val="21"/>
                    </w:rPr>
                  </w:pPr>
                  <w:r>
                    <w:rPr>
                      <w:kern w:val="0"/>
                      <w:szCs w:val="21"/>
                    </w:rPr>
                    <w:t>规定环境风险事故的级别及相应的应急状态分类，以此制定相应的应急响应程序。</w:t>
                  </w:r>
                </w:p>
              </w:tc>
            </w:tr>
            <w:tr w14:paraId="4531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7E745457">
                  <w:pPr>
                    <w:widowControl/>
                    <w:jc w:val="center"/>
                    <w:rPr>
                      <w:kern w:val="0"/>
                      <w:szCs w:val="21"/>
                    </w:rPr>
                  </w:pPr>
                  <w:r>
                    <w:rPr>
                      <w:kern w:val="0"/>
                      <w:szCs w:val="21"/>
                    </w:rPr>
                    <w:t>5</w:t>
                  </w:r>
                </w:p>
              </w:tc>
              <w:tc>
                <w:tcPr>
                  <w:tcW w:w="1147" w:type="pct"/>
                  <w:vAlign w:val="center"/>
                </w:tcPr>
                <w:p w14:paraId="4FD4838B">
                  <w:pPr>
                    <w:widowControl/>
                    <w:jc w:val="center"/>
                    <w:rPr>
                      <w:kern w:val="0"/>
                      <w:szCs w:val="21"/>
                    </w:rPr>
                  </w:pPr>
                  <w:r>
                    <w:rPr>
                      <w:kern w:val="0"/>
                      <w:szCs w:val="21"/>
                    </w:rPr>
                    <w:t>应急设施设备与材料</w:t>
                  </w:r>
                </w:p>
              </w:tc>
              <w:tc>
                <w:tcPr>
                  <w:tcW w:w="3528" w:type="pct"/>
                  <w:vAlign w:val="center"/>
                </w:tcPr>
                <w:p w14:paraId="26C741BE">
                  <w:pPr>
                    <w:widowControl/>
                    <w:jc w:val="left"/>
                    <w:rPr>
                      <w:kern w:val="0"/>
                      <w:szCs w:val="21"/>
                    </w:rPr>
                  </w:pPr>
                  <w:r>
                    <w:rPr>
                      <w:kern w:val="0"/>
                      <w:szCs w:val="21"/>
                    </w:rPr>
                    <w:t>生产车间：防火设备与材料，主要为消防器材、消防服等。</w:t>
                  </w:r>
                </w:p>
              </w:tc>
            </w:tr>
            <w:tr w14:paraId="7E09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2270A0A6">
                  <w:pPr>
                    <w:widowControl/>
                    <w:jc w:val="center"/>
                    <w:rPr>
                      <w:kern w:val="0"/>
                      <w:szCs w:val="21"/>
                    </w:rPr>
                  </w:pPr>
                  <w:r>
                    <w:rPr>
                      <w:kern w:val="0"/>
                      <w:szCs w:val="21"/>
                    </w:rPr>
                    <w:t>6</w:t>
                  </w:r>
                </w:p>
              </w:tc>
              <w:tc>
                <w:tcPr>
                  <w:tcW w:w="1147" w:type="pct"/>
                  <w:vAlign w:val="center"/>
                </w:tcPr>
                <w:p w14:paraId="55CFBC8C">
                  <w:pPr>
                    <w:widowControl/>
                    <w:jc w:val="center"/>
                    <w:rPr>
                      <w:kern w:val="0"/>
                      <w:szCs w:val="21"/>
                    </w:rPr>
                  </w:pPr>
                  <w:r>
                    <w:rPr>
                      <w:kern w:val="0"/>
                      <w:szCs w:val="21"/>
                    </w:rPr>
                    <w:t>应急通讯通告与交通</w:t>
                  </w:r>
                </w:p>
              </w:tc>
              <w:tc>
                <w:tcPr>
                  <w:tcW w:w="3528" w:type="pct"/>
                  <w:vAlign w:val="center"/>
                </w:tcPr>
                <w:p w14:paraId="1D812233">
                  <w:pPr>
                    <w:widowControl/>
                    <w:jc w:val="left"/>
                    <w:rPr>
                      <w:kern w:val="0"/>
                      <w:szCs w:val="21"/>
                    </w:rPr>
                  </w:pPr>
                  <w:r>
                    <w:rPr>
                      <w:kern w:val="0"/>
                      <w:szCs w:val="21"/>
                    </w:rPr>
                    <w:t>规定应急状态下的通讯、通告方式和交通保障、管理等事项。可充分利用现代化的通信设施，如手机、固定电话、广播、电视等。</w:t>
                  </w:r>
                </w:p>
              </w:tc>
            </w:tr>
            <w:tr w14:paraId="44D8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5768A63B">
                  <w:pPr>
                    <w:widowControl/>
                    <w:jc w:val="center"/>
                    <w:rPr>
                      <w:kern w:val="0"/>
                      <w:szCs w:val="21"/>
                    </w:rPr>
                  </w:pPr>
                  <w:r>
                    <w:rPr>
                      <w:kern w:val="0"/>
                      <w:szCs w:val="21"/>
                    </w:rPr>
                    <w:t>7</w:t>
                  </w:r>
                </w:p>
              </w:tc>
              <w:tc>
                <w:tcPr>
                  <w:tcW w:w="1147" w:type="pct"/>
                  <w:vAlign w:val="center"/>
                </w:tcPr>
                <w:p w14:paraId="64BDFB39">
                  <w:pPr>
                    <w:widowControl/>
                    <w:jc w:val="center"/>
                    <w:rPr>
                      <w:kern w:val="0"/>
                      <w:szCs w:val="21"/>
                    </w:rPr>
                  </w:pPr>
                  <w:r>
                    <w:rPr>
                      <w:kern w:val="0"/>
                      <w:szCs w:val="21"/>
                    </w:rPr>
                    <w:t>应急环境监测及事故后评价</w:t>
                  </w:r>
                </w:p>
              </w:tc>
              <w:tc>
                <w:tcPr>
                  <w:tcW w:w="3528" w:type="pct"/>
                  <w:vAlign w:val="center"/>
                </w:tcPr>
                <w:p w14:paraId="675BB915">
                  <w:pPr>
                    <w:widowControl/>
                    <w:jc w:val="left"/>
                    <w:rPr>
                      <w:kern w:val="0"/>
                      <w:szCs w:val="21"/>
                    </w:rPr>
                  </w:pPr>
                  <w:r>
                    <w:rPr>
                      <w:kern w:val="0"/>
                      <w:szCs w:val="21"/>
                    </w:rPr>
                    <w:t>由专业人员对环境分析事故现场进行应急监测，对事故性质、严重</w:t>
                  </w:r>
                  <w:r>
                    <w:rPr>
                      <w:rFonts w:hint="eastAsia"/>
                      <w:kern w:val="0"/>
                      <w:szCs w:val="21"/>
                      <w:lang w:eastAsia="zh-CN"/>
                    </w:rPr>
                    <w:t>程度</w:t>
                  </w:r>
                  <w:r>
                    <w:rPr>
                      <w:kern w:val="0"/>
                      <w:szCs w:val="21"/>
                    </w:rPr>
                    <w:t>所造成的环境危害后果进行评估，吸取经验教训避免再次发生事故，为指挥部门提供决策依据。</w:t>
                  </w:r>
                </w:p>
              </w:tc>
            </w:tr>
            <w:tr w14:paraId="52C7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39EAFD05">
                  <w:pPr>
                    <w:widowControl/>
                    <w:jc w:val="center"/>
                    <w:rPr>
                      <w:kern w:val="0"/>
                      <w:szCs w:val="21"/>
                    </w:rPr>
                  </w:pPr>
                  <w:r>
                    <w:rPr>
                      <w:kern w:val="0"/>
                      <w:szCs w:val="21"/>
                    </w:rPr>
                    <w:t>8</w:t>
                  </w:r>
                </w:p>
              </w:tc>
              <w:tc>
                <w:tcPr>
                  <w:tcW w:w="1147" w:type="pct"/>
                  <w:vAlign w:val="center"/>
                </w:tcPr>
                <w:p w14:paraId="06F972ED">
                  <w:pPr>
                    <w:widowControl/>
                    <w:jc w:val="center"/>
                    <w:rPr>
                      <w:kern w:val="0"/>
                      <w:szCs w:val="21"/>
                    </w:rPr>
                  </w:pPr>
                  <w:r>
                    <w:rPr>
                      <w:kern w:val="0"/>
                      <w:szCs w:val="21"/>
                    </w:rPr>
                    <w:t>应急防护措施</w:t>
                  </w:r>
                </w:p>
              </w:tc>
              <w:tc>
                <w:tcPr>
                  <w:tcW w:w="3528" w:type="pct"/>
                  <w:vAlign w:val="center"/>
                </w:tcPr>
                <w:p w14:paraId="2ABA93DD">
                  <w:pPr>
                    <w:widowControl/>
                    <w:jc w:val="left"/>
                    <w:rPr>
                      <w:kern w:val="0"/>
                      <w:szCs w:val="21"/>
                    </w:rPr>
                  </w:pPr>
                  <w:r>
                    <w:rPr>
                      <w:kern w:val="0"/>
                      <w:szCs w:val="21"/>
                    </w:rPr>
                    <w:t>事故现场：控制事故发展，防止扩大、蔓延及连锁反应；</w:t>
                  </w:r>
                </w:p>
              </w:tc>
            </w:tr>
            <w:tr w14:paraId="1F67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42FE3E4D">
                  <w:pPr>
                    <w:widowControl/>
                    <w:jc w:val="center"/>
                    <w:rPr>
                      <w:kern w:val="0"/>
                      <w:szCs w:val="21"/>
                    </w:rPr>
                  </w:pPr>
                  <w:r>
                    <w:rPr>
                      <w:kern w:val="0"/>
                      <w:szCs w:val="21"/>
                    </w:rPr>
                    <w:t>9</w:t>
                  </w:r>
                </w:p>
              </w:tc>
              <w:tc>
                <w:tcPr>
                  <w:tcW w:w="1147" w:type="pct"/>
                  <w:vAlign w:val="center"/>
                </w:tcPr>
                <w:p w14:paraId="2EA8E65E">
                  <w:pPr>
                    <w:widowControl/>
                    <w:jc w:val="center"/>
                    <w:rPr>
                      <w:kern w:val="0"/>
                      <w:szCs w:val="21"/>
                    </w:rPr>
                  </w:pPr>
                  <w:r>
                    <w:rPr>
                      <w:kern w:val="0"/>
                      <w:szCs w:val="21"/>
                    </w:rPr>
                    <w:t>应急剂量控制撤离组织计划</w:t>
                  </w:r>
                </w:p>
                <w:p w14:paraId="209A6830">
                  <w:pPr>
                    <w:widowControl/>
                    <w:jc w:val="center"/>
                    <w:rPr>
                      <w:kern w:val="0"/>
                      <w:szCs w:val="21"/>
                    </w:rPr>
                  </w:pPr>
                  <w:r>
                    <w:rPr>
                      <w:kern w:val="0"/>
                      <w:szCs w:val="21"/>
                    </w:rPr>
                    <w:t>医疗救护与保护公众健康</w:t>
                  </w:r>
                </w:p>
              </w:tc>
              <w:tc>
                <w:tcPr>
                  <w:tcW w:w="3528" w:type="pct"/>
                  <w:vAlign w:val="center"/>
                </w:tcPr>
                <w:p w14:paraId="5E9BAA37">
                  <w:pPr>
                    <w:widowControl/>
                    <w:jc w:val="left"/>
                    <w:rPr>
                      <w:kern w:val="0"/>
                      <w:szCs w:val="21"/>
                    </w:rPr>
                  </w:pPr>
                  <w:r>
                    <w:rPr>
                      <w:kern w:val="0"/>
                      <w:szCs w:val="21"/>
                    </w:rPr>
                    <w:t>事故现场：事故处理人员制定毒物的应急剂量、现场及临近装置人员的撤离组织计划和紧急救护方案；</w:t>
                  </w:r>
                </w:p>
                <w:p w14:paraId="14DDE357">
                  <w:pPr>
                    <w:widowControl/>
                    <w:jc w:val="left"/>
                    <w:rPr>
                      <w:kern w:val="0"/>
                      <w:szCs w:val="21"/>
                    </w:rPr>
                  </w:pPr>
                  <w:r>
                    <w:rPr>
                      <w:kern w:val="0"/>
                      <w:szCs w:val="21"/>
                    </w:rPr>
                    <w:t>临近地区：制定受事故影响的临近地区内人员的烧伤程度、公众的疏散组织计划和紧急救护方案。</w:t>
                  </w:r>
                </w:p>
              </w:tc>
            </w:tr>
            <w:tr w14:paraId="07DD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547124DF">
                  <w:pPr>
                    <w:widowControl/>
                    <w:jc w:val="center"/>
                    <w:rPr>
                      <w:kern w:val="0"/>
                      <w:szCs w:val="21"/>
                    </w:rPr>
                  </w:pPr>
                  <w:r>
                    <w:rPr>
                      <w:kern w:val="0"/>
                      <w:szCs w:val="21"/>
                    </w:rPr>
                    <w:t>10</w:t>
                  </w:r>
                </w:p>
              </w:tc>
              <w:tc>
                <w:tcPr>
                  <w:tcW w:w="1147" w:type="pct"/>
                  <w:vAlign w:val="center"/>
                </w:tcPr>
                <w:p w14:paraId="13A05675">
                  <w:pPr>
                    <w:widowControl/>
                    <w:jc w:val="center"/>
                    <w:rPr>
                      <w:kern w:val="0"/>
                      <w:szCs w:val="21"/>
                    </w:rPr>
                  </w:pPr>
                  <w:r>
                    <w:rPr>
                      <w:kern w:val="0"/>
                      <w:szCs w:val="21"/>
                    </w:rPr>
                    <w:t>应急状态中止</w:t>
                  </w:r>
                </w:p>
                <w:p w14:paraId="09217902">
                  <w:pPr>
                    <w:widowControl/>
                    <w:jc w:val="center"/>
                    <w:rPr>
                      <w:kern w:val="0"/>
                      <w:szCs w:val="21"/>
                    </w:rPr>
                  </w:pPr>
                  <w:r>
                    <w:rPr>
                      <w:kern w:val="0"/>
                      <w:szCs w:val="21"/>
                    </w:rPr>
                    <w:t>恢复措施</w:t>
                  </w:r>
                </w:p>
              </w:tc>
              <w:tc>
                <w:tcPr>
                  <w:tcW w:w="3528" w:type="pct"/>
                  <w:vAlign w:val="center"/>
                </w:tcPr>
                <w:p w14:paraId="642C0589">
                  <w:pPr>
                    <w:widowControl/>
                    <w:jc w:val="left"/>
                    <w:rPr>
                      <w:kern w:val="0"/>
                      <w:szCs w:val="21"/>
                    </w:rPr>
                  </w:pPr>
                  <w:r>
                    <w:rPr>
                      <w:kern w:val="0"/>
                      <w:szCs w:val="21"/>
                    </w:rPr>
                    <w:t>事故现场：规定应急状态终止秩序；事故现场善后处理，恢复生产措施；临近地区：解除事故警戒，公众返回和善后恢复措施。</w:t>
                  </w:r>
                </w:p>
              </w:tc>
            </w:tr>
            <w:tr w14:paraId="668D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4E21A2DE">
                  <w:pPr>
                    <w:widowControl/>
                    <w:jc w:val="center"/>
                    <w:rPr>
                      <w:kern w:val="0"/>
                      <w:szCs w:val="21"/>
                    </w:rPr>
                  </w:pPr>
                  <w:r>
                    <w:rPr>
                      <w:kern w:val="0"/>
                      <w:szCs w:val="21"/>
                    </w:rPr>
                    <w:t>11</w:t>
                  </w:r>
                </w:p>
              </w:tc>
              <w:tc>
                <w:tcPr>
                  <w:tcW w:w="1147" w:type="pct"/>
                  <w:vAlign w:val="center"/>
                </w:tcPr>
                <w:p w14:paraId="7B71F1D1">
                  <w:pPr>
                    <w:widowControl/>
                    <w:jc w:val="center"/>
                    <w:rPr>
                      <w:kern w:val="0"/>
                      <w:szCs w:val="21"/>
                    </w:rPr>
                  </w:pPr>
                  <w:r>
                    <w:rPr>
                      <w:kern w:val="0"/>
                      <w:szCs w:val="21"/>
                    </w:rPr>
                    <w:t>人员培训与演习</w:t>
                  </w:r>
                </w:p>
              </w:tc>
              <w:tc>
                <w:tcPr>
                  <w:tcW w:w="3528" w:type="pct"/>
                  <w:vAlign w:val="center"/>
                </w:tcPr>
                <w:p w14:paraId="5D56D097">
                  <w:pPr>
                    <w:widowControl/>
                    <w:jc w:val="left"/>
                    <w:rPr>
                      <w:kern w:val="0"/>
                      <w:szCs w:val="21"/>
                    </w:rPr>
                  </w:pPr>
                  <w:r>
                    <w:rPr>
                      <w:kern w:val="0"/>
                      <w:szCs w:val="21"/>
                    </w:rPr>
                    <w:t>应急计划制定后，平时安排事故</w:t>
                  </w:r>
                  <w:r>
                    <w:rPr>
                      <w:rFonts w:hint="eastAsia"/>
                      <w:kern w:val="0"/>
                      <w:szCs w:val="21"/>
                      <w:lang w:eastAsia="zh-CN"/>
                    </w:rPr>
                    <w:t>处理</w:t>
                  </w:r>
                  <w:r>
                    <w:rPr>
                      <w:kern w:val="0"/>
                      <w:szCs w:val="21"/>
                    </w:rPr>
                    <w:t>人员进行相关知识培训并进行事故应急处理演习；对工厂工人进行安全卫生教育。</w:t>
                  </w:r>
                </w:p>
              </w:tc>
            </w:tr>
            <w:tr w14:paraId="4534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4F0ABBDE">
                  <w:pPr>
                    <w:widowControl/>
                    <w:jc w:val="center"/>
                    <w:rPr>
                      <w:kern w:val="0"/>
                      <w:szCs w:val="21"/>
                    </w:rPr>
                  </w:pPr>
                  <w:r>
                    <w:rPr>
                      <w:kern w:val="0"/>
                      <w:szCs w:val="21"/>
                    </w:rPr>
                    <w:t>12</w:t>
                  </w:r>
                </w:p>
              </w:tc>
              <w:tc>
                <w:tcPr>
                  <w:tcW w:w="1147" w:type="pct"/>
                  <w:vAlign w:val="center"/>
                </w:tcPr>
                <w:p w14:paraId="69D601CC">
                  <w:pPr>
                    <w:widowControl/>
                    <w:jc w:val="center"/>
                    <w:rPr>
                      <w:kern w:val="0"/>
                      <w:szCs w:val="21"/>
                    </w:rPr>
                  </w:pPr>
                  <w:r>
                    <w:rPr>
                      <w:kern w:val="0"/>
                      <w:szCs w:val="21"/>
                    </w:rPr>
                    <w:t>公众教育信息发布</w:t>
                  </w:r>
                </w:p>
              </w:tc>
              <w:tc>
                <w:tcPr>
                  <w:tcW w:w="3528" w:type="pct"/>
                  <w:vAlign w:val="center"/>
                </w:tcPr>
                <w:p w14:paraId="520FDA42">
                  <w:pPr>
                    <w:widowControl/>
                    <w:jc w:val="left"/>
                    <w:rPr>
                      <w:kern w:val="0"/>
                      <w:szCs w:val="21"/>
                    </w:rPr>
                  </w:pPr>
                  <w:r>
                    <w:rPr>
                      <w:kern w:val="0"/>
                      <w:szCs w:val="21"/>
                    </w:rPr>
                    <w:t>对工厂临近地区公众开展环境风险事故预防教育、应急知识培训并定期发布相关信息。</w:t>
                  </w:r>
                </w:p>
              </w:tc>
            </w:tr>
            <w:tr w14:paraId="09FB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196B476A">
                  <w:pPr>
                    <w:widowControl/>
                    <w:jc w:val="center"/>
                    <w:rPr>
                      <w:kern w:val="0"/>
                      <w:szCs w:val="21"/>
                    </w:rPr>
                  </w:pPr>
                  <w:r>
                    <w:rPr>
                      <w:kern w:val="0"/>
                      <w:szCs w:val="21"/>
                    </w:rPr>
                    <w:t>13</w:t>
                  </w:r>
                </w:p>
              </w:tc>
              <w:tc>
                <w:tcPr>
                  <w:tcW w:w="1147" w:type="pct"/>
                  <w:vAlign w:val="center"/>
                </w:tcPr>
                <w:p w14:paraId="439F5F2F">
                  <w:pPr>
                    <w:widowControl/>
                    <w:jc w:val="center"/>
                    <w:rPr>
                      <w:kern w:val="0"/>
                      <w:szCs w:val="21"/>
                    </w:rPr>
                  </w:pPr>
                  <w:r>
                    <w:rPr>
                      <w:kern w:val="0"/>
                      <w:szCs w:val="21"/>
                    </w:rPr>
                    <w:t>记录和报告</w:t>
                  </w:r>
                </w:p>
              </w:tc>
              <w:tc>
                <w:tcPr>
                  <w:tcW w:w="3528" w:type="pct"/>
                  <w:vAlign w:val="center"/>
                </w:tcPr>
                <w:p w14:paraId="54137852">
                  <w:pPr>
                    <w:widowControl/>
                    <w:jc w:val="left"/>
                    <w:rPr>
                      <w:kern w:val="0"/>
                      <w:szCs w:val="21"/>
                    </w:rPr>
                  </w:pPr>
                  <w:r>
                    <w:rPr>
                      <w:kern w:val="0"/>
                      <w:szCs w:val="21"/>
                    </w:rPr>
                    <w:t>设应急事故专门记录，建立档案和报告制度，设专门部门负责管理。</w:t>
                  </w:r>
                </w:p>
              </w:tc>
            </w:tr>
            <w:tr w14:paraId="6E2A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3" w:type="pct"/>
                  <w:vAlign w:val="center"/>
                </w:tcPr>
                <w:p w14:paraId="1C9B7BA8">
                  <w:pPr>
                    <w:widowControl/>
                    <w:jc w:val="center"/>
                    <w:rPr>
                      <w:kern w:val="0"/>
                      <w:szCs w:val="21"/>
                    </w:rPr>
                  </w:pPr>
                  <w:r>
                    <w:rPr>
                      <w:kern w:val="0"/>
                      <w:szCs w:val="21"/>
                    </w:rPr>
                    <w:t>14</w:t>
                  </w:r>
                </w:p>
              </w:tc>
              <w:tc>
                <w:tcPr>
                  <w:tcW w:w="1147" w:type="pct"/>
                  <w:vAlign w:val="center"/>
                </w:tcPr>
                <w:p w14:paraId="13E3AF94">
                  <w:pPr>
                    <w:widowControl/>
                    <w:jc w:val="center"/>
                    <w:rPr>
                      <w:kern w:val="0"/>
                      <w:szCs w:val="21"/>
                    </w:rPr>
                  </w:pPr>
                  <w:r>
                    <w:rPr>
                      <w:kern w:val="0"/>
                      <w:szCs w:val="21"/>
                    </w:rPr>
                    <w:t>附件</w:t>
                  </w:r>
                </w:p>
              </w:tc>
              <w:tc>
                <w:tcPr>
                  <w:tcW w:w="3528" w:type="pct"/>
                  <w:vAlign w:val="center"/>
                </w:tcPr>
                <w:p w14:paraId="20D3888D">
                  <w:pPr>
                    <w:widowControl/>
                    <w:jc w:val="left"/>
                    <w:rPr>
                      <w:kern w:val="0"/>
                      <w:szCs w:val="21"/>
                    </w:rPr>
                  </w:pPr>
                  <w:r>
                    <w:rPr>
                      <w:kern w:val="0"/>
                      <w:szCs w:val="21"/>
                    </w:rPr>
                    <w:t>准备并形成环境风险事故应急处理有关的附件材料。</w:t>
                  </w:r>
                </w:p>
              </w:tc>
            </w:tr>
          </w:tbl>
          <w:p w14:paraId="6578AFEC">
            <w:pPr>
              <w:adjustRightInd w:val="0"/>
              <w:snapToGrid w:val="0"/>
              <w:spacing w:line="360" w:lineRule="auto"/>
              <w:ind w:firstLine="480" w:firstLineChars="200"/>
              <w:textAlignment w:val="bottom"/>
              <w:rPr>
                <w:sz w:val="24"/>
              </w:rPr>
            </w:pPr>
            <w:r>
              <w:rPr>
                <w:sz w:val="24"/>
              </w:rPr>
              <w:t>通过对项目厂区可能发生的环境风险事故进行定性分析，在采取安全防范措施、综合管理措施、风险应急预案等措施后，可将</w:t>
            </w:r>
            <w:r>
              <w:rPr>
                <w:rFonts w:hint="eastAsia"/>
                <w:sz w:val="24"/>
                <w:lang w:eastAsia="zh-CN"/>
              </w:rPr>
              <w:t>泄漏</w:t>
            </w:r>
            <w:r>
              <w:rPr>
                <w:rFonts w:hint="eastAsia"/>
                <w:sz w:val="24"/>
              </w:rPr>
              <w:t>、次生/伴生引发的环境污染</w:t>
            </w:r>
            <w:r>
              <w:rPr>
                <w:sz w:val="24"/>
              </w:rPr>
              <w:t>等事故对环境的影响减到最低和可接受范围，避免项目本身及周围环境遭受损失。</w:t>
            </w:r>
          </w:p>
          <w:p w14:paraId="6201D7C2">
            <w:pPr>
              <w:adjustRightInd w:val="0"/>
              <w:snapToGrid w:val="0"/>
              <w:spacing w:line="360" w:lineRule="auto"/>
              <w:ind w:firstLine="480" w:firstLineChars="200"/>
              <w:textAlignment w:val="bottom"/>
              <w:rPr>
                <w:sz w:val="24"/>
              </w:rPr>
            </w:pPr>
            <w:r>
              <w:rPr>
                <w:sz w:val="24"/>
              </w:rPr>
              <w:t>因此，在加强对各类风险的管理，做到各项管理措施及要求后，本项目风险处于可接受水平，风险管理措施有效、可靠，从风险角度而言是可行的。</w:t>
            </w:r>
          </w:p>
          <w:p w14:paraId="7BBF244F">
            <w:pPr>
              <w:adjustRightInd w:val="0"/>
              <w:snapToGrid w:val="0"/>
              <w:spacing w:before="120" w:beforeLines="50" w:line="360" w:lineRule="auto"/>
              <w:ind w:left="420" w:leftChars="200"/>
              <w:textAlignment w:val="bottom"/>
              <w:rPr>
                <w:b/>
                <w:bCs/>
                <w:sz w:val="24"/>
              </w:rPr>
            </w:pPr>
            <w:r>
              <w:rPr>
                <w:rFonts w:hint="eastAsia"/>
                <w:b/>
                <w:bCs/>
                <w:sz w:val="24"/>
              </w:rPr>
              <w:t>8、风险防范措施及投资</w:t>
            </w:r>
          </w:p>
          <w:p w14:paraId="6EE0EE0C">
            <w:pPr>
              <w:pStyle w:val="83"/>
              <w:widowControl/>
              <w:wordWrap w:val="0"/>
              <w:autoSpaceDE w:val="0"/>
              <w:autoSpaceDN w:val="0"/>
              <w:adjustRightInd w:val="0"/>
              <w:snapToGrid w:val="0"/>
              <w:spacing w:before="181" w:line="220" w:lineRule="auto"/>
              <w:ind w:left="598"/>
              <w:textAlignment w:val="baseline"/>
              <w:rPr>
                <w:rFonts w:ascii="Times New Roman" w:hAnsi="Times New Roman"/>
                <w:lang w:eastAsia="zh-CN"/>
              </w:rPr>
            </w:pPr>
            <w:r>
              <w:rPr>
                <w:rFonts w:ascii="Times New Roman" w:hAnsi="Times New Roman"/>
                <w:spacing w:val="-3"/>
                <w:lang w:eastAsia="zh-CN"/>
              </w:rPr>
              <w:t>本项目风险防范措施及投资见下表。</w:t>
            </w:r>
          </w:p>
          <w:p w14:paraId="46192C3C">
            <w:pPr>
              <w:jc w:val="center"/>
              <w:rPr>
                <w:b/>
                <w:bCs/>
                <w:szCs w:val="21"/>
              </w:rPr>
            </w:pPr>
            <w:r>
              <w:rPr>
                <w:rFonts w:hint="eastAsia"/>
                <w:b/>
                <w:bCs/>
                <w:szCs w:val="21"/>
              </w:rPr>
              <w:t>表4-28  风险防范措施表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6155"/>
              <w:gridCol w:w="1505"/>
            </w:tblGrid>
            <w:tr w14:paraId="6ACD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EC2C699">
                  <w:pPr>
                    <w:autoSpaceDE w:val="0"/>
                    <w:autoSpaceDN w:val="0"/>
                    <w:jc w:val="center"/>
                    <w:rPr>
                      <w:bCs/>
                      <w:szCs w:val="21"/>
                    </w:rPr>
                  </w:pPr>
                  <w:r>
                    <w:rPr>
                      <w:bCs/>
                      <w:szCs w:val="21"/>
                    </w:rPr>
                    <w:t>序号</w:t>
                  </w:r>
                </w:p>
              </w:tc>
              <w:tc>
                <w:tcPr>
                  <w:tcW w:w="3632" w:type="pct"/>
                  <w:vAlign w:val="center"/>
                </w:tcPr>
                <w:p w14:paraId="2149BC64">
                  <w:pPr>
                    <w:autoSpaceDE w:val="0"/>
                    <w:autoSpaceDN w:val="0"/>
                    <w:jc w:val="center"/>
                    <w:rPr>
                      <w:bCs/>
                      <w:szCs w:val="21"/>
                    </w:rPr>
                  </w:pPr>
                  <w:r>
                    <w:rPr>
                      <w:bCs/>
                      <w:szCs w:val="21"/>
                    </w:rPr>
                    <w:t>措施</w:t>
                  </w:r>
                </w:p>
              </w:tc>
              <w:tc>
                <w:tcPr>
                  <w:tcW w:w="889" w:type="pct"/>
                  <w:vAlign w:val="center"/>
                </w:tcPr>
                <w:p w14:paraId="24CD15E2">
                  <w:pPr>
                    <w:autoSpaceDE w:val="0"/>
                    <w:autoSpaceDN w:val="0"/>
                    <w:jc w:val="center"/>
                    <w:rPr>
                      <w:bCs/>
                      <w:szCs w:val="21"/>
                    </w:rPr>
                  </w:pPr>
                  <w:r>
                    <w:rPr>
                      <w:bCs/>
                      <w:szCs w:val="21"/>
                    </w:rPr>
                    <w:t>投资（万元）</w:t>
                  </w:r>
                </w:p>
              </w:tc>
            </w:tr>
            <w:tr w14:paraId="4559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5D174991">
                  <w:pPr>
                    <w:autoSpaceDE w:val="0"/>
                    <w:autoSpaceDN w:val="0"/>
                    <w:jc w:val="center"/>
                    <w:rPr>
                      <w:szCs w:val="21"/>
                    </w:rPr>
                  </w:pPr>
                  <w:r>
                    <w:rPr>
                      <w:szCs w:val="21"/>
                    </w:rPr>
                    <w:t>1</w:t>
                  </w:r>
                </w:p>
              </w:tc>
              <w:tc>
                <w:tcPr>
                  <w:tcW w:w="3632" w:type="pct"/>
                  <w:vAlign w:val="center"/>
                </w:tcPr>
                <w:p w14:paraId="616E1D42">
                  <w:pPr>
                    <w:jc w:val="center"/>
                    <w:rPr>
                      <w:szCs w:val="21"/>
                    </w:rPr>
                  </w:pPr>
                  <w:r>
                    <w:rPr>
                      <w:szCs w:val="21"/>
                    </w:rPr>
                    <w:t>设置危废暂存间1间，各类危废分类进行储存。</w:t>
                  </w:r>
                  <w:r>
                    <w:rPr>
                      <w:rStyle w:val="33"/>
                      <w:kern w:val="0"/>
                      <w:szCs w:val="20"/>
                    </w:rPr>
                    <w:t>危废暂存间</w:t>
                  </w:r>
                  <w:r>
                    <w:rPr>
                      <w:rStyle w:val="33"/>
                      <w:rFonts w:hint="eastAsia"/>
                      <w:kern w:val="0"/>
                      <w:szCs w:val="20"/>
                    </w:rPr>
                    <w:t>进行重点防渗</w:t>
                  </w:r>
                  <w:r>
                    <w:rPr>
                      <w:rStyle w:val="33"/>
                      <w:kern w:val="0"/>
                      <w:szCs w:val="20"/>
                    </w:rPr>
                    <w:t>，</w:t>
                  </w:r>
                  <w:r>
                    <w:rPr>
                      <w:rStyle w:val="33"/>
                      <w:rFonts w:hint="eastAsia"/>
                      <w:kern w:val="0"/>
                      <w:szCs w:val="20"/>
                    </w:rPr>
                    <w:t>并</w:t>
                  </w:r>
                  <w:r>
                    <w:rPr>
                      <w:rStyle w:val="33"/>
                      <w:kern w:val="0"/>
                      <w:szCs w:val="20"/>
                    </w:rPr>
                    <w:t>设置金属托盘，危废分类存于金属托盘内</w:t>
                  </w:r>
                  <w:r>
                    <w:rPr>
                      <w:rStyle w:val="33"/>
                      <w:rFonts w:hint="eastAsia"/>
                      <w:kern w:val="0"/>
                      <w:szCs w:val="20"/>
                    </w:rPr>
                    <w:t>。</w:t>
                  </w:r>
                </w:p>
              </w:tc>
              <w:tc>
                <w:tcPr>
                  <w:tcW w:w="889" w:type="pct"/>
                  <w:vAlign w:val="center"/>
                </w:tcPr>
                <w:p w14:paraId="58656828">
                  <w:pPr>
                    <w:autoSpaceDE w:val="0"/>
                    <w:autoSpaceDN w:val="0"/>
                    <w:jc w:val="center"/>
                    <w:rPr>
                      <w:szCs w:val="21"/>
                    </w:rPr>
                  </w:pPr>
                  <w:r>
                    <w:rPr>
                      <w:rFonts w:hint="eastAsia"/>
                      <w:szCs w:val="21"/>
                    </w:rPr>
                    <w:t>3.</w:t>
                  </w:r>
                  <w:r>
                    <w:rPr>
                      <w:szCs w:val="21"/>
                    </w:rPr>
                    <w:t xml:space="preserve">0 </w:t>
                  </w:r>
                </w:p>
              </w:tc>
            </w:tr>
            <w:tr w14:paraId="1FF0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1DF68552">
                  <w:pPr>
                    <w:autoSpaceDE w:val="0"/>
                    <w:autoSpaceDN w:val="0"/>
                    <w:jc w:val="center"/>
                    <w:rPr>
                      <w:szCs w:val="21"/>
                    </w:rPr>
                  </w:pPr>
                  <w:r>
                    <w:rPr>
                      <w:szCs w:val="21"/>
                    </w:rPr>
                    <w:t>2</w:t>
                  </w:r>
                </w:p>
              </w:tc>
              <w:tc>
                <w:tcPr>
                  <w:tcW w:w="3632" w:type="pct"/>
                  <w:vAlign w:val="center"/>
                </w:tcPr>
                <w:p w14:paraId="15654FEB">
                  <w:pPr>
                    <w:autoSpaceDE w:val="0"/>
                    <w:autoSpaceDN w:val="0"/>
                    <w:jc w:val="center"/>
                    <w:rPr>
                      <w:szCs w:val="21"/>
                    </w:rPr>
                  </w:pPr>
                  <w:r>
                    <w:rPr>
                      <w:szCs w:val="21"/>
                    </w:rPr>
                    <w:t>厂区内设防火警示标志、禁止明火等标志。</w:t>
                  </w:r>
                  <w:r>
                    <w:rPr>
                      <w:rFonts w:hint="eastAsia"/>
                      <w:szCs w:val="21"/>
                    </w:rPr>
                    <w:t>垃圾站房</w:t>
                  </w:r>
                  <w:r>
                    <w:rPr>
                      <w:szCs w:val="21"/>
                    </w:rPr>
                    <w:t>和</w:t>
                  </w:r>
                  <w:r>
                    <w:rPr>
                      <w:rFonts w:hint="eastAsia"/>
                      <w:szCs w:val="21"/>
                    </w:rPr>
                    <w:t>维保房</w:t>
                  </w:r>
                  <w:r>
                    <w:rPr>
                      <w:szCs w:val="21"/>
                    </w:rPr>
                    <w:t>等按相关规范要求配置灭火器；定期进行电路、电气、设备检查；建立各类规章制度；加强环保设备的日常监管，若污染治理设施发生故障，应停止生产，待其检修合格并正常运行后方可恢复生产，避免污染物异常超标排放</w:t>
                  </w:r>
                </w:p>
              </w:tc>
              <w:tc>
                <w:tcPr>
                  <w:tcW w:w="889" w:type="pct"/>
                  <w:vAlign w:val="center"/>
                </w:tcPr>
                <w:p w14:paraId="6AB79587">
                  <w:pPr>
                    <w:autoSpaceDE w:val="0"/>
                    <w:autoSpaceDN w:val="0"/>
                    <w:jc w:val="center"/>
                    <w:rPr>
                      <w:szCs w:val="21"/>
                    </w:rPr>
                  </w:pPr>
                  <w:r>
                    <w:rPr>
                      <w:szCs w:val="21"/>
                    </w:rPr>
                    <w:t xml:space="preserve">1.0 </w:t>
                  </w:r>
                </w:p>
              </w:tc>
            </w:tr>
            <w:tr w14:paraId="7F6B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60E7C763">
                  <w:pPr>
                    <w:autoSpaceDE w:val="0"/>
                    <w:autoSpaceDN w:val="0"/>
                    <w:jc w:val="center"/>
                    <w:rPr>
                      <w:szCs w:val="21"/>
                    </w:rPr>
                  </w:pPr>
                  <w:r>
                    <w:rPr>
                      <w:szCs w:val="21"/>
                    </w:rPr>
                    <w:t>3</w:t>
                  </w:r>
                </w:p>
              </w:tc>
              <w:tc>
                <w:tcPr>
                  <w:tcW w:w="3632" w:type="pct"/>
                  <w:vAlign w:val="center"/>
                </w:tcPr>
                <w:p w14:paraId="36D91255">
                  <w:pPr>
                    <w:autoSpaceDE w:val="0"/>
                    <w:autoSpaceDN w:val="0"/>
                    <w:jc w:val="center"/>
                    <w:rPr>
                      <w:szCs w:val="21"/>
                    </w:rPr>
                  </w:pPr>
                  <w:r>
                    <w:rPr>
                      <w:szCs w:val="21"/>
                    </w:rPr>
                    <w:t>制定应急预案，加强应急演练</w:t>
                  </w:r>
                </w:p>
              </w:tc>
              <w:tc>
                <w:tcPr>
                  <w:tcW w:w="889" w:type="pct"/>
                  <w:vAlign w:val="center"/>
                </w:tcPr>
                <w:p w14:paraId="40A119E6">
                  <w:pPr>
                    <w:autoSpaceDE w:val="0"/>
                    <w:autoSpaceDN w:val="0"/>
                    <w:jc w:val="center"/>
                    <w:rPr>
                      <w:szCs w:val="21"/>
                    </w:rPr>
                  </w:pPr>
                  <w:r>
                    <w:rPr>
                      <w:rFonts w:hint="eastAsia"/>
                      <w:szCs w:val="21"/>
                    </w:rPr>
                    <w:t>1</w:t>
                  </w:r>
                  <w:r>
                    <w:rPr>
                      <w:szCs w:val="21"/>
                    </w:rPr>
                    <w:t xml:space="preserve">.0 </w:t>
                  </w:r>
                </w:p>
              </w:tc>
            </w:tr>
            <w:tr w14:paraId="1BD1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57BF714B">
                  <w:pPr>
                    <w:autoSpaceDE w:val="0"/>
                    <w:autoSpaceDN w:val="0"/>
                    <w:jc w:val="center"/>
                    <w:rPr>
                      <w:szCs w:val="21"/>
                    </w:rPr>
                  </w:pPr>
                  <w:r>
                    <w:rPr>
                      <w:szCs w:val="21"/>
                    </w:rPr>
                    <w:t>合计</w:t>
                  </w:r>
                </w:p>
              </w:tc>
              <w:tc>
                <w:tcPr>
                  <w:tcW w:w="3632" w:type="pct"/>
                  <w:vAlign w:val="center"/>
                </w:tcPr>
                <w:p w14:paraId="666A1CE4">
                  <w:pPr>
                    <w:autoSpaceDE w:val="0"/>
                    <w:autoSpaceDN w:val="0"/>
                    <w:jc w:val="center"/>
                    <w:rPr>
                      <w:szCs w:val="21"/>
                    </w:rPr>
                  </w:pPr>
                  <w:r>
                    <w:rPr>
                      <w:szCs w:val="21"/>
                    </w:rPr>
                    <w:t>合计</w:t>
                  </w:r>
                </w:p>
              </w:tc>
              <w:tc>
                <w:tcPr>
                  <w:tcW w:w="889" w:type="pct"/>
                  <w:vAlign w:val="center"/>
                </w:tcPr>
                <w:p w14:paraId="0FE33E15">
                  <w:pPr>
                    <w:autoSpaceDE w:val="0"/>
                    <w:autoSpaceDN w:val="0"/>
                    <w:jc w:val="center"/>
                    <w:rPr>
                      <w:szCs w:val="21"/>
                    </w:rPr>
                  </w:pPr>
                  <w:r>
                    <w:rPr>
                      <w:rFonts w:hint="eastAsia"/>
                      <w:szCs w:val="21"/>
                    </w:rPr>
                    <w:t>5</w:t>
                  </w:r>
                  <w:r>
                    <w:rPr>
                      <w:szCs w:val="21"/>
                    </w:rPr>
                    <w:t xml:space="preserve"> </w:t>
                  </w:r>
                </w:p>
              </w:tc>
            </w:tr>
          </w:tbl>
          <w:p w14:paraId="4BF50C90">
            <w:pPr>
              <w:adjustRightInd w:val="0"/>
              <w:snapToGrid w:val="0"/>
              <w:spacing w:before="120" w:beforeLines="50" w:line="360" w:lineRule="auto"/>
              <w:ind w:left="420" w:leftChars="200"/>
              <w:textAlignment w:val="bottom"/>
              <w:rPr>
                <w:b/>
                <w:bCs/>
                <w:sz w:val="24"/>
              </w:rPr>
            </w:pPr>
            <w:r>
              <w:rPr>
                <w:rFonts w:hint="eastAsia"/>
                <w:b/>
                <w:bCs/>
                <w:sz w:val="24"/>
              </w:rPr>
              <w:t>9、</w:t>
            </w:r>
            <w:r>
              <w:rPr>
                <w:b/>
                <w:bCs/>
                <w:sz w:val="24"/>
              </w:rPr>
              <w:t>环境风险评价结论</w:t>
            </w:r>
            <w:r>
              <w:rPr>
                <w:rFonts w:hint="eastAsia"/>
                <w:b/>
                <w:bCs/>
                <w:sz w:val="24"/>
              </w:rPr>
              <w:t>及建议</w:t>
            </w:r>
          </w:p>
          <w:p w14:paraId="12EFDB3D">
            <w:pPr>
              <w:autoSpaceDE w:val="0"/>
              <w:autoSpaceDN w:val="0"/>
              <w:adjustRightInd w:val="0"/>
              <w:snapToGrid w:val="0"/>
              <w:spacing w:before="120" w:beforeLines="50" w:line="360" w:lineRule="auto"/>
              <w:ind w:firstLine="480" w:firstLineChars="200"/>
              <w:rPr>
                <w:sz w:val="24"/>
              </w:rPr>
            </w:pPr>
            <w:r>
              <w:rPr>
                <w:rFonts w:hint="eastAsia"/>
                <w:sz w:val="24"/>
              </w:rPr>
              <w:t>结</w:t>
            </w:r>
            <w:r>
              <w:rPr>
                <w:sz w:val="24"/>
              </w:rPr>
              <w:t>论：通过采取严格的风险防范措施，可将风险隐患降至最低，达到可以接受的水平。在采取完善的事故风险防范措施，建立科学完整的应急计划，落实有效的应急救援措施后，本项目的环境风险可以得到有效控制。本项目风险防范措施及应急预案可靠且可行，因此项目从环境风险角度分析是可行的。</w:t>
            </w:r>
          </w:p>
          <w:p w14:paraId="16BA6E5B">
            <w:pPr>
              <w:autoSpaceDE w:val="0"/>
              <w:autoSpaceDN w:val="0"/>
              <w:adjustRightInd w:val="0"/>
              <w:snapToGrid w:val="0"/>
              <w:spacing w:before="120" w:beforeLines="50" w:line="360" w:lineRule="auto"/>
              <w:ind w:firstLine="480" w:firstLineChars="200"/>
              <w:rPr>
                <w:sz w:val="24"/>
              </w:rPr>
            </w:pPr>
            <w:r>
              <w:rPr>
                <w:sz w:val="24"/>
              </w:rPr>
              <w:t>建议：不断更新和完善现有风险事故防范措施和应急预案，力求全面周到、切实可行，并加强与当地环保、消防、卫生等部门及周边企、事业单位的沟通、联络，以取得其理解、支持和应急救援。</w:t>
            </w:r>
          </w:p>
          <w:p w14:paraId="09285F92">
            <w:pPr>
              <w:adjustRightInd w:val="0"/>
              <w:snapToGrid w:val="0"/>
              <w:spacing w:line="360" w:lineRule="auto"/>
              <w:ind w:firstLine="482" w:firstLineChars="200"/>
              <w:textAlignment w:val="bottom"/>
              <w:rPr>
                <w:b/>
                <w:bCs/>
                <w:sz w:val="24"/>
              </w:rPr>
            </w:pPr>
            <w:r>
              <w:rPr>
                <w:b/>
                <w:bCs/>
                <w:sz w:val="24"/>
              </w:rPr>
              <w:t>七、排污口规范设置要求</w:t>
            </w:r>
          </w:p>
          <w:p w14:paraId="6CE71497">
            <w:pPr>
              <w:autoSpaceDE w:val="0"/>
              <w:autoSpaceDN w:val="0"/>
              <w:adjustRightInd w:val="0"/>
              <w:snapToGrid w:val="0"/>
              <w:spacing w:before="120" w:beforeLines="50" w:line="360" w:lineRule="auto"/>
              <w:ind w:firstLine="480" w:firstLineChars="200"/>
              <w:rPr>
                <w:sz w:val="24"/>
              </w:rPr>
            </w:pPr>
            <w:r>
              <w:rPr>
                <w:sz w:val="24"/>
              </w:rPr>
              <w:t>本项目废气排放口、废水排放口、固定噪声源、固体废物贮存和排气筒均应符合“一明显、二合理、三便于”的要求，即环保标志明显，排污口设置合理，便于采集样品、便于监测计量、便于公众参与和监督管理。</w:t>
            </w:r>
          </w:p>
          <w:p w14:paraId="780DD9AA">
            <w:pPr>
              <w:autoSpaceDE w:val="0"/>
              <w:autoSpaceDN w:val="0"/>
              <w:adjustRightInd w:val="0"/>
              <w:snapToGrid w:val="0"/>
              <w:spacing w:before="120" w:beforeLines="50" w:line="360" w:lineRule="auto"/>
              <w:ind w:firstLine="480" w:firstLineChars="200"/>
              <w:rPr>
                <w:sz w:val="24"/>
              </w:rPr>
            </w:pPr>
            <w:r>
              <w:rPr>
                <w:sz w:val="24"/>
              </w:rPr>
              <w:t>（1）废气排放口</w:t>
            </w:r>
          </w:p>
          <w:p w14:paraId="466455DA">
            <w:pPr>
              <w:autoSpaceDE w:val="0"/>
              <w:autoSpaceDN w:val="0"/>
              <w:adjustRightInd w:val="0"/>
              <w:snapToGrid w:val="0"/>
              <w:spacing w:before="120" w:beforeLines="50" w:line="360" w:lineRule="auto"/>
              <w:ind w:firstLine="480" w:firstLineChars="200"/>
              <w:rPr>
                <w:sz w:val="24"/>
              </w:rPr>
            </w:pPr>
            <w:r>
              <w:rPr>
                <w:sz w:val="24"/>
              </w:rPr>
              <w:t>本项目共设</w:t>
            </w:r>
            <w:r>
              <w:rPr>
                <w:rFonts w:hint="eastAsia"/>
                <w:sz w:val="24"/>
              </w:rPr>
              <w:t>1</w:t>
            </w:r>
            <w:r>
              <w:rPr>
                <w:sz w:val="24"/>
              </w:rPr>
              <w:t>个</w:t>
            </w:r>
            <w:r>
              <w:rPr>
                <w:rFonts w:hint="eastAsia"/>
                <w:sz w:val="24"/>
              </w:rPr>
              <w:t>废气排放筒</w:t>
            </w:r>
            <w:r>
              <w:rPr>
                <w:sz w:val="24"/>
              </w:rPr>
              <w:t>，排气筒达到标准要求高度，并设置便于采样、监测的采样口或搭建采样平台；在排气筒附近醒目处设置环保标志牌。</w:t>
            </w:r>
          </w:p>
          <w:p w14:paraId="123E7938">
            <w:pPr>
              <w:autoSpaceDE w:val="0"/>
              <w:autoSpaceDN w:val="0"/>
              <w:adjustRightInd w:val="0"/>
              <w:snapToGrid w:val="0"/>
              <w:spacing w:before="120" w:beforeLines="50" w:line="360" w:lineRule="auto"/>
              <w:ind w:firstLine="480" w:firstLineChars="200"/>
              <w:rPr>
                <w:sz w:val="24"/>
              </w:rPr>
            </w:pPr>
            <w:r>
              <w:rPr>
                <w:sz w:val="24"/>
              </w:rPr>
              <w:t>（2）废水排污口</w:t>
            </w:r>
          </w:p>
          <w:p w14:paraId="01BD17D7">
            <w:pPr>
              <w:autoSpaceDE w:val="0"/>
              <w:autoSpaceDN w:val="0"/>
              <w:adjustRightInd w:val="0"/>
              <w:snapToGrid w:val="0"/>
              <w:spacing w:before="120" w:beforeLines="50" w:line="360" w:lineRule="auto"/>
              <w:ind w:firstLine="480" w:firstLineChars="200"/>
              <w:rPr>
                <w:sz w:val="24"/>
              </w:rPr>
            </w:pPr>
            <w:r>
              <w:rPr>
                <w:sz w:val="24"/>
              </w:rPr>
              <w:t>建设项目厂区内的排水体制必须实施“雨污分流制”，厂区内设置一个雨水排放口，一个</w:t>
            </w:r>
            <w:r>
              <w:rPr>
                <w:rFonts w:hint="eastAsia"/>
                <w:sz w:val="24"/>
              </w:rPr>
              <w:t>企业综合</w:t>
            </w:r>
            <w:r>
              <w:rPr>
                <w:sz w:val="24"/>
              </w:rPr>
              <w:t>污水排放口。</w:t>
            </w:r>
          </w:p>
          <w:p w14:paraId="4E4832F3">
            <w:pPr>
              <w:autoSpaceDE w:val="0"/>
              <w:autoSpaceDN w:val="0"/>
              <w:adjustRightInd w:val="0"/>
              <w:snapToGrid w:val="0"/>
              <w:spacing w:before="120" w:beforeLines="50" w:line="360" w:lineRule="auto"/>
              <w:ind w:firstLine="480" w:firstLineChars="200"/>
              <w:rPr>
                <w:sz w:val="24"/>
              </w:rPr>
            </w:pPr>
            <w:r>
              <w:rPr>
                <w:sz w:val="24"/>
              </w:rPr>
              <w:t>（3）固体废物堆存场所</w:t>
            </w:r>
          </w:p>
          <w:p w14:paraId="42D775B0">
            <w:pPr>
              <w:autoSpaceDE w:val="0"/>
              <w:autoSpaceDN w:val="0"/>
              <w:adjustRightInd w:val="0"/>
              <w:snapToGrid w:val="0"/>
              <w:spacing w:before="120" w:beforeLines="50" w:line="360" w:lineRule="auto"/>
              <w:ind w:firstLine="480" w:firstLineChars="200"/>
              <w:rPr>
                <w:sz w:val="24"/>
              </w:rPr>
            </w:pPr>
            <w:r>
              <w:rPr>
                <w:rFonts w:hint="eastAsia"/>
                <w:sz w:val="24"/>
              </w:rPr>
              <w:t>一般</w:t>
            </w:r>
            <w:r>
              <w:rPr>
                <w:sz w:val="24"/>
              </w:rPr>
              <w:t>固体废物堆放场所</w:t>
            </w:r>
            <w:r>
              <w:rPr>
                <w:rFonts w:hint="eastAsia"/>
                <w:sz w:val="24"/>
              </w:rPr>
              <w:t>参照</w:t>
            </w:r>
            <w:r>
              <w:rPr>
                <w:sz w:val="24"/>
              </w:rPr>
              <w:t>《一般工业固体废物贮存、处置场污染控制标准》的要求，必须有防火、防腐蚀、防渗、防流失等措施，并应设置标志牌；</w:t>
            </w:r>
            <w:r>
              <w:rPr>
                <w:rFonts w:hint="eastAsia"/>
                <w:sz w:val="24"/>
              </w:rPr>
              <w:t>危险废物执行《危险废物贮存污染控制标准》（GB18597-2023）及相关标准规范要求进行。</w:t>
            </w:r>
          </w:p>
          <w:p w14:paraId="5ECAB083">
            <w:pPr>
              <w:autoSpaceDE w:val="0"/>
              <w:autoSpaceDN w:val="0"/>
              <w:adjustRightInd w:val="0"/>
              <w:snapToGrid w:val="0"/>
              <w:spacing w:before="120" w:beforeLines="50" w:line="360" w:lineRule="auto"/>
              <w:ind w:firstLine="480" w:firstLineChars="200"/>
              <w:rPr>
                <w:sz w:val="24"/>
              </w:rPr>
            </w:pPr>
            <w:r>
              <w:rPr>
                <w:sz w:val="24"/>
              </w:rPr>
              <w:t>（4）排放口管理</w:t>
            </w:r>
          </w:p>
          <w:p w14:paraId="20E267AF">
            <w:pPr>
              <w:autoSpaceDE w:val="0"/>
              <w:autoSpaceDN w:val="0"/>
              <w:adjustRightInd w:val="0"/>
              <w:snapToGrid w:val="0"/>
              <w:spacing w:before="120" w:beforeLines="50" w:line="360" w:lineRule="auto"/>
              <w:ind w:firstLine="480" w:firstLineChars="200"/>
              <w:rPr>
                <w:sz w:val="24"/>
              </w:rPr>
            </w:pPr>
            <w:r>
              <w:rPr>
                <w:sz w:val="24"/>
              </w:rPr>
              <w:t>建设单位应在各个排放口处竖立标志牌，并如实填写《中华人民共和国规范化排污口标记登记证》，由生态</w:t>
            </w:r>
            <w:r>
              <w:rPr>
                <w:rFonts w:hint="eastAsia"/>
                <w:sz w:val="24"/>
                <w:lang w:val="en-US" w:eastAsia="zh-CN"/>
              </w:rPr>
              <w:t>环境</w:t>
            </w:r>
            <w:r>
              <w:rPr>
                <w:sz w:val="24"/>
              </w:rPr>
              <w:t>部门签发。环保主管部门和建设单位可分别按以下内容建立排污口管理的专门档案：排污口性质和编号；位置；排放主要污染物种类、数量、浓度；排放去向；达标情况；治理设施运行情况及整改意见。</w:t>
            </w:r>
          </w:p>
          <w:p w14:paraId="28B0731A">
            <w:pPr>
              <w:autoSpaceDE w:val="0"/>
              <w:autoSpaceDN w:val="0"/>
              <w:adjustRightInd w:val="0"/>
              <w:snapToGrid w:val="0"/>
              <w:spacing w:before="120" w:beforeLines="50" w:line="360" w:lineRule="auto"/>
              <w:ind w:firstLine="480" w:firstLineChars="200"/>
              <w:rPr>
                <w:sz w:val="24"/>
              </w:rPr>
            </w:pPr>
            <w:r>
              <w:rPr>
                <w:sz w:val="24"/>
              </w:rPr>
              <w:t>（5）环境保护图形标志</w:t>
            </w:r>
          </w:p>
          <w:p w14:paraId="143C6DB6">
            <w:pPr>
              <w:autoSpaceDE w:val="0"/>
              <w:autoSpaceDN w:val="0"/>
              <w:adjustRightInd w:val="0"/>
              <w:snapToGrid w:val="0"/>
              <w:spacing w:before="120" w:beforeLines="50" w:line="360" w:lineRule="auto"/>
              <w:ind w:firstLine="480" w:firstLineChars="200"/>
              <w:rPr>
                <w:sz w:val="24"/>
              </w:rPr>
            </w:pPr>
            <w:r>
              <w:rPr>
                <w:sz w:val="24"/>
              </w:rPr>
              <w:t>在</w:t>
            </w:r>
            <w:r>
              <w:rPr>
                <w:rFonts w:hint="eastAsia"/>
                <w:sz w:val="24"/>
              </w:rPr>
              <w:t>厂区内</w:t>
            </w:r>
            <w:r>
              <w:rPr>
                <w:sz w:val="24"/>
              </w:rPr>
              <w:t>的污水排放口</w:t>
            </w:r>
            <w:r>
              <w:rPr>
                <w:rFonts w:hint="eastAsia"/>
                <w:sz w:val="24"/>
              </w:rPr>
              <w:t>、废气排放口</w:t>
            </w:r>
            <w:r>
              <w:rPr>
                <w:sz w:val="24"/>
              </w:rPr>
              <w:t>噪声排放源、固体废物贮存处置场应设置环境保护图形标志，图形符号分为提示图形和警告图形符号两种，分别按GB15562.1-1995、GB 15562.2-1995执行。环境保护图形符号见下表。</w:t>
            </w:r>
          </w:p>
          <w:p w14:paraId="6D499A9C">
            <w:pPr>
              <w:jc w:val="center"/>
              <w:rPr>
                <w:b/>
                <w:bCs/>
                <w:szCs w:val="21"/>
              </w:rPr>
            </w:pPr>
            <w:r>
              <w:rPr>
                <w:rFonts w:hint="eastAsia"/>
                <w:b/>
                <w:bCs/>
                <w:szCs w:val="21"/>
              </w:rPr>
              <w:t>表4-29  本项目环境保护图形符号表</w:t>
            </w:r>
          </w:p>
          <w:tbl>
            <w:tblPr>
              <w:tblStyle w:val="27"/>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304"/>
              <w:gridCol w:w="2316"/>
              <w:gridCol w:w="1499"/>
              <w:gridCol w:w="1565"/>
            </w:tblGrid>
            <w:tr w14:paraId="60630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3BBD350E">
                  <w:pPr>
                    <w:jc w:val="center"/>
                    <w:rPr>
                      <w:kern w:val="0"/>
                      <w:szCs w:val="21"/>
                      <w:lang w:bidi="en-US"/>
                    </w:rPr>
                  </w:pPr>
                  <w:r>
                    <w:rPr>
                      <w:kern w:val="0"/>
                      <w:szCs w:val="21"/>
                      <w:lang w:bidi="en-US"/>
                    </w:rPr>
                    <w:t>序号</w:t>
                  </w:r>
                </w:p>
              </w:tc>
              <w:tc>
                <w:tcPr>
                  <w:tcW w:w="1357" w:type="pct"/>
                  <w:vAlign w:val="center"/>
                </w:tcPr>
                <w:p w14:paraId="64A92097">
                  <w:pPr>
                    <w:jc w:val="center"/>
                    <w:rPr>
                      <w:kern w:val="0"/>
                      <w:szCs w:val="21"/>
                      <w:lang w:bidi="en-US"/>
                    </w:rPr>
                  </w:pPr>
                  <w:r>
                    <w:rPr>
                      <w:kern w:val="0"/>
                      <w:szCs w:val="21"/>
                      <w:lang w:bidi="en-US"/>
                    </w:rPr>
                    <w:t>提示图形符号</w:t>
                  </w:r>
                </w:p>
              </w:tc>
              <w:tc>
                <w:tcPr>
                  <w:tcW w:w="1364" w:type="pct"/>
                  <w:vAlign w:val="center"/>
                </w:tcPr>
                <w:p w14:paraId="47543E23">
                  <w:pPr>
                    <w:jc w:val="center"/>
                    <w:rPr>
                      <w:kern w:val="0"/>
                      <w:szCs w:val="21"/>
                      <w:lang w:bidi="en-US"/>
                    </w:rPr>
                  </w:pPr>
                  <w:r>
                    <w:rPr>
                      <w:kern w:val="0"/>
                      <w:szCs w:val="21"/>
                      <w:lang w:bidi="en-US"/>
                    </w:rPr>
                    <w:t>警告图形符号</w:t>
                  </w:r>
                </w:p>
              </w:tc>
              <w:tc>
                <w:tcPr>
                  <w:tcW w:w="883" w:type="pct"/>
                  <w:vAlign w:val="center"/>
                </w:tcPr>
                <w:p w14:paraId="05E0932B">
                  <w:pPr>
                    <w:jc w:val="center"/>
                    <w:rPr>
                      <w:kern w:val="0"/>
                      <w:szCs w:val="21"/>
                      <w:lang w:bidi="en-US"/>
                    </w:rPr>
                  </w:pPr>
                  <w:r>
                    <w:rPr>
                      <w:kern w:val="0"/>
                      <w:szCs w:val="21"/>
                      <w:lang w:bidi="en-US"/>
                    </w:rPr>
                    <w:t>名称</w:t>
                  </w:r>
                </w:p>
              </w:tc>
              <w:tc>
                <w:tcPr>
                  <w:tcW w:w="922" w:type="pct"/>
                  <w:vAlign w:val="center"/>
                </w:tcPr>
                <w:p w14:paraId="137A92EB">
                  <w:pPr>
                    <w:jc w:val="center"/>
                    <w:rPr>
                      <w:kern w:val="0"/>
                      <w:szCs w:val="21"/>
                      <w:lang w:bidi="en-US"/>
                    </w:rPr>
                  </w:pPr>
                  <w:r>
                    <w:rPr>
                      <w:kern w:val="0"/>
                      <w:szCs w:val="21"/>
                      <w:lang w:bidi="en-US"/>
                    </w:rPr>
                    <w:t>功能</w:t>
                  </w:r>
                </w:p>
              </w:tc>
            </w:tr>
            <w:tr w14:paraId="004BD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5129A58D">
                  <w:pPr>
                    <w:jc w:val="center"/>
                    <w:rPr>
                      <w:kern w:val="0"/>
                      <w:szCs w:val="21"/>
                      <w:lang w:bidi="en-US"/>
                    </w:rPr>
                  </w:pPr>
                  <w:r>
                    <w:rPr>
                      <w:kern w:val="0"/>
                      <w:szCs w:val="21"/>
                      <w:lang w:bidi="en-US"/>
                    </w:rPr>
                    <w:t>1</w:t>
                  </w:r>
                </w:p>
              </w:tc>
              <w:tc>
                <w:tcPr>
                  <w:tcW w:w="1357" w:type="pct"/>
                  <w:vAlign w:val="center"/>
                </w:tcPr>
                <w:p w14:paraId="45C1028A">
                  <w:pPr>
                    <w:jc w:val="center"/>
                    <w:rPr>
                      <w:szCs w:val="21"/>
                    </w:rPr>
                  </w:pPr>
                  <w:r>
                    <w:rPr>
                      <w:szCs w:val="21"/>
                    </w:rPr>
                    <w:drawing>
                      <wp:inline distT="0" distB="0" distL="0" distR="0">
                        <wp:extent cx="1046480" cy="1010920"/>
                        <wp:effectExtent l="0" t="0" r="1270" b="1778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46480" cy="1010920"/>
                                </a:xfrm>
                                <a:prstGeom prst="rect">
                                  <a:avLst/>
                                </a:prstGeom>
                                <a:noFill/>
                                <a:ln>
                                  <a:noFill/>
                                </a:ln>
                              </pic:spPr>
                            </pic:pic>
                          </a:graphicData>
                        </a:graphic>
                      </wp:inline>
                    </w:drawing>
                  </w:r>
                </w:p>
              </w:tc>
              <w:tc>
                <w:tcPr>
                  <w:tcW w:w="1364" w:type="pct"/>
                  <w:vAlign w:val="center"/>
                </w:tcPr>
                <w:p w14:paraId="188B4CB0">
                  <w:pPr>
                    <w:jc w:val="center"/>
                    <w:rPr>
                      <w:szCs w:val="21"/>
                    </w:rPr>
                  </w:pPr>
                  <w:r>
                    <w:rPr>
                      <w:szCs w:val="21"/>
                    </w:rPr>
                    <w:drawing>
                      <wp:inline distT="0" distB="0" distL="0" distR="0">
                        <wp:extent cx="1094740" cy="1010920"/>
                        <wp:effectExtent l="0" t="0" r="10160" b="1778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94740" cy="1010920"/>
                                </a:xfrm>
                                <a:prstGeom prst="rect">
                                  <a:avLst/>
                                </a:prstGeom>
                                <a:noFill/>
                                <a:ln>
                                  <a:noFill/>
                                </a:ln>
                              </pic:spPr>
                            </pic:pic>
                          </a:graphicData>
                        </a:graphic>
                      </wp:inline>
                    </w:drawing>
                  </w:r>
                </w:p>
              </w:tc>
              <w:tc>
                <w:tcPr>
                  <w:tcW w:w="883" w:type="pct"/>
                  <w:vAlign w:val="center"/>
                </w:tcPr>
                <w:p w14:paraId="3309CCA3">
                  <w:pPr>
                    <w:jc w:val="center"/>
                    <w:rPr>
                      <w:kern w:val="0"/>
                      <w:szCs w:val="21"/>
                      <w:lang w:bidi="en-US"/>
                    </w:rPr>
                  </w:pPr>
                  <w:r>
                    <w:rPr>
                      <w:kern w:val="0"/>
                      <w:szCs w:val="21"/>
                      <w:lang w:bidi="en-US"/>
                    </w:rPr>
                    <w:t>废气排放口</w:t>
                  </w:r>
                </w:p>
              </w:tc>
              <w:tc>
                <w:tcPr>
                  <w:tcW w:w="922" w:type="pct"/>
                  <w:vAlign w:val="center"/>
                </w:tcPr>
                <w:p w14:paraId="19FC54BF">
                  <w:pPr>
                    <w:jc w:val="center"/>
                    <w:rPr>
                      <w:kern w:val="0"/>
                      <w:szCs w:val="21"/>
                      <w:lang w:bidi="en-US"/>
                    </w:rPr>
                  </w:pPr>
                  <w:r>
                    <w:rPr>
                      <w:kern w:val="0"/>
                      <w:szCs w:val="21"/>
                      <w:lang w:bidi="en-US"/>
                    </w:rPr>
                    <w:t>表示废气向大气环境排放</w:t>
                  </w:r>
                </w:p>
              </w:tc>
            </w:tr>
            <w:tr w14:paraId="1F0C1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7908A7BF">
                  <w:pPr>
                    <w:jc w:val="center"/>
                    <w:rPr>
                      <w:kern w:val="0"/>
                      <w:szCs w:val="21"/>
                      <w:lang w:bidi="en-US"/>
                    </w:rPr>
                  </w:pPr>
                  <w:r>
                    <w:rPr>
                      <w:kern w:val="0"/>
                      <w:szCs w:val="21"/>
                      <w:lang w:bidi="en-US"/>
                    </w:rPr>
                    <w:t>2</w:t>
                  </w:r>
                </w:p>
              </w:tc>
              <w:tc>
                <w:tcPr>
                  <w:tcW w:w="1357" w:type="pct"/>
                  <w:vAlign w:val="center"/>
                </w:tcPr>
                <w:p w14:paraId="5C184425">
                  <w:pPr>
                    <w:jc w:val="center"/>
                    <w:rPr>
                      <w:szCs w:val="21"/>
                    </w:rPr>
                  </w:pPr>
                  <w:r>
                    <w:rPr>
                      <w:szCs w:val="21"/>
                    </w:rPr>
                    <w:drawing>
                      <wp:inline distT="0" distB="0" distL="0" distR="0">
                        <wp:extent cx="1046480" cy="1046480"/>
                        <wp:effectExtent l="0" t="0" r="127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46480" cy="1046480"/>
                                </a:xfrm>
                                <a:prstGeom prst="rect">
                                  <a:avLst/>
                                </a:prstGeom>
                                <a:noFill/>
                                <a:ln>
                                  <a:noFill/>
                                </a:ln>
                              </pic:spPr>
                            </pic:pic>
                          </a:graphicData>
                        </a:graphic>
                      </wp:inline>
                    </w:drawing>
                  </w:r>
                </w:p>
              </w:tc>
              <w:tc>
                <w:tcPr>
                  <w:tcW w:w="1364" w:type="pct"/>
                  <w:vAlign w:val="center"/>
                </w:tcPr>
                <w:p w14:paraId="29FB2E1D">
                  <w:pPr>
                    <w:jc w:val="center"/>
                    <w:rPr>
                      <w:szCs w:val="21"/>
                    </w:rPr>
                  </w:pPr>
                  <w:r>
                    <w:rPr>
                      <w:szCs w:val="21"/>
                    </w:rPr>
                    <w:drawing>
                      <wp:inline distT="0" distB="0" distL="0" distR="0">
                        <wp:extent cx="1130935" cy="986790"/>
                        <wp:effectExtent l="0" t="0" r="12065" b="381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30935" cy="986790"/>
                                </a:xfrm>
                                <a:prstGeom prst="rect">
                                  <a:avLst/>
                                </a:prstGeom>
                                <a:noFill/>
                                <a:ln>
                                  <a:noFill/>
                                </a:ln>
                              </pic:spPr>
                            </pic:pic>
                          </a:graphicData>
                        </a:graphic>
                      </wp:inline>
                    </w:drawing>
                  </w:r>
                </w:p>
              </w:tc>
              <w:tc>
                <w:tcPr>
                  <w:tcW w:w="883" w:type="pct"/>
                  <w:vAlign w:val="center"/>
                </w:tcPr>
                <w:p w14:paraId="2424CCE1">
                  <w:pPr>
                    <w:jc w:val="center"/>
                    <w:rPr>
                      <w:kern w:val="0"/>
                      <w:szCs w:val="21"/>
                      <w:lang w:bidi="en-US"/>
                    </w:rPr>
                  </w:pPr>
                  <w:r>
                    <w:rPr>
                      <w:kern w:val="0"/>
                      <w:szCs w:val="21"/>
                      <w:lang w:bidi="en-US"/>
                    </w:rPr>
                    <w:t>污水排放口</w:t>
                  </w:r>
                </w:p>
              </w:tc>
              <w:tc>
                <w:tcPr>
                  <w:tcW w:w="922" w:type="pct"/>
                  <w:vAlign w:val="center"/>
                </w:tcPr>
                <w:p w14:paraId="32D48C03">
                  <w:pPr>
                    <w:jc w:val="center"/>
                    <w:rPr>
                      <w:kern w:val="0"/>
                      <w:szCs w:val="21"/>
                      <w:lang w:bidi="en-US"/>
                    </w:rPr>
                  </w:pPr>
                  <w:r>
                    <w:rPr>
                      <w:kern w:val="0"/>
                      <w:szCs w:val="21"/>
                      <w:lang w:bidi="en-US"/>
                    </w:rPr>
                    <w:t>表示污水向水体排放</w:t>
                  </w:r>
                </w:p>
              </w:tc>
            </w:tr>
            <w:tr w14:paraId="498A3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2D29CB10">
                  <w:pPr>
                    <w:jc w:val="center"/>
                    <w:rPr>
                      <w:kern w:val="0"/>
                      <w:szCs w:val="21"/>
                      <w:lang w:bidi="en-US"/>
                    </w:rPr>
                  </w:pPr>
                  <w:r>
                    <w:rPr>
                      <w:kern w:val="0"/>
                      <w:szCs w:val="21"/>
                      <w:lang w:bidi="en-US"/>
                    </w:rPr>
                    <w:t>4</w:t>
                  </w:r>
                </w:p>
              </w:tc>
              <w:tc>
                <w:tcPr>
                  <w:tcW w:w="1357" w:type="pct"/>
                  <w:vAlign w:val="center"/>
                </w:tcPr>
                <w:p w14:paraId="375FE4A7">
                  <w:pPr>
                    <w:jc w:val="center"/>
                    <w:rPr>
                      <w:szCs w:val="21"/>
                    </w:rPr>
                  </w:pPr>
                  <w:r>
                    <w:rPr>
                      <w:szCs w:val="21"/>
                    </w:rPr>
                    <w:drawing>
                      <wp:inline distT="0" distB="0" distL="0" distR="0">
                        <wp:extent cx="1094740" cy="1094740"/>
                        <wp:effectExtent l="0" t="0" r="10160" b="1016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94740" cy="1094740"/>
                                </a:xfrm>
                                <a:prstGeom prst="rect">
                                  <a:avLst/>
                                </a:prstGeom>
                                <a:noFill/>
                                <a:ln>
                                  <a:noFill/>
                                </a:ln>
                              </pic:spPr>
                            </pic:pic>
                          </a:graphicData>
                        </a:graphic>
                      </wp:inline>
                    </w:drawing>
                  </w:r>
                </w:p>
              </w:tc>
              <w:tc>
                <w:tcPr>
                  <w:tcW w:w="1364" w:type="pct"/>
                  <w:vAlign w:val="center"/>
                </w:tcPr>
                <w:p w14:paraId="74D3AB37">
                  <w:pPr>
                    <w:jc w:val="center"/>
                    <w:rPr>
                      <w:szCs w:val="21"/>
                    </w:rPr>
                  </w:pPr>
                  <w:r>
                    <w:rPr>
                      <w:szCs w:val="21"/>
                    </w:rPr>
                    <w:drawing>
                      <wp:inline distT="0" distB="0" distL="0" distR="0">
                        <wp:extent cx="1179195" cy="998855"/>
                        <wp:effectExtent l="0" t="0" r="1905" b="1079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79195" cy="998855"/>
                                </a:xfrm>
                                <a:prstGeom prst="rect">
                                  <a:avLst/>
                                </a:prstGeom>
                                <a:noFill/>
                                <a:ln>
                                  <a:noFill/>
                                </a:ln>
                              </pic:spPr>
                            </pic:pic>
                          </a:graphicData>
                        </a:graphic>
                      </wp:inline>
                    </w:drawing>
                  </w:r>
                </w:p>
              </w:tc>
              <w:tc>
                <w:tcPr>
                  <w:tcW w:w="883" w:type="pct"/>
                  <w:vAlign w:val="center"/>
                </w:tcPr>
                <w:p w14:paraId="775C40EF">
                  <w:pPr>
                    <w:jc w:val="center"/>
                    <w:rPr>
                      <w:kern w:val="0"/>
                      <w:szCs w:val="21"/>
                      <w:lang w:bidi="en-US"/>
                    </w:rPr>
                  </w:pPr>
                  <w:r>
                    <w:rPr>
                      <w:kern w:val="0"/>
                      <w:szCs w:val="21"/>
                      <w:lang w:bidi="en-US"/>
                    </w:rPr>
                    <w:t>噪声排放源</w:t>
                  </w:r>
                </w:p>
              </w:tc>
              <w:tc>
                <w:tcPr>
                  <w:tcW w:w="922" w:type="pct"/>
                  <w:vAlign w:val="center"/>
                </w:tcPr>
                <w:p w14:paraId="2933F6A7">
                  <w:pPr>
                    <w:jc w:val="center"/>
                    <w:rPr>
                      <w:kern w:val="0"/>
                      <w:szCs w:val="21"/>
                      <w:lang w:bidi="en-US"/>
                    </w:rPr>
                  </w:pPr>
                  <w:r>
                    <w:rPr>
                      <w:kern w:val="0"/>
                      <w:szCs w:val="21"/>
                      <w:lang w:bidi="en-US"/>
                    </w:rPr>
                    <w:t>表示噪声向外环境排放</w:t>
                  </w:r>
                </w:p>
              </w:tc>
            </w:tr>
            <w:tr w14:paraId="347DB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56B25CBA">
                  <w:pPr>
                    <w:jc w:val="center"/>
                    <w:rPr>
                      <w:kern w:val="0"/>
                      <w:szCs w:val="21"/>
                      <w:lang w:bidi="en-US"/>
                    </w:rPr>
                  </w:pPr>
                  <w:r>
                    <w:rPr>
                      <w:kern w:val="0"/>
                      <w:szCs w:val="21"/>
                      <w:lang w:bidi="en-US"/>
                    </w:rPr>
                    <w:t>4</w:t>
                  </w:r>
                </w:p>
              </w:tc>
              <w:tc>
                <w:tcPr>
                  <w:tcW w:w="1357" w:type="pct"/>
                  <w:vAlign w:val="center"/>
                </w:tcPr>
                <w:p w14:paraId="139C2B42">
                  <w:pPr>
                    <w:jc w:val="center"/>
                    <w:rPr>
                      <w:szCs w:val="21"/>
                    </w:rPr>
                  </w:pPr>
                  <w:r>
                    <w:rPr>
                      <w:szCs w:val="21"/>
                    </w:rPr>
                    <w:drawing>
                      <wp:inline distT="0" distB="0" distL="0" distR="0">
                        <wp:extent cx="1118870" cy="1118870"/>
                        <wp:effectExtent l="0" t="0" r="5080" b="508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18870" cy="1118870"/>
                                </a:xfrm>
                                <a:prstGeom prst="rect">
                                  <a:avLst/>
                                </a:prstGeom>
                                <a:noFill/>
                                <a:ln>
                                  <a:noFill/>
                                </a:ln>
                              </pic:spPr>
                            </pic:pic>
                          </a:graphicData>
                        </a:graphic>
                      </wp:inline>
                    </w:drawing>
                  </w:r>
                </w:p>
              </w:tc>
              <w:tc>
                <w:tcPr>
                  <w:tcW w:w="1364" w:type="pct"/>
                  <w:vAlign w:val="center"/>
                </w:tcPr>
                <w:p w14:paraId="693434BA">
                  <w:pPr>
                    <w:jc w:val="center"/>
                    <w:rPr>
                      <w:szCs w:val="21"/>
                    </w:rPr>
                  </w:pPr>
                  <w:r>
                    <w:rPr>
                      <w:szCs w:val="21"/>
                    </w:rPr>
                    <w:drawing>
                      <wp:inline distT="0" distB="0" distL="0" distR="0">
                        <wp:extent cx="1227455" cy="1034415"/>
                        <wp:effectExtent l="0" t="0" r="10795" b="1333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27455" cy="1034415"/>
                                </a:xfrm>
                                <a:prstGeom prst="rect">
                                  <a:avLst/>
                                </a:prstGeom>
                                <a:noFill/>
                                <a:ln>
                                  <a:noFill/>
                                </a:ln>
                              </pic:spPr>
                            </pic:pic>
                          </a:graphicData>
                        </a:graphic>
                      </wp:inline>
                    </w:drawing>
                  </w:r>
                </w:p>
              </w:tc>
              <w:tc>
                <w:tcPr>
                  <w:tcW w:w="883" w:type="pct"/>
                  <w:vAlign w:val="center"/>
                </w:tcPr>
                <w:p w14:paraId="12D7B4CA">
                  <w:pPr>
                    <w:jc w:val="center"/>
                    <w:rPr>
                      <w:kern w:val="0"/>
                      <w:szCs w:val="21"/>
                      <w:lang w:bidi="en-US"/>
                    </w:rPr>
                  </w:pPr>
                  <w:r>
                    <w:rPr>
                      <w:kern w:val="0"/>
                      <w:szCs w:val="21"/>
                      <w:lang w:bidi="en-US"/>
                    </w:rPr>
                    <w:t>一般固体废物</w:t>
                  </w:r>
                </w:p>
              </w:tc>
              <w:tc>
                <w:tcPr>
                  <w:tcW w:w="922" w:type="pct"/>
                  <w:vAlign w:val="center"/>
                </w:tcPr>
                <w:p w14:paraId="783F6E77">
                  <w:pPr>
                    <w:jc w:val="center"/>
                    <w:rPr>
                      <w:kern w:val="0"/>
                      <w:szCs w:val="21"/>
                      <w:lang w:bidi="en-US"/>
                    </w:rPr>
                  </w:pPr>
                  <w:r>
                    <w:rPr>
                      <w:kern w:val="0"/>
                      <w:szCs w:val="21"/>
                      <w:lang w:bidi="en-US"/>
                    </w:rPr>
                    <w:t>表示一般固体废物贮存、处置场</w:t>
                  </w:r>
                </w:p>
              </w:tc>
            </w:tr>
            <w:tr w14:paraId="1E9A6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Align w:val="center"/>
                </w:tcPr>
                <w:p w14:paraId="55EA15FD">
                  <w:pPr>
                    <w:jc w:val="center"/>
                    <w:rPr>
                      <w:kern w:val="0"/>
                      <w:szCs w:val="21"/>
                      <w:lang w:bidi="en-US"/>
                    </w:rPr>
                  </w:pPr>
                  <w:r>
                    <w:rPr>
                      <w:kern w:val="0"/>
                      <w:szCs w:val="21"/>
                      <w:lang w:bidi="en-US"/>
                    </w:rPr>
                    <w:t>5</w:t>
                  </w:r>
                </w:p>
              </w:tc>
              <w:tc>
                <w:tcPr>
                  <w:tcW w:w="1357" w:type="pct"/>
                  <w:vAlign w:val="center"/>
                </w:tcPr>
                <w:p w14:paraId="105A6B6C">
                  <w:pPr>
                    <w:jc w:val="center"/>
                    <w:rPr>
                      <w:szCs w:val="21"/>
                    </w:rPr>
                  </w:pPr>
                  <w:r>
                    <w:rPr>
                      <w:szCs w:val="21"/>
                    </w:rPr>
                    <w:t>/</w:t>
                  </w:r>
                </w:p>
              </w:tc>
              <w:tc>
                <w:tcPr>
                  <w:tcW w:w="1364" w:type="pct"/>
                  <w:vAlign w:val="center"/>
                </w:tcPr>
                <w:p w14:paraId="77D7BFE9">
                  <w:pPr>
                    <w:jc w:val="center"/>
                    <w:rPr>
                      <w:szCs w:val="21"/>
                    </w:rPr>
                  </w:pPr>
                  <w:r>
                    <w:drawing>
                      <wp:inline distT="0" distB="0" distL="0" distR="0">
                        <wp:extent cx="1046480" cy="926465"/>
                        <wp:effectExtent l="0" t="0" r="1270" b="698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46480" cy="926465"/>
                                </a:xfrm>
                                <a:prstGeom prst="rect">
                                  <a:avLst/>
                                </a:prstGeom>
                                <a:noFill/>
                                <a:ln>
                                  <a:noFill/>
                                </a:ln>
                              </pic:spPr>
                            </pic:pic>
                          </a:graphicData>
                        </a:graphic>
                      </wp:inline>
                    </w:drawing>
                  </w:r>
                </w:p>
              </w:tc>
              <w:tc>
                <w:tcPr>
                  <w:tcW w:w="883" w:type="pct"/>
                  <w:vAlign w:val="center"/>
                </w:tcPr>
                <w:p w14:paraId="2AEA37E5">
                  <w:pPr>
                    <w:jc w:val="center"/>
                    <w:rPr>
                      <w:kern w:val="0"/>
                      <w:szCs w:val="21"/>
                      <w:lang w:bidi="en-US"/>
                    </w:rPr>
                  </w:pPr>
                  <w:r>
                    <w:rPr>
                      <w:kern w:val="0"/>
                      <w:szCs w:val="21"/>
                      <w:lang w:bidi="en-US"/>
                    </w:rPr>
                    <w:t>危险废物</w:t>
                  </w:r>
                </w:p>
              </w:tc>
              <w:tc>
                <w:tcPr>
                  <w:tcW w:w="922" w:type="pct"/>
                  <w:vAlign w:val="center"/>
                </w:tcPr>
                <w:p w14:paraId="766F158B">
                  <w:pPr>
                    <w:jc w:val="center"/>
                    <w:rPr>
                      <w:kern w:val="0"/>
                      <w:szCs w:val="21"/>
                      <w:lang w:bidi="en-US"/>
                    </w:rPr>
                  </w:pPr>
                  <w:r>
                    <w:rPr>
                      <w:kern w:val="0"/>
                      <w:szCs w:val="21"/>
                      <w:lang w:bidi="en-US"/>
                    </w:rPr>
                    <w:t>表示危险废物贮存、处置场</w:t>
                  </w:r>
                </w:p>
              </w:tc>
            </w:tr>
          </w:tbl>
          <w:p w14:paraId="25A2515C">
            <w:pPr>
              <w:adjustRightInd w:val="0"/>
              <w:snapToGrid w:val="0"/>
              <w:spacing w:line="360" w:lineRule="auto"/>
              <w:textAlignment w:val="bottom"/>
              <w:rPr>
                <w:b/>
                <w:bCs/>
                <w:sz w:val="24"/>
              </w:rPr>
            </w:pPr>
          </w:p>
          <w:p w14:paraId="5F180CE3">
            <w:pPr>
              <w:adjustRightInd w:val="0"/>
              <w:snapToGrid w:val="0"/>
              <w:spacing w:line="360" w:lineRule="auto"/>
              <w:textAlignment w:val="bottom"/>
              <w:rPr>
                <w:b/>
                <w:bCs/>
                <w:sz w:val="24"/>
              </w:rPr>
            </w:pPr>
            <w:r>
              <w:rPr>
                <w:rFonts w:hint="eastAsia"/>
                <w:b/>
                <w:bCs/>
                <w:sz w:val="24"/>
              </w:rPr>
              <w:t>八、</w:t>
            </w:r>
            <w:r>
              <w:rPr>
                <w:b/>
                <w:bCs/>
                <w:sz w:val="24"/>
              </w:rPr>
              <w:t>项目环保措施及投资估算</w:t>
            </w:r>
          </w:p>
          <w:p w14:paraId="38B351D5">
            <w:pPr>
              <w:adjustRightInd w:val="0"/>
              <w:snapToGrid w:val="0"/>
              <w:spacing w:line="360" w:lineRule="auto"/>
              <w:ind w:firstLine="480" w:firstLineChars="200"/>
              <w:rPr>
                <w:sz w:val="24"/>
              </w:rPr>
            </w:pPr>
            <w:r>
              <w:rPr>
                <w:sz w:val="24"/>
              </w:rPr>
              <w:t>本项目总投资</w:t>
            </w:r>
            <w:r>
              <w:rPr>
                <w:rFonts w:hint="eastAsia"/>
                <w:sz w:val="24"/>
              </w:rPr>
              <w:t>2460.19</w:t>
            </w:r>
            <w:r>
              <w:rPr>
                <w:sz w:val="24"/>
              </w:rPr>
              <w:t>万元，环保投资</w:t>
            </w:r>
            <w:r>
              <w:rPr>
                <w:rFonts w:hint="eastAsia"/>
                <w:sz w:val="24"/>
              </w:rPr>
              <w:t>373.3</w:t>
            </w:r>
            <w:r>
              <w:rPr>
                <w:sz w:val="24"/>
              </w:rPr>
              <w:t>万元，占工程总投资的</w:t>
            </w:r>
            <w:r>
              <w:rPr>
                <w:rFonts w:hint="eastAsia"/>
                <w:sz w:val="24"/>
              </w:rPr>
              <w:t>15.2%</w:t>
            </w:r>
            <w:r>
              <w:rPr>
                <w:sz w:val="24"/>
              </w:rPr>
              <w:t>。其环保措施及投资额基本合理。项目环保投资及其建设内容见下表。</w:t>
            </w:r>
          </w:p>
          <w:p w14:paraId="52572B66">
            <w:pPr>
              <w:jc w:val="center"/>
              <w:rPr>
                <w:b/>
                <w:bCs/>
                <w:szCs w:val="21"/>
                <w:lang w:val="zh-CN"/>
              </w:rPr>
            </w:pPr>
            <w:r>
              <w:rPr>
                <w:b/>
                <w:bCs/>
                <w:szCs w:val="21"/>
              </w:rPr>
              <w:t>表4-</w:t>
            </w:r>
            <w:r>
              <w:rPr>
                <w:rFonts w:hint="eastAsia"/>
                <w:b/>
                <w:bCs/>
                <w:szCs w:val="21"/>
              </w:rPr>
              <w:t xml:space="preserve">30  </w:t>
            </w:r>
            <w:r>
              <w:rPr>
                <w:b/>
                <w:bCs/>
                <w:szCs w:val="21"/>
                <w:lang w:val="zh-CN"/>
              </w:rPr>
              <w:t>工程环保设施（措施</w:t>
            </w:r>
            <w:r>
              <w:rPr>
                <w:rFonts w:hint="eastAsia"/>
                <w:b/>
                <w:bCs/>
                <w:szCs w:val="21"/>
                <w:lang w:val="zh-CN"/>
              </w:rPr>
              <w:t>）</w:t>
            </w:r>
            <w:r>
              <w:rPr>
                <w:b/>
                <w:bCs/>
                <w:szCs w:val="21"/>
                <w:lang w:val="zh-CN"/>
              </w:rPr>
              <w:t>及投资估算一览表</w:t>
            </w:r>
          </w:p>
          <w:tbl>
            <w:tblPr>
              <w:tblStyle w:val="70"/>
              <w:tblW w:w="49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0"/>
              <w:gridCol w:w="458"/>
              <w:gridCol w:w="1181"/>
              <w:gridCol w:w="5607"/>
              <w:gridCol w:w="685"/>
            </w:tblGrid>
            <w:tr w14:paraId="1B39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tcBorders>
                    <w:tl2br w:val="nil"/>
                    <w:tr2bl w:val="nil"/>
                  </w:tcBorders>
                  <w:vAlign w:val="center"/>
                </w:tcPr>
                <w:p w14:paraId="7528CBC8">
                  <w:pPr>
                    <w:pStyle w:val="83"/>
                    <w:widowControl/>
                    <w:kinsoku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b/>
                      <w:bCs/>
                      <w:sz w:val="21"/>
                      <w:szCs w:val="21"/>
                      <w:lang w:eastAsia="zh-CN"/>
                    </w:rPr>
                    <w:t>阶段</w:t>
                  </w:r>
                </w:p>
              </w:tc>
              <w:tc>
                <w:tcPr>
                  <w:tcW w:w="967" w:type="pct"/>
                  <w:gridSpan w:val="2"/>
                  <w:tcBorders>
                    <w:tl2br w:val="nil"/>
                    <w:tr2bl w:val="nil"/>
                  </w:tcBorders>
                  <w:vAlign w:val="center"/>
                </w:tcPr>
                <w:p w14:paraId="391EAECB">
                  <w:pPr>
                    <w:pStyle w:val="83"/>
                    <w:widowControl/>
                    <w:kinsoku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b/>
                      <w:bCs/>
                      <w:sz w:val="21"/>
                      <w:szCs w:val="21"/>
                    </w:rPr>
                    <w:t>污染物类别</w:t>
                  </w:r>
                </w:p>
              </w:tc>
              <w:tc>
                <w:tcPr>
                  <w:tcW w:w="3308" w:type="pct"/>
                  <w:tcBorders>
                    <w:tl2br w:val="nil"/>
                    <w:tr2bl w:val="nil"/>
                  </w:tcBorders>
                  <w:vAlign w:val="center"/>
                </w:tcPr>
                <w:p w14:paraId="69247464">
                  <w:pPr>
                    <w:pStyle w:val="83"/>
                    <w:widowControl/>
                    <w:kinsoku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b/>
                      <w:bCs/>
                      <w:sz w:val="21"/>
                      <w:szCs w:val="21"/>
                    </w:rPr>
                    <w:t>治理措施</w:t>
                  </w:r>
                  <w:r>
                    <w:rPr>
                      <w:rFonts w:ascii="Times New Roman" w:hAnsi="Times New Roman" w:cs="Times New Roman"/>
                      <w:b/>
                      <w:bCs/>
                      <w:sz w:val="21"/>
                      <w:szCs w:val="21"/>
                    </w:rPr>
                    <w:t>/</w:t>
                  </w:r>
                  <w:r>
                    <w:rPr>
                      <w:rFonts w:ascii="Times New Roman" w:hAnsi="Times New Roman"/>
                      <w:b/>
                      <w:bCs/>
                      <w:sz w:val="21"/>
                      <w:szCs w:val="21"/>
                    </w:rPr>
                    <w:t>设施</w:t>
                  </w:r>
                </w:p>
              </w:tc>
              <w:tc>
                <w:tcPr>
                  <w:tcW w:w="404" w:type="pct"/>
                  <w:tcBorders>
                    <w:tl2br w:val="nil"/>
                    <w:tr2bl w:val="nil"/>
                  </w:tcBorders>
                  <w:vAlign w:val="center"/>
                </w:tcPr>
                <w:p w14:paraId="36920795">
                  <w:pPr>
                    <w:pStyle w:val="83"/>
                    <w:widowControl/>
                    <w:kinsoku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b/>
                      <w:bCs/>
                      <w:sz w:val="21"/>
                      <w:szCs w:val="21"/>
                    </w:rPr>
                    <w:t>投资</w:t>
                  </w:r>
                  <w:r>
                    <w:rPr>
                      <w:rFonts w:ascii="Times New Roman" w:hAnsi="Times New Roman" w:cs="Times New Roman"/>
                      <w:b/>
                      <w:bCs/>
                      <w:sz w:val="21"/>
                      <w:szCs w:val="21"/>
                    </w:rPr>
                    <w:t>/</w:t>
                  </w:r>
                  <w:r>
                    <w:rPr>
                      <w:rFonts w:ascii="Times New Roman" w:hAnsi="Times New Roman"/>
                      <w:b/>
                      <w:bCs/>
                      <w:sz w:val="21"/>
                      <w:szCs w:val="21"/>
                    </w:rPr>
                    <w:t>万元</w:t>
                  </w:r>
                </w:p>
              </w:tc>
            </w:tr>
            <w:tr w14:paraId="31229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restart"/>
                  <w:tcBorders>
                    <w:tl2br w:val="nil"/>
                    <w:tr2bl w:val="nil"/>
                  </w:tcBorders>
                  <w:vAlign w:val="center"/>
                </w:tcPr>
                <w:p w14:paraId="0C74C211">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施工期</w:t>
                  </w:r>
                </w:p>
              </w:tc>
              <w:tc>
                <w:tcPr>
                  <w:tcW w:w="270" w:type="pct"/>
                  <w:vMerge w:val="restart"/>
                  <w:tcBorders>
                    <w:tl2br w:val="nil"/>
                    <w:tr2bl w:val="nil"/>
                  </w:tcBorders>
                  <w:vAlign w:val="center"/>
                </w:tcPr>
                <w:p w14:paraId="7645CABB">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废水</w:t>
                  </w:r>
                </w:p>
              </w:tc>
              <w:tc>
                <w:tcPr>
                  <w:tcW w:w="697" w:type="pct"/>
                  <w:tcBorders>
                    <w:tl2br w:val="nil"/>
                    <w:tr2bl w:val="nil"/>
                  </w:tcBorders>
                  <w:shd w:val="clear" w:color="auto" w:fill="auto"/>
                  <w:vAlign w:val="center"/>
                </w:tcPr>
                <w:p w14:paraId="6E7F6FDA">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生活污水</w:t>
                  </w:r>
                </w:p>
              </w:tc>
              <w:tc>
                <w:tcPr>
                  <w:tcW w:w="3308" w:type="pct"/>
                  <w:tcBorders>
                    <w:tl2br w:val="nil"/>
                    <w:tr2bl w:val="nil"/>
                  </w:tcBorders>
                  <w:shd w:val="clear" w:color="auto" w:fill="auto"/>
                  <w:vAlign w:val="center"/>
                </w:tcPr>
                <w:p w14:paraId="29F2EB38">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依托周边已建生活设施进行处理</w:t>
                  </w:r>
                  <w:r>
                    <w:rPr>
                      <w:rFonts w:ascii="Times New Roman" w:hAnsi="Times New Roman"/>
                      <w:sz w:val="21"/>
                      <w:szCs w:val="21"/>
                      <w:lang w:eastAsia="zh-CN"/>
                    </w:rPr>
                    <w:t>。</w:t>
                  </w:r>
                </w:p>
              </w:tc>
              <w:tc>
                <w:tcPr>
                  <w:tcW w:w="404" w:type="pct"/>
                  <w:tcBorders>
                    <w:tl2br w:val="nil"/>
                    <w:tr2bl w:val="nil"/>
                  </w:tcBorders>
                  <w:shd w:val="clear" w:color="auto" w:fill="auto"/>
                  <w:vAlign w:val="center"/>
                </w:tcPr>
                <w:p w14:paraId="673681E8">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w:t>
                  </w:r>
                </w:p>
              </w:tc>
            </w:tr>
            <w:tr w14:paraId="1022B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16B41994">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continue"/>
                  <w:tcBorders>
                    <w:tl2br w:val="nil"/>
                    <w:tr2bl w:val="nil"/>
                  </w:tcBorders>
                  <w:vAlign w:val="center"/>
                </w:tcPr>
                <w:p w14:paraId="1645FBB7">
                  <w:pPr>
                    <w:pStyle w:val="83"/>
                    <w:widowControl/>
                    <w:wordWrap w:val="0"/>
                    <w:autoSpaceDE w:val="0"/>
                    <w:autoSpaceDN w:val="0"/>
                    <w:adjustRightInd w:val="0"/>
                    <w:snapToGrid w:val="0"/>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15D650C2">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施工废水</w:t>
                  </w:r>
                </w:p>
              </w:tc>
              <w:tc>
                <w:tcPr>
                  <w:tcW w:w="3308" w:type="pct"/>
                  <w:tcBorders>
                    <w:tl2br w:val="nil"/>
                    <w:tr2bl w:val="nil"/>
                  </w:tcBorders>
                  <w:shd w:val="clear" w:color="auto" w:fill="auto"/>
                  <w:vAlign w:val="center"/>
                </w:tcPr>
                <w:p w14:paraId="59E4DB92">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施工现场设置简易隔油池、沉淀池，生产废水处理后回用，不外排。</w:t>
                  </w:r>
                </w:p>
              </w:tc>
              <w:tc>
                <w:tcPr>
                  <w:tcW w:w="404" w:type="pct"/>
                  <w:tcBorders>
                    <w:tl2br w:val="nil"/>
                    <w:tr2bl w:val="nil"/>
                  </w:tcBorders>
                  <w:shd w:val="clear" w:color="auto" w:fill="auto"/>
                  <w:vAlign w:val="center"/>
                </w:tcPr>
                <w:p w14:paraId="3BC8599D">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5.0</w:t>
                  </w:r>
                </w:p>
              </w:tc>
            </w:tr>
            <w:tr w14:paraId="1C868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1E438893">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restart"/>
                  <w:tcBorders>
                    <w:tl2br w:val="nil"/>
                    <w:tr2bl w:val="nil"/>
                  </w:tcBorders>
                  <w:shd w:val="clear" w:color="auto" w:fill="auto"/>
                  <w:vAlign w:val="center"/>
                </w:tcPr>
                <w:p w14:paraId="1FDB3F94">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废气</w:t>
                  </w:r>
                </w:p>
              </w:tc>
              <w:tc>
                <w:tcPr>
                  <w:tcW w:w="697" w:type="pct"/>
                  <w:tcBorders>
                    <w:tl2br w:val="nil"/>
                    <w:tr2bl w:val="nil"/>
                  </w:tcBorders>
                  <w:shd w:val="clear" w:color="auto" w:fill="auto"/>
                  <w:vAlign w:val="center"/>
                </w:tcPr>
                <w:p w14:paraId="3922D1E1">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施工扬尘</w:t>
                  </w:r>
                </w:p>
              </w:tc>
              <w:tc>
                <w:tcPr>
                  <w:tcW w:w="3308" w:type="pct"/>
                  <w:tcBorders>
                    <w:tl2br w:val="nil"/>
                    <w:tr2bl w:val="nil"/>
                  </w:tcBorders>
                  <w:shd w:val="clear" w:color="auto" w:fill="auto"/>
                  <w:vAlign w:val="center"/>
                </w:tcPr>
                <w:p w14:paraId="07DA78A9">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洒水抑尘、湿法作业，加强施工管理。</w:t>
                  </w:r>
                </w:p>
              </w:tc>
              <w:tc>
                <w:tcPr>
                  <w:tcW w:w="404" w:type="pct"/>
                  <w:tcBorders>
                    <w:tl2br w:val="nil"/>
                    <w:tr2bl w:val="nil"/>
                  </w:tcBorders>
                  <w:shd w:val="clear" w:color="auto" w:fill="auto"/>
                  <w:vAlign w:val="center"/>
                </w:tcPr>
                <w:p w14:paraId="6353AFA7">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4.0</w:t>
                  </w:r>
                </w:p>
              </w:tc>
            </w:tr>
            <w:tr w14:paraId="220A5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6FC49478">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continue"/>
                  <w:tcBorders>
                    <w:tl2br w:val="nil"/>
                    <w:tr2bl w:val="nil"/>
                  </w:tcBorders>
                  <w:vAlign w:val="center"/>
                </w:tcPr>
                <w:p w14:paraId="6380BB60">
                  <w:pPr>
                    <w:pStyle w:val="83"/>
                    <w:widowControl/>
                    <w:wordWrap w:val="0"/>
                    <w:autoSpaceDE w:val="0"/>
                    <w:autoSpaceDN w:val="0"/>
                    <w:adjustRightInd w:val="0"/>
                    <w:snapToGrid w:val="0"/>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5CA12E69">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施工机械废气</w:t>
                  </w:r>
                </w:p>
              </w:tc>
              <w:tc>
                <w:tcPr>
                  <w:tcW w:w="3308" w:type="pct"/>
                  <w:tcBorders>
                    <w:tl2br w:val="nil"/>
                    <w:tr2bl w:val="nil"/>
                  </w:tcBorders>
                  <w:shd w:val="clear" w:color="auto" w:fill="auto"/>
                  <w:vAlign w:val="center"/>
                </w:tcPr>
                <w:p w14:paraId="2E7E587F">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选优质设备和燃油，加强设备车辆维护。</w:t>
                  </w:r>
                </w:p>
              </w:tc>
              <w:tc>
                <w:tcPr>
                  <w:tcW w:w="404" w:type="pct"/>
                  <w:tcBorders>
                    <w:tl2br w:val="nil"/>
                    <w:tr2bl w:val="nil"/>
                  </w:tcBorders>
                  <w:shd w:val="clear" w:color="auto" w:fill="auto"/>
                  <w:vAlign w:val="center"/>
                </w:tcPr>
                <w:p w14:paraId="4015DE9F">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1.0</w:t>
                  </w:r>
                </w:p>
              </w:tc>
            </w:tr>
            <w:tr w14:paraId="76E05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19" w:type="pct"/>
                  <w:vMerge w:val="continue"/>
                  <w:tcBorders>
                    <w:tl2br w:val="nil"/>
                    <w:tr2bl w:val="nil"/>
                  </w:tcBorders>
                  <w:vAlign w:val="center"/>
                </w:tcPr>
                <w:p w14:paraId="017DE963">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continue"/>
                  <w:tcBorders>
                    <w:tl2br w:val="nil"/>
                    <w:tr2bl w:val="nil"/>
                  </w:tcBorders>
                  <w:vAlign w:val="center"/>
                </w:tcPr>
                <w:p w14:paraId="566F3A0E">
                  <w:pPr>
                    <w:pStyle w:val="83"/>
                    <w:widowControl/>
                    <w:wordWrap w:val="0"/>
                    <w:autoSpaceDE w:val="0"/>
                    <w:autoSpaceDN w:val="0"/>
                    <w:adjustRightInd w:val="0"/>
                    <w:snapToGrid w:val="0"/>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041302AF">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装修废气</w:t>
                  </w:r>
                </w:p>
              </w:tc>
              <w:tc>
                <w:tcPr>
                  <w:tcW w:w="3308" w:type="pct"/>
                  <w:tcBorders>
                    <w:tl2br w:val="nil"/>
                    <w:tr2bl w:val="nil"/>
                  </w:tcBorders>
                  <w:shd w:val="clear" w:color="auto" w:fill="auto"/>
                  <w:vAlign w:val="center"/>
                </w:tcPr>
                <w:p w14:paraId="685A991C">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使用环保材料，加强室内空气的流畅。</w:t>
                  </w:r>
                </w:p>
              </w:tc>
              <w:tc>
                <w:tcPr>
                  <w:tcW w:w="404" w:type="pct"/>
                  <w:tcBorders>
                    <w:tl2br w:val="nil"/>
                    <w:tr2bl w:val="nil"/>
                  </w:tcBorders>
                  <w:shd w:val="clear" w:color="auto" w:fill="auto"/>
                  <w:vAlign w:val="center"/>
                </w:tcPr>
                <w:p w14:paraId="76B0C772">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0.8</w:t>
                  </w:r>
                </w:p>
              </w:tc>
            </w:tr>
            <w:tr w14:paraId="4E0DE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18B96138">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tcBorders>
                    <w:tl2br w:val="nil"/>
                    <w:tr2bl w:val="nil"/>
                  </w:tcBorders>
                  <w:shd w:val="clear" w:color="auto" w:fill="auto"/>
                  <w:vAlign w:val="center"/>
                </w:tcPr>
                <w:p w14:paraId="1AD350A0">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噪声</w:t>
                  </w:r>
                </w:p>
              </w:tc>
              <w:tc>
                <w:tcPr>
                  <w:tcW w:w="697" w:type="pct"/>
                  <w:tcBorders>
                    <w:tl2br w:val="nil"/>
                    <w:tr2bl w:val="nil"/>
                  </w:tcBorders>
                  <w:shd w:val="clear" w:color="auto" w:fill="auto"/>
                  <w:vAlign w:val="center"/>
                </w:tcPr>
                <w:p w14:paraId="37C8D534">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施工噪声</w:t>
                  </w:r>
                </w:p>
              </w:tc>
              <w:tc>
                <w:tcPr>
                  <w:tcW w:w="3308" w:type="pct"/>
                  <w:tcBorders>
                    <w:tl2br w:val="nil"/>
                    <w:tr2bl w:val="nil"/>
                  </w:tcBorders>
                  <w:shd w:val="clear" w:color="auto" w:fill="auto"/>
                  <w:vAlign w:val="center"/>
                </w:tcPr>
                <w:p w14:paraId="2EA805E2">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加强管理、严格控制施工作业时间、加强车辆管理。</w:t>
                  </w:r>
                </w:p>
              </w:tc>
              <w:tc>
                <w:tcPr>
                  <w:tcW w:w="404" w:type="pct"/>
                  <w:tcBorders>
                    <w:tl2br w:val="nil"/>
                    <w:tr2bl w:val="nil"/>
                  </w:tcBorders>
                  <w:shd w:val="clear" w:color="auto" w:fill="auto"/>
                  <w:vAlign w:val="center"/>
                </w:tcPr>
                <w:p w14:paraId="7EF66858">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1.0</w:t>
                  </w:r>
                </w:p>
              </w:tc>
            </w:tr>
            <w:tr w14:paraId="14F5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07A910BD">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restart"/>
                  <w:tcBorders>
                    <w:tl2br w:val="nil"/>
                    <w:tr2bl w:val="nil"/>
                  </w:tcBorders>
                  <w:shd w:val="clear" w:color="auto" w:fill="auto"/>
                  <w:vAlign w:val="center"/>
                </w:tcPr>
                <w:p w14:paraId="7BF3C7F9">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固体废物</w:t>
                  </w:r>
                </w:p>
              </w:tc>
              <w:tc>
                <w:tcPr>
                  <w:tcW w:w="697" w:type="pct"/>
                  <w:tcBorders>
                    <w:tl2br w:val="nil"/>
                    <w:tr2bl w:val="nil"/>
                  </w:tcBorders>
                  <w:shd w:val="clear" w:color="auto" w:fill="auto"/>
                  <w:vAlign w:val="center"/>
                </w:tcPr>
                <w:p w14:paraId="524B86D4">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rPr>
                  </w:pPr>
                  <w:r>
                    <w:rPr>
                      <w:rFonts w:ascii="Times New Roman" w:hAnsi="Times New Roman"/>
                      <w:sz w:val="21"/>
                      <w:szCs w:val="21"/>
                    </w:rPr>
                    <w:t>生活垃圾</w:t>
                  </w:r>
                </w:p>
              </w:tc>
              <w:tc>
                <w:tcPr>
                  <w:tcW w:w="3308" w:type="pct"/>
                  <w:tcBorders>
                    <w:tl2br w:val="nil"/>
                    <w:tr2bl w:val="nil"/>
                  </w:tcBorders>
                  <w:shd w:val="clear" w:color="auto" w:fill="auto"/>
                  <w:vAlign w:val="center"/>
                </w:tcPr>
                <w:p w14:paraId="36805818">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ascii="Times New Roman" w:hAnsi="Times New Roman"/>
                      <w:sz w:val="21"/>
                      <w:szCs w:val="21"/>
                      <w:lang w:eastAsia="zh-CN"/>
                    </w:rPr>
                    <w:t>统一收集后袋装，交由填埋场处置。</w:t>
                  </w:r>
                </w:p>
              </w:tc>
              <w:tc>
                <w:tcPr>
                  <w:tcW w:w="404" w:type="pct"/>
                  <w:tcBorders>
                    <w:tl2br w:val="nil"/>
                    <w:tr2bl w:val="nil"/>
                  </w:tcBorders>
                  <w:shd w:val="clear" w:color="auto" w:fill="auto"/>
                  <w:vAlign w:val="center"/>
                </w:tcPr>
                <w:p w14:paraId="74C06BD4">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z w:val="21"/>
                      <w:szCs w:val="21"/>
                      <w:lang w:eastAsia="zh-CN"/>
                    </w:rPr>
                    <w:t>1.0</w:t>
                  </w:r>
                </w:p>
              </w:tc>
            </w:tr>
            <w:tr w14:paraId="418BC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2DF1D25E">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p>
              </w:tc>
              <w:tc>
                <w:tcPr>
                  <w:tcW w:w="270" w:type="pct"/>
                  <w:vMerge w:val="continue"/>
                  <w:tcBorders>
                    <w:tl2br w:val="nil"/>
                    <w:tr2bl w:val="nil"/>
                  </w:tcBorders>
                  <w:vAlign w:val="center"/>
                </w:tcPr>
                <w:p w14:paraId="31203BB6">
                  <w:pPr>
                    <w:pStyle w:val="83"/>
                    <w:widowControl/>
                    <w:wordWrap w:val="0"/>
                    <w:autoSpaceDE w:val="0"/>
                    <w:autoSpaceDN w:val="0"/>
                    <w:adjustRightInd w:val="0"/>
                    <w:snapToGrid w:val="0"/>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3C9F8D9C">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rPr>
                  </w:pPr>
                  <w:r>
                    <w:rPr>
                      <w:rFonts w:ascii="Times New Roman" w:hAnsi="Times New Roman"/>
                      <w:sz w:val="21"/>
                      <w:szCs w:val="21"/>
                    </w:rPr>
                    <w:t>建筑垃圾</w:t>
                  </w:r>
                </w:p>
              </w:tc>
              <w:tc>
                <w:tcPr>
                  <w:tcW w:w="3308" w:type="pct"/>
                  <w:tcBorders>
                    <w:tl2br w:val="nil"/>
                    <w:tr2bl w:val="nil"/>
                  </w:tcBorders>
                  <w:shd w:val="clear" w:color="auto" w:fill="auto"/>
                  <w:vAlign w:val="center"/>
                </w:tcPr>
                <w:p w14:paraId="50086101">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ascii="Times New Roman" w:hAnsi="Times New Roman"/>
                      <w:sz w:val="21"/>
                      <w:szCs w:val="21"/>
                      <w:lang w:eastAsia="zh-CN"/>
                    </w:rPr>
                    <w:t>综合利用后，不可利用部分运至部门指定地点堆放。</w:t>
                  </w:r>
                </w:p>
              </w:tc>
              <w:tc>
                <w:tcPr>
                  <w:tcW w:w="404" w:type="pct"/>
                  <w:tcBorders>
                    <w:tl2br w:val="nil"/>
                    <w:tr2bl w:val="nil"/>
                  </w:tcBorders>
                  <w:shd w:val="clear" w:color="auto" w:fill="auto"/>
                  <w:vAlign w:val="center"/>
                </w:tcPr>
                <w:p w14:paraId="6C7E3A34">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z w:val="21"/>
                      <w:szCs w:val="21"/>
                      <w:lang w:eastAsia="zh-CN"/>
                    </w:rPr>
                    <w:t>2.0</w:t>
                  </w:r>
                </w:p>
              </w:tc>
            </w:tr>
            <w:tr w14:paraId="67D10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restart"/>
                  <w:tcBorders>
                    <w:tl2br w:val="nil"/>
                    <w:tr2bl w:val="nil"/>
                  </w:tcBorders>
                  <w:vAlign w:val="center"/>
                </w:tcPr>
                <w:p w14:paraId="2AED733A">
                  <w:pPr>
                    <w:pStyle w:val="83"/>
                    <w:widowControl/>
                    <w:kinsoku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营运期</w:t>
                  </w:r>
                </w:p>
              </w:tc>
              <w:tc>
                <w:tcPr>
                  <w:tcW w:w="270" w:type="pct"/>
                  <w:vMerge w:val="restart"/>
                  <w:tcBorders>
                    <w:tl2br w:val="nil"/>
                    <w:tr2bl w:val="nil"/>
                  </w:tcBorders>
                  <w:vAlign w:val="center"/>
                </w:tcPr>
                <w:p w14:paraId="726A453E">
                  <w:pPr>
                    <w:pStyle w:val="83"/>
                    <w:widowControl/>
                    <w:kinsoku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废水</w:t>
                  </w:r>
                </w:p>
              </w:tc>
              <w:tc>
                <w:tcPr>
                  <w:tcW w:w="697" w:type="pct"/>
                  <w:tcBorders>
                    <w:tl2br w:val="nil"/>
                    <w:tr2bl w:val="nil"/>
                  </w:tcBorders>
                  <w:shd w:val="clear" w:color="auto" w:fill="auto"/>
                  <w:vAlign w:val="center"/>
                </w:tcPr>
                <w:p w14:paraId="71EF5F2B">
                  <w:pPr>
                    <w:pStyle w:val="83"/>
                    <w:widowControl/>
                    <w:kinsoku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生产废水</w:t>
                  </w:r>
                </w:p>
              </w:tc>
              <w:tc>
                <w:tcPr>
                  <w:tcW w:w="3308" w:type="pct"/>
                  <w:tcBorders>
                    <w:tl2br w:val="nil"/>
                    <w:tr2bl w:val="nil"/>
                  </w:tcBorders>
                  <w:shd w:val="clear" w:color="auto" w:fill="auto"/>
                  <w:vAlign w:val="center"/>
                </w:tcPr>
                <w:p w14:paraId="0722FA5F">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压缩产生的渗滤液、车间地面冲洗废水、设备冲洗废水等经污水处理系统（20t/d）处理达标后经市政污水管网排入达州市第二城市污水处理厂。</w:t>
                  </w:r>
                </w:p>
              </w:tc>
              <w:tc>
                <w:tcPr>
                  <w:tcW w:w="404" w:type="pct"/>
                  <w:tcBorders>
                    <w:tl2br w:val="nil"/>
                    <w:tr2bl w:val="nil"/>
                  </w:tcBorders>
                  <w:shd w:val="clear" w:color="auto" w:fill="auto"/>
                  <w:vAlign w:val="center"/>
                </w:tcPr>
                <w:p w14:paraId="63EBCAD4">
                  <w:pPr>
                    <w:widowControl/>
                    <w:wordWrap w:val="0"/>
                    <w:autoSpaceDE w:val="0"/>
                    <w:autoSpaceDN w:val="0"/>
                    <w:adjustRightInd w:val="0"/>
                    <w:snapToGrid w:val="0"/>
                    <w:jc w:val="center"/>
                    <w:textAlignment w:val="baseline"/>
                    <w:rPr>
                      <w:snapToGrid w:val="0"/>
                      <w:kern w:val="0"/>
                      <w:szCs w:val="21"/>
                    </w:rPr>
                  </w:pPr>
                  <w:r>
                    <w:rPr>
                      <w:rFonts w:hint="eastAsia"/>
                      <w:szCs w:val="21"/>
                    </w:rPr>
                    <w:t>203</w:t>
                  </w:r>
                </w:p>
              </w:tc>
            </w:tr>
            <w:tr w14:paraId="69DDD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595F749E">
                  <w:pPr>
                    <w:widowControl/>
                    <w:kinsoku w:val="0"/>
                    <w:autoSpaceDE w:val="0"/>
                    <w:autoSpaceDN w:val="0"/>
                    <w:adjustRightInd w:val="0"/>
                    <w:snapToGrid w:val="0"/>
                    <w:jc w:val="center"/>
                    <w:textAlignment w:val="baseline"/>
                  </w:pPr>
                </w:p>
              </w:tc>
              <w:tc>
                <w:tcPr>
                  <w:tcW w:w="270" w:type="pct"/>
                  <w:vMerge w:val="continue"/>
                  <w:tcBorders>
                    <w:tl2br w:val="nil"/>
                    <w:tr2bl w:val="nil"/>
                  </w:tcBorders>
                  <w:vAlign w:val="center"/>
                </w:tcPr>
                <w:p w14:paraId="3E09A578">
                  <w:pPr>
                    <w:widowControl/>
                    <w:kinsoku w:val="0"/>
                    <w:autoSpaceDE w:val="0"/>
                    <w:autoSpaceDN w:val="0"/>
                    <w:adjustRightInd w:val="0"/>
                    <w:snapToGrid w:val="0"/>
                    <w:jc w:val="center"/>
                    <w:textAlignment w:val="baseline"/>
                  </w:pPr>
                </w:p>
              </w:tc>
              <w:tc>
                <w:tcPr>
                  <w:tcW w:w="697" w:type="pct"/>
                  <w:tcBorders>
                    <w:tl2br w:val="nil"/>
                    <w:tr2bl w:val="nil"/>
                  </w:tcBorders>
                  <w:vAlign w:val="center"/>
                </w:tcPr>
                <w:p w14:paraId="131DBECB">
                  <w:pPr>
                    <w:pStyle w:val="83"/>
                    <w:widowControl/>
                    <w:kinsoku w:val="0"/>
                    <w:autoSpaceDE w:val="0"/>
                    <w:autoSpaceDN w:val="0"/>
                    <w:adjustRightInd w:val="0"/>
                    <w:snapToGrid w:val="0"/>
                    <w:jc w:val="center"/>
                    <w:textAlignment w:val="baseline"/>
                    <w:rPr>
                      <w:rFonts w:ascii="Times New Roman" w:hAnsi="Times New Roman"/>
                      <w:sz w:val="21"/>
                      <w:szCs w:val="21"/>
                    </w:rPr>
                  </w:pPr>
                  <w:r>
                    <w:rPr>
                      <w:rFonts w:hint="eastAsia" w:ascii="Times New Roman" w:hAnsi="Times New Roman"/>
                      <w:sz w:val="21"/>
                      <w:szCs w:val="21"/>
                      <w:lang w:eastAsia="zh-CN"/>
                    </w:rPr>
                    <w:t>生活</w:t>
                  </w:r>
                  <w:r>
                    <w:rPr>
                      <w:rFonts w:ascii="Times New Roman" w:hAnsi="Times New Roman"/>
                      <w:sz w:val="21"/>
                      <w:szCs w:val="21"/>
                    </w:rPr>
                    <w:t>废水</w:t>
                  </w:r>
                </w:p>
              </w:tc>
              <w:tc>
                <w:tcPr>
                  <w:tcW w:w="3308" w:type="pct"/>
                  <w:tcBorders>
                    <w:tl2br w:val="nil"/>
                    <w:tr2bl w:val="nil"/>
                  </w:tcBorders>
                  <w:vAlign w:val="center"/>
                </w:tcPr>
                <w:p w14:paraId="772D2F2F">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生活废水、生产管理用房地面清洁废水经预处理池（1个，50m³）处理达标后经市政污水管网排入达州市第二城市污水处理厂。</w:t>
                  </w:r>
                </w:p>
              </w:tc>
              <w:tc>
                <w:tcPr>
                  <w:tcW w:w="404" w:type="pct"/>
                  <w:tcBorders>
                    <w:tl2br w:val="nil"/>
                    <w:tr2bl w:val="nil"/>
                  </w:tcBorders>
                  <w:vAlign w:val="center"/>
                </w:tcPr>
                <w:p w14:paraId="1B781C2E">
                  <w:pPr>
                    <w:widowControl/>
                    <w:wordWrap w:val="0"/>
                    <w:autoSpaceDE w:val="0"/>
                    <w:autoSpaceDN w:val="0"/>
                    <w:adjustRightInd w:val="0"/>
                    <w:snapToGrid w:val="0"/>
                    <w:jc w:val="center"/>
                    <w:textAlignment w:val="baseline"/>
                    <w:rPr>
                      <w:szCs w:val="21"/>
                    </w:rPr>
                  </w:pPr>
                  <w:r>
                    <w:rPr>
                      <w:rFonts w:hint="eastAsia"/>
                      <w:szCs w:val="21"/>
                    </w:rPr>
                    <w:t>6.5</w:t>
                  </w:r>
                </w:p>
              </w:tc>
            </w:tr>
            <w:tr w14:paraId="774CB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7FC7088C">
                  <w:pPr>
                    <w:widowControl/>
                    <w:kinsoku w:val="0"/>
                    <w:autoSpaceDE w:val="0"/>
                    <w:autoSpaceDN w:val="0"/>
                    <w:adjustRightInd w:val="0"/>
                    <w:snapToGrid w:val="0"/>
                    <w:jc w:val="center"/>
                    <w:textAlignment w:val="baseline"/>
                  </w:pPr>
                </w:p>
              </w:tc>
              <w:tc>
                <w:tcPr>
                  <w:tcW w:w="270" w:type="pct"/>
                  <w:vMerge w:val="continue"/>
                  <w:tcBorders>
                    <w:tl2br w:val="nil"/>
                    <w:tr2bl w:val="nil"/>
                  </w:tcBorders>
                  <w:vAlign w:val="center"/>
                </w:tcPr>
                <w:p w14:paraId="119FEF34">
                  <w:pPr>
                    <w:widowControl/>
                    <w:kinsoku w:val="0"/>
                    <w:autoSpaceDE w:val="0"/>
                    <w:autoSpaceDN w:val="0"/>
                    <w:adjustRightInd w:val="0"/>
                    <w:snapToGrid w:val="0"/>
                    <w:jc w:val="center"/>
                    <w:textAlignment w:val="baseline"/>
                  </w:pPr>
                </w:p>
              </w:tc>
              <w:tc>
                <w:tcPr>
                  <w:tcW w:w="697" w:type="pct"/>
                  <w:tcBorders>
                    <w:tl2br w:val="nil"/>
                    <w:tr2bl w:val="nil"/>
                  </w:tcBorders>
                  <w:vAlign w:val="center"/>
                </w:tcPr>
                <w:p w14:paraId="3FA8599C">
                  <w:pPr>
                    <w:pStyle w:val="83"/>
                    <w:widowControl/>
                    <w:kinsoku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初期雨水</w:t>
                  </w:r>
                </w:p>
              </w:tc>
              <w:tc>
                <w:tcPr>
                  <w:tcW w:w="3308" w:type="pct"/>
                  <w:tcBorders>
                    <w:tl2br w:val="nil"/>
                    <w:tr2bl w:val="nil"/>
                  </w:tcBorders>
                  <w:shd w:val="clear" w:color="auto" w:fill="auto"/>
                  <w:vAlign w:val="center"/>
                </w:tcPr>
                <w:p w14:paraId="38828698">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ascii="Times New Roman" w:hAnsi="Times New Roman"/>
                      <w:sz w:val="21"/>
                      <w:szCs w:val="21"/>
                      <w:lang w:eastAsia="zh-CN"/>
                    </w:rPr>
                    <w:t>垃圾转运站场站四周建设有排水沟，拟</w:t>
                  </w:r>
                  <w:r>
                    <w:rPr>
                      <w:rFonts w:hint="eastAsia" w:ascii="Times New Roman" w:hAnsi="Times New Roman"/>
                      <w:sz w:val="21"/>
                      <w:szCs w:val="21"/>
                      <w:lang w:eastAsia="zh-CN"/>
                    </w:rPr>
                    <w:t>设置</w:t>
                  </w:r>
                  <w:r>
                    <w:rPr>
                      <w:rFonts w:ascii="Times New Roman" w:hAnsi="Times New Roman"/>
                      <w:sz w:val="21"/>
                      <w:szCs w:val="21"/>
                      <w:lang w:eastAsia="zh-CN"/>
                    </w:rPr>
                    <w:t>建设</w:t>
                  </w:r>
                  <w:r>
                    <w:rPr>
                      <w:rFonts w:ascii="Times New Roman" w:hAnsi="Times New Roman" w:cs="Times New Roman"/>
                      <w:sz w:val="21"/>
                      <w:szCs w:val="21"/>
                      <w:lang w:eastAsia="zh-CN"/>
                    </w:rPr>
                    <w:t>1</w:t>
                  </w:r>
                  <w:r>
                    <w:rPr>
                      <w:rFonts w:hint="eastAsia" w:ascii="Times New Roman" w:hAnsi="Times New Roman" w:cs="Times New Roman"/>
                      <w:sz w:val="21"/>
                      <w:szCs w:val="21"/>
                      <w:lang w:eastAsia="zh-CN"/>
                    </w:rPr>
                    <w:t>个</w:t>
                  </w:r>
                  <w:r>
                    <w:rPr>
                      <w:rFonts w:ascii="Times New Roman" w:hAnsi="Times New Roman"/>
                      <w:sz w:val="21"/>
                      <w:szCs w:val="21"/>
                      <w:lang w:eastAsia="zh-CN"/>
                    </w:rPr>
                    <w:t>初期雨水池（</w:t>
                  </w:r>
                  <w:r>
                    <w:rPr>
                      <w:rFonts w:hint="eastAsia" w:ascii="Times New Roman" w:hAnsi="Times New Roman"/>
                      <w:sz w:val="21"/>
                      <w:szCs w:val="21"/>
                      <w:lang w:eastAsia="zh-CN"/>
                    </w:rPr>
                    <w:t>75m³）</w:t>
                  </w:r>
                  <w:r>
                    <w:rPr>
                      <w:rFonts w:ascii="Times New Roman" w:hAnsi="Times New Roman"/>
                      <w:sz w:val="21"/>
                      <w:szCs w:val="21"/>
                      <w:lang w:eastAsia="zh-CN"/>
                    </w:rPr>
                    <w:t>，</w:t>
                  </w:r>
                  <w:r>
                    <w:rPr>
                      <w:rFonts w:hint="eastAsia" w:ascii="Times New Roman" w:hAnsi="Times New Roman"/>
                      <w:sz w:val="21"/>
                      <w:szCs w:val="21"/>
                      <w:lang w:eastAsia="zh-CN"/>
                    </w:rPr>
                    <w:t>初期雨水排入污水处理系统处理达标后经市政污水管网排入达州市城市第二污水处理厂</w:t>
                  </w:r>
                  <w:r>
                    <w:rPr>
                      <w:rFonts w:ascii="Times New Roman" w:hAnsi="Times New Roman"/>
                      <w:sz w:val="21"/>
                      <w:szCs w:val="21"/>
                      <w:lang w:eastAsia="zh-CN"/>
                    </w:rPr>
                    <w:t>。</w:t>
                  </w:r>
                </w:p>
              </w:tc>
              <w:tc>
                <w:tcPr>
                  <w:tcW w:w="404" w:type="pct"/>
                  <w:tcBorders>
                    <w:tl2br w:val="nil"/>
                    <w:tr2bl w:val="nil"/>
                  </w:tcBorders>
                  <w:shd w:val="clear" w:color="auto" w:fill="auto"/>
                  <w:vAlign w:val="center"/>
                </w:tcPr>
                <w:p w14:paraId="027255A8">
                  <w:pPr>
                    <w:widowControl/>
                    <w:wordWrap w:val="0"/>
                    <w:autoSpaceDE w:val="0"/>
                    <w:autoSpaceDN w:val="0"/>
                    <w:adjustRightInd w:val="0"/>
                    <w:snapToGrid w:val="0"/>
                    <w:jc w:val="center"/>
                    <w:textAlignment w:val="baseline"/>
                    <w:rPr>
                      <w:snapToGrid w:val="0"/>
                      <w:kern w:val="0"/>
                      <w:szCs w:val="21"/>
                    </w:rPr>
                  </w:pPr>
                  <w:r>
                    <w:rPr>
                      <w:rFonts w:hint="eastAsia"/>
                      <w:szCs w:val="21"/>
                    </w:rPr>
                    <w:t>13.0</w:t>
                  </w:r>
                </w:p>
              </w:tc>
            </w:tr>
            <w:tr w14:paraId="027C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55581908">
                  <w:pPr>
                    <w:pStyle w:val="83"/>
                    <w:widowControl/>
                    <w:kinsoku w:val="0"/>
                    <w:autoSpaceDE w:val="0"/>
                    <w:autoSpaceDN w:val="0"/>
                    <w:adjustRightInd w:val="0"/>
                    <w:snapToGrid w:val="0"/>
                    <w:jc w:val="center"/>
                    <w:textAlignment w:val="baseline"/>
                    <w:rPr>
                      <w:rFonts w:ascii="Times New Roman" w:hAnsi="Times New Roman"/>
                      <w:sz w:val="21"/>
                      <w:szCs w:val="21"/>
                    </w:rPr>
                  </w:pPr>
                </w:p>
              </w:tc>
              <w:tc>
                <w:tcPr>
                  <w:tcW w:w="270" w:type="pct"/>
                  <w:tcBorders>
                    <w:tl2br w:val="nil"/>
                    <w:tr2bl w:val="nil"/>
                  </w:tcBorders>
                  <w:vAlign w:val="center"/>
                </w:tcPr>
                <w:p w14:paraId="2FC527BE">
                  <w:pPr>
                    <w:pStyle w:val="83"/>
                    <w:widowControl/>
                    <w:kinsoku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废气</w:t>
                  </w:r>
                </w:p>
              </w:tc>
              <w:tc>
                <w:tcPr>
                  <w:tcW w:w="697" w:type="pct"/>
                  <w:tcBorders>
                    <w:tl2br w:val="nil"/>
                    <w:tr2bl w:val="nil"/>
                  </w:tcBorders>
                  <w:shd w:val="clear" w:color="auto" w:fill="auto"/>
                  <w:vAlign w:val="center"/>
                </w:tcPr>
                <w:p w14:paraId="399263B7">
                  <w:pPr>
                    <w:pStyle w:val="83"/>
                    <w:widowControl/>
                    <w:kinsoku w:val="0"/>
                    <w:autoSpaceDE w:val="0"/>
                    <w:autoSpaceDN w:val="0"/>
                    <w:adjustRightInd w:val="0"/>
                    <w:snapToGrid w:val="0"/>
                    <w:jc w:val="center"/>
                    <w:textAlignment w:val="baseline"/>
                    <w:rPr>
                      <w:rFonts w:ascii="Times New Roman" w:hAnsi="Times New Roman"/>
                      <w:snapToGrid w:val="0"/>
                      <w:kern w:val="0"/>
                      <w:sz w:val="21"/>
                      <w:szCs w:val="21"/>
                    </w:rPr>
                  </w:pPr>
                  <w:r>
                    <w:rPr>
                      <w:rFonts w:ascii="Times New Roman" w:hAnsi="Times New Roman"/>
                      <w:sz w:val="21"/>
                      <w:szCs w:val="21"/>
                    </w:rPr>
                    <w:t>垃圾转运站臭气</w:t>
                  </w:r>
                </w:p>
              </w:tc>
              <w:tc>
                <w:tcPr>
                  <w:tcW w:w="3308" w:type="pct"/>
                  <w:tcBorders>
                    <w:tl2br w:val="nil"/>
                    <w:tr2bl w:val="nil"/>
                  </w:tcBorders>
                  <w:shd w:val="clear" w:color="auto" w:fill="auto"/>
                  <w:vAlign w:val="center"/>
                </w:tcPr>
                <w:p w14:paraId="40082618">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cs="Times New Roman"/>
                      <w:sz w:val="21"/>
                      <w:szCs w:val="21"/>
                      <w:lang w:eastAsia="zh-CN"/>
                    </w:rPr>
                    <w:t>1</w:t>
                  </w:r>
                  <w:r>
                    <w:rPr>
                      <w:rFonts w:ascii="Times New Roman" w:hAnsi="Times New Roman"/>
                      <w:sz w:val="21"/>
                      <w:szCs w:val="21"/>
                      <w:lang w:eastAsia="zh-CN"/>
                    </w:rPr>
                    <w:t>垃圾转运站</w:t>
                  </w:r>
                  <w:r>
                    <w:rPr>
                      <w:rFonts w:hint="eastAsia" w:ascii="Times New Roman" w:hAnsi="Times New Roman"/>
                      <w:sz w:val="21"/>
                      <w:szCs w:val="21"/>
                      <w:lang w:eastAsia="zh-CN"/>
                    </w:rPr>
                    <w:t>建设</w:t>
                  </w:r>
                  <w:r>
                    <w:rPr>
                      <w:rFonts w:ascii="Times New Roman" w:hAnsi="Times New Roman"/>
                      <w:sz w:val="21"/>
                      <w:szCs w:val="21"/>
                      <w:lang w:eastAsia="zh-CN"/>
                    </w:rPr>
                    <w:t>封闭的垃圾处理间，拟对垃圾处理间设置负压抽风系统，车间臭气收集后采用</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负压除臭除尘系统</w:t>
                  </w:r>
                  <w:r>
                    <w:rPr>
                      <w:rFonts w:ascii="Times New Roman" w:hAnsi="Times New Roman" w:cs="Times New Roman"/>
                      <w:sz w:val="21"/>
                      <w:szCs w:val="21"/>
                      <w:lang w:eastAsia="zh-CN"/>
                    </w:rPr>
                    <w:t>”</w:t>
                  </w:r>
                  <w:r>
                    <w:rPr>
                      <w:rFonts w:ascii="Times New Roman" w:hAnsi="Times New Roman"/>
                      <w:sz w:val="21"/>
                      <w:szCs w:val="21"/>
                      <w:lang w:eastAsia="zh-CN"/>
                    </w:rPr>
                    <w:t>处理，最后通过</w:t>
                  </w:r>
                  <w:r>
                    <w:rPr>
                      <w:rFonts w:ascii="Times New Roman" w:hAnsi="Times New Roman" w:cs="Times New Roman"/>
                      <w:sz w:val="21"/>
                      <w:szCs w:val="21"/>
                      <w:lang w:eastAsia="zh-CN"/>
                    </w:rPr>
                    <w:t>15m</w:t>
                  </w:r>
                  <w:r>
                    <w:rPr>
                      <w:rFonts w:ascii="Times New Roman" w:hAnsi="Times New Roman"/>
                      <w:sz w:val="21"/>
                      <w:szCs w:val="21"/>
                      <w:lang w:eastAsia="zh-CN"/>
                    </w:rPr>
                    <w:t>高排气筒排放；</w:t>
                  </w:r>
                  <w:r>
                    <w:rPr>
                      <w:rFonts w:hint="eastAsia" w:ascii="Times New Roman" w:hAnsi="Times New Roman"/>
                      <w:sz w:val="21"/>
                      <w:szCs w:val="21"/>
                      <w:lang w:eastAsia="zh-CN"/>
                    </w:rPr>
                    <w:t>压缩车间、卸料平台等设置空间喷雾除臭系统；</w:t>
                  </w:r>
                  <w:r>
                    <w:rPr>
                      <w:rFonts w:ascii="Times New Roman" w:hAnsi="Times New Roman"/>
                      <w:sz w:val="21"/>
                      <w:szCs w:val="21"/>
                      <w:lang w:eastAsia="zh-CN"/>
                    </w:rPr>
                    <w:t>场站喷洒除臭剂与灭蚊蝇药剂，加强绿化。</w:t>
                  </w:r>
                </w:p>
              </w:tc>
              <w:tc>
                <w:tcPr>
                  <w:tcW w:w="404" w:type="pct"/>
                  <w:tcBorders>
                    <w:tl2br w:val="nil"/>
                    <w:tr2bl w:val="nil"/>
                  </w:tcBorders>
                  <w:shd w:val="clear" w:color="auto" w:fill="auto"/>
                  <w:vAlign w:val="center"/>
                </w:tcPr>
                <w:p w14:paraId="13AA2C8E">
                  <w:pPr>
                    <w:widowControl/>
                    <w:wordWrap w:val="0"/>
                    <w:autoSpaceDE w:val="0"/>
                    <w:autoSpaceDN w:val="0"/>
                    <w:adjustRightInd w:val="0"/>
                    <w:snapToGrid w:val="0"/>
                    <w:jc w:val="center"/>
                    <w:textAlignment w:val="baseline"/>
                    <w:rPr>
                      <w:szCs w:val="21"/>
                    </w:rPr>
                  </w:pPr>
                  <w:r>
                    <w:rPr>
                      <w:rFonts w:hint="eastAsia"/>
                      <w:szCs w:val="21"/>
                    </w:rPr>
                    <w:t>100</w:t>
                  </w:r>
                </w:p>
              </w:tc>
            </w:tr>
            <w:tr w14:paraId="5A7E6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6A6B5F58">
                  <w:pPr>
                    <w:pStyle w:val="83"/>
                    <w:widowControl/>
                    <w:autoSpaceDE w:val="0"/>
                    <w:autoSpaceDN w:val="0"/>
                    <w:adjustRightInd w:val="0"/>
                    <w:snapToGrid w:val="0"/>
                    <w:jc w:val="center"/>
                    <w:textAlignment w:val="baseline"/>
                    <w:rPr>
                      <w:rFonts w:ascii="Times New Roman" w:hAnsi="Times New Roman"/>
                      <w:sz w:val="21"/>
                      <w:szCs w:val="21"/>
                    </w:rPr>
                  </w:pPr>
                </w:p>
              </w:tc>
              <w:tc>
                <w:tcPr>
                  <w:tcW w:w="270" w:type="pct"/>
                  <w:tcBorders>
                    <w:tl2br w:val="nil"/>
                    <w:tr2bl w:val="nil"/>
                  </w:tcBorders>
                  <w:shd w:val="clear" w:color="auto" w:fill="auto"/>
                  <w:vAlign w:val="center"/>
                </w:tcPr>
                <w:p w14:paraId="34359042">
                  <w:pPr>
                    <w:pStyle w:val="83"/>
                    <w:widowControl/>
                    <w:autoSpaceDE w:val="0"/>
                    <w:autoSpaceDN w:val="0"/>
                    <w:adjustRightInd w:val="0"/>
                    <w:snapToGrid w:val="0"/>
                    <w:ind w:hanging="99"/>
                    <w:jc w:val="center"/>
                    <w:textAlignment w:val="baseline"/>
                    <w:rPr>
                      <w:rFonts w:ascii="Times New Roman" w:hAnsi="Times New Roman"/>
                      <w:sz w:val="21"/>
                      <w:szCs w:val="21"/>
                    </w:rPr>
                  </w:pPr>
                  <w:r>
                    <w:rPr>
                      <w:rFonts w:ascii="Times New Roman" w:hAnsi="Times New Roman"/>
                      <w:sz w:val="21"/>
                      <w:szCs w:val="21"/>
                    </w:rPr>
                    <w:t>噪声</w:t>
                  </w:r>
                </w:p>
              </w:tc>
              <w:tc>
                <w:tcPr>
                  <w:tcW w:w="697" w:type="pct"/>
                  <w:tcBorders>
                    <w:tl2br w:val="nil"/>
                    <w:tr2bl w:val="nil"/>
                  </w:tcBorders>
                  <w:shd w:val="clear" w:color="auto" w:fill="auto"/>
                  <w:vAlign w:val="center"/>
                </w:tcPr>
                <w:p w14:paraId="05EC03EE">
                  <w:pPr>
                    <w:pStyle w:val="83"/>
                    <w:widowControl/>
                    <w:autoSpaceDE w:val="0"/>
                    <w:autoSpaceDN w:val="0"/>
                    <w:adjustRightInd w:val="0"/>
                    <w:snapToGrid w:val="0"/>
                    <w:jc w:val="center"/>
                    <w:textAlignment w:val="baseline"/>
                    <w:rPr>
                      <w:rFonts w:ascii="Times New Roman" w:hAnsi="Times New Roman"/>
                      <w:snapToGrid w:val="0"/>
                      <w:kern w:val="0"/>
                      <w:sz w:val="21"/>
                      <w:szCs w:val="21"/>
                    </w:rPr>
                  </w:pPr>
                  <w:r>
                    <w:rPr>
                      <w:rFonts w:ascii="Times New Roman" w:hAnsi="Times New Roman"/>
                      <w:sz w:val="21"/>
                      <w:szCs w:val="21"/>
                    </w:rPr>
                    <w:t>设备运行声</w:t>
                  </w:r>
                </w:p>
              </w:tc>
              <w:tc>
                <w:tcPr>
                  <w:tcW w:w="3308" w:type="pct"/>
                  <w:tcBorders>
                    <w:tl2br w:val="nil"/>
                    <w:tr2bl w:val="nil"/>
                  </w:tcBorders>
                  <w:shd w:val="clear" w:color="auto" w:fill="auto"/>
                  <w:vAlign w:val="center"/>
                </w:tcPr>
                <w:p w14:paraId="4A5F6DAB">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spacing w:val="9"/>
                      <w:sz w:val="21"/>
                      <w:szCs w:val="21"/>
                      <w:lang w:eastAsia="zh-CN"/>
                    </w:rPr>
                    <w:t>用低噪声设备、隔声、减振，加强设备维护等</w:t>
                  </w:r>
                </w:p>
              </w:tc>
              <w:tc>
                <w:tcPr>
                  <w:tcW w:w="404" w:type="pct"/>
                  <w:tcBorders>
                    <w:tl2br w:val="nil"/>
                    <w:tr2bl w:val="nil"/>
                  </w:tcBorders>
                  <w:shd w:val="clear" w:color="auto" w:fill="auto"/>
                  <w:vAlign w:val="center"/>
                </w:tcPr>
                <w:p w14:paraId="49FF1967">
                  <w:pPr>
                    <w:widowControl/>
                    <w:wordWrap w:val="0"/>
                    <w:autoSpaceDE w:val="0"/>
                    <w:autoSpaceDN w:val="0"/>
                    <w:adjustRightInd w:val="0"/>
                    <w:snapToGrid w:val="0"/>
                    <w:jc w:val="center"/>
                    <w:textAlignment w:val="baseline"/>
                    <w:rPr>
                      <w:szCs w:val="21"/>
                    </w:rPr>
                  </w:pPr>
                  <w:r>
                    <w:rPr>
                      <w:rFonts w:hint="eastAsia"/>
                      <w:szCs w:val="21"/>
                    </w:rPr>
                    <w:t>计入主体工程</w:t>
                  </w:r>
                </w:p>
              </w:tc>
            </w:tr>
            <w:tr w14:paraId="3AFAB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9" w:type="pct"/>
                  <w:vMerge w:val="continue"/>
                  <w:tcBorders>
                    <w:tl2br w:val="nil"/>
                    <w:tr2bl w:val="nil"/>
                  </w:tcBorders>
                  <w:vAlign w:val="center"/>
                </w:tcPr>
                <w:p w14:paraId="3F4BA09F">
                  <w:pPr>
                    <w:pStyle w:val="83"/>
                    <w:widowControl/>
                    <w:autoSpaceDE w:val="0"/>
                    <w:autoSpaceDN w:val="0"/>
                    <w:adjustRightInd w:val="0"/>
                    <w:snapToGrid w:val="0"/>
                    <w:jc w:val="center"/>
                    <w:textAlignment w:val="baseline"/>
                    <w:rPr>
                      <w:rFonts w:ascii="Times New Roman" w:hAnsi="Times New Roman"/>
                      <w:sz w:val="21"/>
                      <w:szCs w:val="21"/>
                    </w:rPr>
                  </w:pPr>
                </w:p>
              </w:tc>
              <w:tc>
                <w:tcPr>
                  <w:tcW w:w="270" w:type="pct"/>
                  <w:vMerge w:val="restart"/>
                  <w:tcBorders>
                    <w:tl2br w:val="nil"/>
                    <w:tr2bl w:val="nil"/>
                  </w:tcBorders>
                  <w:vAlign w:val="center"/>
                </w:tcPr>
                <w:p w14:paraId="535DBBD8">
                  <w:pPr>
                    <w:pStyle w:val="83"/>
                    <w:widowControl/>
                    <w:autoSpaceDE w:val="0"/>
                    <w:autoSpaceDN w:val="0"/>
                    <w:adjustRightInd w:val="0"/>
                    <w:snapToGrid w:val="0"/>
                    <w:ind w:hanging="99"/>
                    <w:jc w:val="center"/>
                    <w:textAlignment w:val="baseline"/>
                    <w:rPr>
                      <w:rFonts w:ascii="Times New Roman" w:hAnsi="Times New Roman"/>
                      <w:sz w:val="21"/>
                      <w:szCs w:val="21"/>
                    </w:rPr>
                  </w:pPr>
                  <w:r>
                    <w:rPr>
                      <w:rFonts w:ascii="Times New Roman" w:hAnsi="Times New Roman"/>
                      <w:sz w:val="21"/>
                      <w:szCs w:val="21"/>
                    </w:rPr>
                    <w:t>固废</w:t>
                  </w:r>
                </w:p>
              </w:tc>
              <w:tc>
                <w:tcPr>
                  <w:tcW w:w="697" w:type="pct"/>
                  <w:tcBorders>
                    <w:tl2br w:val="nil"/>
                    <w:tr2bl w:val="nil"/>
                  </w:tcBorders>
                  <w:shd w:val="clear" w:color="auto" w:fill="auto"/>
                  <w:vAlign w:val="center"/>
                </w:tcPr>
                <w:p w14:paraId="4DFC1D44">
                  <w:pPr>
                    <w:pStyle w:val="83"/>
                    <w:widowControl/>
                    <w:wordWrap w:val="0"/>
                    <w:topLinePunct/>
                    <w:autoSpaceDE w:val="0"/>
                    <w:autoSpaceDN w:val="0"/>
                    <w:adjustRightInd w:val="0"/>
                    <w:snapToGrid w:val="0"/>
                    <w:jc w:val="center"/>
                    <w:textAlignment w:val="baseline"/>
                    <w:rPr>
                      <w:rFonts w:ascii="Times New Roman" w:hAnsi="Times New Roman"/>
                      <w:snapToGrid w:val="0"/>
                      <w:kern w:val="0"/>
                      <w:sz w:val="21"/>
                      <w:szCs w:val="21"/>
                    </w:rPr>
                  </w:pPr>
                  <w:r>
                    <w:rPr>
                      <w:rFonts w:ascii="Times New Roman" w:hAnsi="Times New Roman"/>
                      <w:sz w:val="21"/>
                      <w:szCs w:val="21"/>
                    </w:rPr>
                    <w:t>生活垃圾</w:t>
                  </w:r>
                </w:p>
              </w:tc>
              <w:tc>
                <w:tcPr>
                  <w:tcW w:w="3308" w:type="pct"/>
                  <w:tcBorders>
                    <w:tl2br w:val="nil"/>
                    <w:tr2bl w:val="nil"/>
                  </w:tcBorders>
                  <w:shd w:val="clear" w:color="auto" w:fill="auto"/>
                  <w:vAlign w:val="center"/>
                </w:tcPr>
                <w:p w14:paraId="5BFBA4B3">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转运</w:t>
                  </w:r>
                  <w:r>
                    <w:rPr>
                      <w:rFonts w:ascii="Times New Roman" w:hAnsi="Times New Roman"/>
                      <w:snapToGrid w:val="0"/>
                      <w:kern w:val="0"/>
                      <w:sz w:val="21"/>
                      <w:szCs w:val="21"/>
                      <w:lang w:eastAsia="zh-CN"/>
                    </w:rPr>
                    <w:t>站</w:t>
                  </w:r>
                  <w:r>
                    <w:rPr>
                      <w:rFonts w:hint="eastAsia" w:ascii="Times New Roman" w:hAnsi="Times New Roman"/>
                      <w:snapToGrid w:val="0"/>
                      <w:kern w:val="0"/>
                      <w:sz w:val="21"/>
                      <w:szCs w:val="21"/>
                      <w:lang w:eastAsia="zh-CN"/>
                    </w:rPr>
                    <w:t>垃圾与转运的生活垃圾一并由压缩箱收集，运送至当地焚烧发电厂焚烧发电处理</w:t>
                  </w:r>
                </w:p>
              </w:tc>
              <w:tc>
                <w:tcPr>
                  <w:tcW w:w="404" w:type="pct"/>
                  <w:tcBorders>
                    <w:tl2br w:val="nil"/>
                    <w:tr2bl w:val="nil"/>
                  </w:tcBorders>
                  <w:shd w:val="clear" w:color="auto" w:fill="auto"/>
                  <w:vAlign w:val="center"/>
                </w:tcPr>
                <w:p w14:paraId="5FEA4F8D">
                  <w:pPr>
                    <w:widowControl/>
                    <w:wordWrap w:val="0"/>
                    <w:autoSpaceDE w:val="0"/>
                    <w:autoSpaceDN w:val="0"/>
                    <w:adjustRightInd w:val="0"/>
                    <w:snapToGrid w:val="0"/>
                    <w:jc w:val="center"/>
                    <w:textAlignment w:val="baseline"/>
                    <w:rPr>
                      <w:szCs w:val="21"/>
                      <w:lang w:eastAsia="en-US"/>
                    </w:rPr>
                  </w:pPr>
                  <w:r>
                    <w:rPr>
                      <w:rFonts w:hint="eastAsia"/>
                      <w:szCs w:val="21"/>
                    </w:rPr>
                    <w:t>/</w:t>
                  </w:r>
                </w:p>
              </w:tc>
            </w:tr>
            <w:tr w14:paraId="772C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9" w:type="pct"/>
                  <w:vMerge w:val="continue"/>
                  <w:tcBorders>
                    <w:tl2br w:val="nil"/>
                    <w:tr2bl w:val="nil"/>
                  </w:tcBorders>
                  <w:vAlign w:val="center"/>
                </w:tcPr>
                <w:p w14:paraId="403073C0">
                  <w:pPr>
                    <w:pStyle w:val="83"/>
                    <w:widowControl/>
                    <w:autoSpaceDE w:val="0"/>
                    <w:autoSpaceDN w:val="0"/>
                    <w:adjustRightInd w:val="0"/>
                    <w:snapToGrid w:val="0"/>
                    <w:jc w:val="center"/>
                    <w:textAlignment w:val="baseline"/>
                    <w:rPr>
                      <w:rFonts w:ascii="Times New Roman" w:hAnsi="Times New Roman"/>
                      <w:sz w:val="21"/>
                      <w:szCs w:val="21"/>
                    </w:rPr>
                  </w:pPr>
                </w:p>
              </w:tc>
              <w:tc>
                <w:tcPr>
                  <w:tcW w:w="270" w:type="pct"/>
                  <w:vMerge w:val="continue"/>
                  <w:tcBorders>
                    <w:tl2br w:val="nil"/>
                    <w:tr2bl w:val="nil"/>
                  </w:tcBorders>
                  <w:vAlign w:val="center"/>
                </w:tcPr>
                <w:p w14:paraId="1DD557AE">
                  <w:pPr>
                    <w:pStyle w:val="83"/>
                    <w:widowControl/>
                    <w:autoSpaceDE w:val="0"/>
                    <w:autoSpaceDN w:val="0"/>
                    <w:adjustRightInd w:val="0"/>
                    <w:snapToGrid w:val="0"/>
                    <w:ind w:hanging="99"/>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1C917A44">
                  <w:pPr>
                    <w:pStyle w:val="83"/>
                    <w:widowControl/>
                    <w:wordWrap w:val="0"/>
                    <w:topLinePunct/>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废包装材料</w:t>
                  </w:r>
                </w:p>
              </w:tc>
              <w:tc>
                <w:tcPr>
                  <w:tcW w:w="3308" w:type="pct"/>
                  <w:tcBorders>
                    <w:tl2br w:val="nil"/>
                    <w:tr2bl w:val="nil"/>
                  </w:tcBorders>
                  <w:shd w:val="clear" w:color="auto" w:fill="auto"/>
                  <w:vAlign w:val="center"/>
                </w:tcPr>
                <w:p w14:paraId="140C4432">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收集暂存一般固废暂存间，占地面积约5m</w:t>
                  </w:r>
                  <w:r>
                    <w:rPr>
                      <w:rFonts w:hint="eastAsia" w:ascii="Times New Roman" w:hAnsi="Times New Roman"/>
                      <w:snapToGrid w:val="0"/>
                      <w:kern w:val="0"/>
                      <w:sz w:val="21"/>
                      <w:szCs w:val="21"/>
                      <w:vertAlign w:val="superscript"/>
                      <w:lang w:eastAsia="zh-CN"/>
                    </w:rPr>
                    <w:t>2</w:t>
                  </w:r>
                </w:p>
              </w:tc>
              <w:tc>
                <w:tcPr>
                  <w:tcW w:w="404" w:type="pct"/>
                  <w:tcBorders>
                    <w:tl2br w:val="nil"/>
                    <w:tr2bl w:val="nil"/>
                  </w:tcBorders>
                  <w:shd w:val="clear" w:color="auto" w:fill="auto"/>
                  <w:vAlign w:val="center"/>
                </w:tcPr>
                <w:p w14:paraId="35A0DC33">
                  <w:pPr>
                    <w:widowControl/>
                    <w:wordWrap w:val="0"/>
                    <w:autoSpaceDE w:val="0"/>
                    <w:autoSpaceDN w:val="0"/>
                    <w:adjustRightInd w:val="0"/>
                    <w:snapToGrid w:val="0"/>
                    <w:jc w:val="center"/>
                    <w:textAlignment w:val="baseline"/>
                    <w:rPr>
                      <w:szCs w:val="21"/>
                    </w:rPr>
                  </w:pPr>
                  <w:r>
                    <w:rPr>
                      <w:rFonts w:hint="eastAsia"/>
                      <w:szCs w:val="21"/>
                    </w:rPr>
                    <w:t>3</w:t>
                  </w:r>
                </w:p>
              </w:tc>
            </w:tr>
            <w:tr w14:paraId="037D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9" w:type="pct"/>
                  <w:vMerge w:val="continue"/>
                  <w:tcBorders>
                    <w:tl2br w:val="nil"/>
                    <w:tr2bl w:val="nil"/>
                  </w:tcBorders>
                  <w:vAlign w:val="center"/>
                </w:tcPr>
                <w:p w14:paraId="7D66D06A">
                  <w:pPr>
                    <w:pStyle w:val="83"/>
                    <w:widowControl/>
                    <w:autoSpaceDE w:val="0"/>
                    <w:autoSpaceDN w:val="0"/>
                    <w:adjustRightInd w:val="0"/>
                    <w:snapToGrid w:val="0"/>
                    <w:jc w:val="center"/>
                    <w:textAlignment w:val="baseline"/>
                    <w:rPr>
                      <w:rFonts w:ascii="Times New Roman" w:hAnsi="Times New Roman"/>
                      <w:sz w:val="21"/>
                      <w:szCs w:val="21"/>
                    </w:rPr>
                  </w:pPr>
                </w:p>
              </w:tc>
              <w:tc>
                <w:tcPr>
                  <w:tcW w:w="270" w:type="pct"/>
                  <w:vMerge w:val="continue"/>
                  <w:tcBorders>
                    <w:tl2br w:val="nil"/>
                    <w:tr2bl w:val="nil"/>
                  </w:tcBorders>
                  <w:vAlign w:val="center"/>
                </w:tcPr>
                <w:p w14:paraId="6C565E54">
                  <w:pPr>
                    <w:pStyle w:val="83"/>
                    <w:widowControl/>
                    <w:autoSpaceDE w:val="0"/>
                    <w:autoSpaceDN w:val="0"/>
                    <w:adjustRightInd w:val="0"/>
                    <w:snapToGrid w:val="0"/>
                    <w:ind w:hanging="99"/>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486DA50A">
                  <w:pPr>
                    <w:pStyle w:val="83"/>
                    <w:widowControl/>
                    <w:wordWrap w:val="0"/>
                    <w:topLinePunct/>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化粪池污泥</w:t>
                  </w:r>
                </w:p>
              </w:tc>
              <w:tc>
                <w:tcPr>
                  <w:tcW w:w="3308" w:type="pct"/>
                  <w:tcBorders>
                    <w:tl2br w:val="nil"/>
                    <w:tr2bl w:val="nil"/>
                  </w:tcBorders>
                  <w:shd w:val="clear" w:color="auto" w:fill="auto"/>
                  <w:vAlign w:val="center"/>
                </w:tcPr>
                <w:p w14:paraId="31615975">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在站内进行处理后与其他生活垃圾一并外运处置。</w:t>
                  </w:r>
                </w:p>
              </w:tc>
              <w:tc>
                <w:tcPr>
                  <w:tcW w:w="404" w:type="pct"/>
                  <w:tcBorders>
                    <w:tl2br w:val="nil"/>
                    <w:tr2bl w:val="nil"/>
                  </w:tcBorders>
                  <w:shd w:val="clear" w:color="auto" w:fill="auto"/>
                  <w:vAlign w:val="center"/>
                </w:tcPr>
                <w:p w14:paraId="7EB1BBC3">
                  <w:pPr>
                    <w:widowControl/>
                    <w:wordWrap w:val="0"/>
                    <w:autoSpaceDE w:val="0"/>
                    <w:autoSpaceDN w:val="0"/>
                    <w:adjustRightInd w:val="0"/>
                    <w:snapToGrid w:val="0"/>
                    <w:jc w:val="center"/>
                    <w:textAlignment w:val="baseline"/>
                    <w:rPr>
                      <w:szCs w:val="21"/>
                    </w:rPr>
                  </w:pPr>
                  <w:r>
                    <w:rPr>
                      <w:rFonts w:hint="eastAsia"/>
                      <w:szCs w:val="21"/>
                    </w:rPr>
                    <w:t>计入主体工程</w:t>
                  </w:r>
                </w:p>
              </w:tc>
            </w:tr>
            <w:tr w14:paraId="6F1B7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9" w:type="pct"/>
                  <w:vMerge w:val="continue"/>
                  <w:tcBorders>
                    <w:tl2br w:val="nil"/>
                    <w:tr2bl w:val="nil"/>
                  </w:tcBorders>
                  <w:vAlign w:val="center"/>
                </w:tcPr>
                <w:p w14:paraId="709BE097">
                  <w:pPr>
                    <w:pStyle w:val="83"/>
                    <w:widowControl/>
                    <w:autoSpaceDE w:val="0"/>
                    <w:autoSpaceDN w:val="0"/>
                    <w:adjustRightInd w:val="0"/>
                    <w:snapToGrid w:val="0"/>
                    <w:jc w:val="center"/>
                    <w:textAlignment w:val="baseline"/>
                    <w:rPr>
                      <w:rFonts w:ascii="Times New Roman" w:hAnsi="Times New Roman"/>
                      <w:sz w:val="21"/>
                      <w:szCs w:val="21"/>
                    </w:rPr>
                  </w:pPr>
                </w:p>
              </w:tc>
              <w:tc>
                <w:tcPr>
                  <w:tcW w:w="270" w:type="pct"/>
                  <w:vMerge w:val="continue"/>
                  <w:tcBorders>
                    <w:tl2br w:val="nil"/>
                    <w:tr2bl w:val="nil"/>
                  </w:tcBorders>
                  <w:vAlign w:val="center"/>
                </w:tcPr>
                <w:p w14:paraId="2703EC28">
                  <w:pPr>
                    <w:pStyle w:val="83"/>
                    <w:widowControl/>
                    <w:autoSpaceDE w:val="0"/>
                    <w:autoSpaceDN w:val="0"/>
                    <w:adjustRightInd w:val="0"/>
                    <w:snapToGrid w:val="0"/>
                    <w:ind w:hanging="99"/>
                    <w:jc w:val="center"/>
                    <w:textAlignment w:val="baseline"/>
                    <w:rPr>
                      <w:rFonts w:ascii="Times New Roman" w:hAnsi="Times New Roman"/>
                      <w:sz w:val="21"/>
                      <w:szCs w:val="21"/>
                    </w:rPr>
                  </w:pPr>
                </w:p>
              </w:tc>
              <w:tc>
                <w:tcPr>
                  <w:tcW w:w="697" w:type="pct"/>
                  <w:tcBorders>
                    <w:tl2br w:val="nil"/>
                    <w:tr2bl w:val="nil"/>
                  </w:tcBorders>
                  <w:shd w:val="clear" w:color="auto" w:fill="auto"/>
                  <w:vAlign w:val="center"/>
                </w:tcPr>
                <w:p w14:paraId="5C877234">
                  <w:pPr>
                    <w:pStyle w:val="83"/>
                    <w:widowControl/>
                    <w:wordWrap w:val="0"/>
                    <w:topLinePunct/>
                    <w:autoSpaceDE w:val="0"/>
                    <w:autoSpaceDN w:val="0"/>
                    <w:adjustRightInd w:val="0"/>
                    <w:snapToGrid w:val="0"/>
                    <w:jc w:val="center"/>
                    <w:textAlignment w:val="baseline"/>
                    <w:rPr>
                      <w:rFonts w:ascii="Times New Roman" w:hAnsi="Times New Roman"/>
                      <w:sz w:val="21"/>
                      <w:szCs w:val="21"/>
                      <w:lang w:eastAsia="zh-CN"/>
                    </w:rPr>
                  </w:pPr>
                  <w:r>
                    <w:rPr>
                      <w:rFonts w:hint="eastAsia" w:ascii="Times New Roman" w:hAnsi="Times New Roman"/>
                      <w:sz w:val="21"/>
                      <w:szCs w:val="21"/>
                      <w:lang w:eastAsia="zh-CN"/>
                    </w:rPr>
                    <w:t>污水处理</w:t>
                  </w:r>
                  <w:r>
                    <w:rPr>
                      <w:rFonts w:ascii="Times New Roman" w:hAnsi="Times New Roman"/>
                      <w:sz w:val="21"/>
                      <w:szCs w:val="21"/>
                    </w:rPr>
                    <w:t>污泥</w:t>
                  </w:r>
                </w:p>
              </w:tc>
              <w:tc>
                <w:tcPr>
                  <w:tcW w:w="3308" w:type="pct"/>
                  <w:tcBorders>
                    <w:tl2br w:val="nil"/>
                    <w:tr2bl w:val="nil"/>
                  </w:tcBorders>
                  <w:shd w:val="clear" w:color="auto" w:fill="auto"/>
                  <w:vAlign w:val="center"/>
                </w:tcPr>
                <w:p w14:paraId="53350D28">
                  <w:pPr>
                    <w:pStyle w:val="83"/>
                    <w:widowControl/>
                    <w:wordWrap w:val="0"/>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收集后暂存于污泥脱水机房，定期运至生活垃圾焚烧厂处理。</w:t>
                  </w:r>
                </w:p>
              </w:tc>
              <w:tc>
                <w:tcPr>
                  <w:tcW w:w="404" w:type="pct"/>
                  <w:tcBorders>
                    <w:tl2br w:val="nil"/>
                    <w:tr2bl w:val="nil"/>
                  </w:tcBorders>
                  <w:shd w:val="clear" w:color="auto" w:fill="auto"/>
                  <w:vAlign w:val="center"/>
                </w:tcPr>
                <w:p w14:paraId="35469052">
                  <w:pPr>
                    <w:widowControl/>
                    <w:wordWrap w:val="0"/>
                    <w:autoSpaceDE w:val="0"/>
                    <w:autoSpaceDN w:val="0"/>
                    <w:adjustRightInd w:val="0"/>
                    <w:snapToGrid w:val="0"/>
                    <w:jc w:val="center"/>
                    <w:textAlignment w:val="baseline"/>
                    <w:rPr>
                      <w:szCs w:val="21"/>
                    </w:rPr>
                  </w:pPr>
                  <w:r>
                    <w:rPr>
                      <w:rFonts w:hint="eastAsia"/>
                      <w:szCs w:val="21"/>
                    </w:rPr>
                    <w:t>计入主体工程</w:t>
                  </w:r>
                </w:p>
              </w:tc>
            </w:tr>
            <w:tr w14:paraId="51DBC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0C9708FF">
                  <w:pPr>
                    <w:widowControl/>
                    <w:autoSpaceDE w:val="0"/>
                    <w:autoSpaceDN w:val="0"/>
                    <w:adjustRightInd w:val="0"/>
                    <w:snapToGrid w:val="0"/>
                    <w:jc w:val="center"/>
                    <w:textAlignment w:val="baseline"/>
                  </w:pPr>
                </w:p>
              </w:tc>
              <w:tc>
                <w:tcPr>
                  <w:tcW w:w="270" w:type="pct"/>
                  <w:vMerge w:val="continue"/>
                  <w:tcBorders>
                    <w:tl2br w:val="nil"/>
                    <w:tr2bl w:val="nil"/>
                  </w:tcBorders>
                  <w:vAlign w:val="center"/>
                </w:tcPr>
                <w:p w14:paraId="1940E7B2">
                  <w:pPr>
                    <w:widowControl/>
                    <w:autoSpaceDE w:val="0"/>
                    <w:autoSpaceDN w:val="0"/>
                    <w:adjustRightInd w:val="0"/>
                    <w:snapToGrid w:val="0"/>
                    <w:jc w:val="center"/>
                    <w:textAlignment w:val="baseline"/>
                  </w:pPr>
                </w:p>
              </w:tc>
              <w:tc>
                <w:tcPr>
                  <w:tcW w:w="697" w:type="pct"/>
                  <w:tcBorders>
                    <w:tl2br w:val="nil"/>
                    <w:tr2bl w:val="nil"/>
                  </w:tcBorders>
                  <w:shd w:val="clear" w:color="auto" w:fill="auto"/>
                  <w:vAlign w:val="center"/>
                </w:tcPr>
                <w:p w14:paraId="6A054EF5">
                  <w:pPr>
                    <w:pStyle w:val="83"/>
                    <w:widowControl/>
                    <w:wordWrap w:val="0"/>
                    <w:topLinePunct/>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ascii="Times New Roman" w:hAnsi="Times New Roman"/>
                      <w:sz w:val="21"/>
                      <w:szCs w:val="21"/>
                    </w:rPr>
                    <w:t>废</w:t>
                  </w:r>
                  <w:r>
                    <w:rPr>
                      <w:rFonts w:hint="eastAsia" w:ascii="Times New Roman" w:hAnsi="Times New Roman"/>
                      <w:sz w:val="21"/>
                      <w:szCs w:val="21"/>
                      <w:lang w:eastAsia="zh-CN"/>
                    </w:rPr>
                    <w:t>液压油</w:t>
                  </w:r>
                </w:p>
              </w:tc>
              <w:tc>
                <w:tcPr>
                  <w:tcW w:w="3308" w:type="pct"/>
                  <w:vMerge w:val="restart"/>
                  <w:tcBorders>
                    <w:tl2br w:val="nil"/>
                    <w:tr2bl w:val="nil"/>
                  </w:tcBorders>
                  <w:vAlign w:val="center"/>
                </w:tcPr>
                <w:p w14:paraId="68B30F27">
                  <w:pPr>
                    <w:widowControl/>
                    <w:wordWrap w:val="0"/>
                    <w:autoSpaceDE w:val="0"/>
                    <w:autoSpaceDN w:val="0"/>
                    <w:adjustRightInd w:val="0"/>
                    <w:snapToGrid w:val="0"/>
                    <w:jc w:val="center"/>
                    <w:textAlignment w:val="baseline"/>
                    <w:rPr>
                      <w:szCs w:val="21"/>
                    </w:rPr>
                  </w:pPr>
                  <w:r>
                    <w:rPr>
                      <w:rFonts w:hint="eastAsia"/>
                      <w:szCs w:val="21"/>
                    </w:rPr>
                    <w:t>在维保房内设置1个危废暂存间，占地面积10</w:t>
                  </w:r>
                  <w:r>
                    <w:rPr>
                      <w:szCs w:val="21"/>
                    </w:rPr>
                    <w:t>m</w:t>
                  </w:r>
                  <w:r>
                    <w:rPr>
                      <w:szCs w:val="21"/>
                      <w:vertAlign w:val="superscript"/>
                    </w:rPr>
                    <w:t>2</w:t>
                  </w:r>
                  <w:r>
                    <w:rPr>
                      <w:szCs w:val="21"/>
                    </w:rPr>
                    <w:t>，暂存于危险废物暂存间，定期送有资质的单位处置</w:t>
                  </w:r>
                </w:p>
              </w:tc>
              <w:tc>
                <w:tcPr>
                  <w:tcW w:w="404" w:type="pct"/>
                  <w:vMerge w:val="restart"/>
                  <w:tcBorders>
                    <w:tl2br w:val="nil"/>
                    <w:tr2bl w:val="nil"/>
                  </w:tcBorders>
                  <w:vAlign w:val="center"/>
                </w:tcPr>
                <w:p w14:paraId="38593890">
                  <w:pPr>
                    <w:widowControl/>
                    <w:wordWrap w:val="0"/>
                    <w:autoSpaceDE w:val="0"/>
                    <w:autoSpaceDN w:val="0"/>
                    <w:adjustRightInd w:val="0"/>
                    <w:snapToGrid w:val="0"/>
                    <w:jc w:val="center"/>
                    <w:textAlignment w:val="baseline"/>
                    <w:rPr>
                      <w:szCs w:val="21"/>
                    </w:rPr>
                  </w:pPr>
                  <w:r>
                    <w:rPr>
                      <w:rFonts w:hint="eastAsia"/>
                      <w:szCs w:val="21"/>
                    </w:rPr>
                    <w:t>8.0</w:t>
                  </w:r>
                </w:p>
              </w:tc>
            </w:tr>
            <w:tr w14:paraId="58F37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786D0AE7">
                  <w:pPr>
                    <w:widowControl/>
                    <w:autoSpaceDE w:val="0"/>
                    <w:autoSpaceDN w:val="0"/>
                    <w:adjustRightInd w:val="0"/>
                    <w:snapToGrid w:val="0"/>
                    <w:jc w:val="center"/>
                    <w:textAlignment w:val="baseline"/>
                  </w:pPr>
                </w:p>
              </w:tc>
              <w:tc>
                <w:tcPr>
                  <w:tcW w:w="270" w:type="pct"/>
                  <w:vMerge w:val="continue"/>
                  <w:tcBorders>
                    <w:tl2br w:val="nil"/>
                    <w:tr2bl w:val="nil"/>
                  </w:tcBorders>
                  <w:vAlign w:val="center"/>
                </w:tcPr>
                <w:p w14:paraId="0A484991">
                  <w:pPr>
                    <w:widowControl/>
                    <w:autoSpaceDE w:val="0"/>
                    <w:autoSpaceDN w:val="0"/>
                    <w:adjustRightInd w:val="0"/>
                    <w:snapToGrid w:val="0"/>
                    <w:jc w:val="center"/>
                    <w:textAlignment w:val="baseline"/>
                  </w:pPr>
                </w:p>
              </w:tc>
              <w:tc>
                <w:tcPr>
                  <w:tcW w:w="697" w:type="pct"/>
                  <w:tcBorders>
                    <w:tl2br w:val="nil"/>
                    <w:tr2bl w:val="nil"/>
                  </w:tcBorders>
                  <w:shd w:val="clear" w:color="auto" w:fill="auto"/>
                  <w:vAlign w:val="center"/>
                </w:tcPr>
                <w:p w14:paraId="123AE6B7">
                  <w:pPr>
                    <w:pStyle w:val="83"/>
                    <w:widowControl/>
                    <w:wordWrap w:val="0"/>
                    <w:topLinePunct/>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废润滑油</w:t>
                  </w:r>
                </w:p>
              </w:tc>
              <w:tc>
                <w:tcPr>
                  <w:tcW w:w="3308" w:type="pct"/>
                  <w:vMerge w:val="continue"/>
                  <w:tcBorders>
                    <w:tl2br w:val="nil"/>
                    <w:tr2bl w:val="nil"/>
                  </w:tcBorders>
                  <w:vAlign w:val="center"/>
                </w:tcPr>
                <w:p w14:paraId="78B1C64E">
                  <w:pPr>
                    <w:widowControl/>
                    <w:wordWrap w:val="0"/>
                    <w:autoSpaceDE w:val="0"/>
                    <w:autoSpaceDN w:val="0"/>
                    <w:adjustRightInd w:val="0"/>
                    <w:snapToGrid w:val="0"/>
                    <w:jc w:val="center"/>
                    <w:textAlignment w:val="baseline"/>
                    <w:rPr>
                      <w:szCs w:val="21"/>
                    </w:rPr>
                  </w:pPr>
                </w:p>
              </w:tc>
              <w:tc>
                <w:tcPr>
                  <w:tcW w:w="404" w:type="pct"/>
                  <w:vMerge w:val="continue"/>
                  <w:tcBorders>
                    <w:tl2br w:val="nil"/>
                    <w:tr2bl w:val="nil"/>
                  </w:tcBorders>
                  <w:vAlign w:val="center"/>
                </w:tcPr>
                <w:p w14:paraId="571197A5">
                  <w:pPr>
                    <w:widowControl/>
                    <w:wordWrap w:val="0"/>
                    <w:autoSpaceDE w:val="0"/>
                    <w:autoSpaceDN w:val="0"/>
                    <w:adjustRightInd w:val="0"/>
                    <w:snapToGrid w:val="0"/>
                    <w:jc w:val="center"/>
                    <w:textAlignment w:val="baseline"/>
                    <w:rPr>
                      <w:szCs w:val="21"/>
                    </w:rPr>
                  </w:pPr>
                </w:p>
              </w:tc>
            </w:tr>
            <w:tr w14:paraId="4EC4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19" w:type="pct"/>
                  <w:vMerge w:val="continue"/>
                  <w:tcBorders>
                    <w:tl2br w:val="nil"/>
                    <w:tr2bl w:val="nil"/>
                  </w:tcBorders>
                  <w:vAlign w:val="center"/>
                </w:tcPr>
                <w:p w14:paraId="0E60BB29">
                  <w:pPr>
                    <w:widowControl/>
                    <w:autoSpaceDE w:val="0"/>
                    <w:autoSpaceDN w:val="0"/>
                    <w:adjustRightInd w:val="0"/>
                    <w:snapToGrid w:val="0"/>
                    <w:jc w:val="center"/>
                    <w:textAlignment w:val="baseline"/>
                  </w:pPr>
                </w:p>
              </w:tc>
              <w:tc>
                <w:tcPr>
                  <w:tcW w:w="270" w:type="pct"/>
                  <w:vMerge w:val="continue"/>
                  <w:tcBorders>
                    <w:tl2br w:val="nil"/>
                    <w:tr2bl w:val="nil"/>
                  </w:tcBorders>
                  <w:vAlign w:val="center"/>
                </w:tcPr>
                <w:p w14:paraId="2FF8BB88">
                  <w:pPr>
                    <w:widowControl/>
                    <w:autoSpaceDE w:val="0"/>
                    <w:autoSpaceDN w:val="0"/>
                    <w:adjustRightInd w:val="0"/>
                    <w:snapToGrid w:val="0"/>
                    <w:jc w:val="center"/>
                    <w:textAlignment w:val="baseline"/>
                  </w:pPr>
                </w:p>
              </w:tc>
              <w:tc>
                <w:tcPr>
                  <w:tcW w:w="697" w:type="pct"/>
                  <w:tcBorders>
                    <w:tl2br w:val="nil"/>
                    <w:tr2bl w:val="nil"/>
                  </w:tcBorders>
                  <w:shd w:val="clear" w:color="auto" w:fill="auto"/>
                  <w:vAlign w:val="center"/>
                </w:tcPr>
                <w:p w14:paraId="743F2D9D">
                  <w:pPr>
                    <w:pStyle w:val="83"/>
                    <w:widowControl/>
                    <w:wordWrap w:val="0"/>
                    <w:topLinePunct/>
                    <w:autoSpaceDE w:val="0"/>
                    <w:autoSpaceDN w:val="0"/>
                    <w:adjustRightInd w:val="0"/>
                    <w:snapToGrid w:val="0"/>
                    <w:jc w:val="center"/>
                    <w:textAlignment w:val="baseline"/>
                    <w:rPr>
                      <w:rFonts w:ascii="Times New Roman" w:hAnsi="Times New Roman"/>
                      <w:snapToGrid w:val="0"/>
                      <w:kern w:val="0"/>
                      <w:sz w:val="21"/>
                      <w:szCs w:val="21"/>
                      <w:lang w:eastAsia="zh-CN"/>
                    </w:rPr>
                  </w:pPr>
                  <w:r>
                    <w:rPr>
                      <w:rFonts w:hint="eastAsia" w:ascii="Times New Roman" w:hAnsi="Times New Roman"/>
                      <w:snapToGrid w:val="0"/>
                      <w:kern w:val="0"/>
                      <w:sz w:val="21"/>
                      <w:szCs w:val="21"/>
                      <w:lang w:eastAsia="zh-CN"/>
                    </w:rPr>
                    <w:t>废化学品包装材料</w:t>
                  </w:r>
                </w:p>
              </w:tc>
              <w:tc>
                <w:tcPr>
                  <w:tcW w:w="3308" w:type="pct"/>
                  <w:vMerge w:val="continue"/>
                  <w:tcBorders>
                    <w:tl2br w:val="nil"/>
                    <w:tr2bl w:val="nil"/>
                  </w:tcBorders>
                  <w:vAlign w:val="center"/>
                </w:tcPr>
                <w:p w14:paraId="36C5DEBD">
                  <w:pPr>
                    <w:widowControl/>
                    <w:wordWrap w:val="0"/>
                    <w:autoSpaceDE w:val="0"/>
                    <w:autoSpaceDN w:val="0"/>
                    <w:adjustRightInd w:val="0"/>
                    <w:snapToGrid w:val="0"/>
                    <w:jc w:val="center"/>
                    <w:textAlignment w:val="baseline"/>
                    <w:rPr>
                      <w:szCs w:val="21"/>
                    </w:rPr>
                  </w:pPr>
                </w:p>
              </w:tc>
              <w:tc>
                <w:tcPr>
                  <w:tcW w:w="404" w:type="pct"/>
                  <w:vMerge w:val="continue"/>
                  <w:tcBorders>
                    <w:tl2br w:val="nil"/>
                    <w:tr2bl w:val="nil"/>
                  </w:tcBorders>
                  <w:vAlign w:val="center"/>
                </w:tcPr>
                <w:p w14:paraId="5FFED87E">
                  <w:pPr>
                    <w:widowControl/>
                    <w:wordWrap w:val="0"/>
                    <w:autoSpaceDE w:val="0"/>
                    <w:autoSpaceDN w:val="0"/>
                    <w:adjustRightInd w:val="0"/>
                    <w:snapToGrid w:val="0"/>
                    <w:jc w:val="center"/>
                    <w:textAlignment w:val="baseline"/>
                    <w:rPr>
                      <w:szCs w:val="21"/>
                    </w:rPr>
                  </w:pPr>
                </w:p>
              </w:tc>
            </w:tr>
            <w:tr w14:paraId="11CFB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286" w:type="pct"/>
                  <w:gridSpan w:val="3"/>
                  <w:tcBorders>
                    <w:tl2br w:val="nil"/>
                    <w:tr2bl w:val="nil"/>
                  </w:tcBorders>
                  <w:vAlign w:val="center"/>
                </w:tcPr>
                <w:p w14:paraId="59D16AA0">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环境管理</w:t>
                  </w:r>
                </w:p>
              </w:tc>
              <w:tc>
                <w:tcPr>
                  <w:tcW w:w="3308" w:type="pct"/>
                  <w:tcBorders>
                    <w:tl2br w:val="nil"/>
                    <w:tr2bl w:val="nil"/>
                  </w:tcBorders>
                  <w:vAlign w:val="center"/>
                </w:tcPr>
                <w:p w14:paraId="51F46852">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加强环境管理，定期对环保设备进行维护保养，设标识牌，严格执行污染源监测计划、环境质量监测计划。</w:t>
                  </w:r>
                </w:p>
              </w:tc>
              <w:tc>
                <w:tcPr>
                  <w:tcW w:w="404" w:type="pct"/>
                  <w:tcBorders>
                    <w:tl2br w:val="nil"/>
                    <w:tr2bl w:val="nil"/>
                  </w:tcBorders>
                  <w:vAlign w:val="center"/>
                </w:tcPr>
                <w:p w14:paraId="2852F6B8">
                  <w:pPr>
                    <w:widowControl/>
                    <w:wordWrap w:val="0"/>
                    <w:autoSpaceDE w:val="0"/>
                    <w:autoSpaceDN w:val="0"/>
                    <w:adjustRightInd w:val="0"/>
                    <w:snapToGrid w:val="0"/>
                    <w:jc w:val="center"/>
                    <w:textAlignment w:val="baseline"/>
                    <w:rPr>
                      <w:szCs w:val="21"/>
                    </w:rPr>
                  </w:pPr>
                  <w:r>
                    <w:rPr>
                      <w:rFonts w:hint="eastAsia"/>
                      <w:szCs w:val="21"/>
                    </w:rPr>
                    <w:t>10.0</w:t>
                  </w:r>
                </w:p>
              </w:tc>
            </w:tr>
            <w:tr w14:paraId="7AB70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286" w:type="pct"/>
                  <w:gridSpan w:val="3"/>
                  <w:tcBorders>
                    <w:tl2br w:val="nil"/>
                    <w:tr2bl w:val="nil"/>
                  </w:tcBorders>
                  <w:vAlign w:val="center"/>
                </w:tcPr>
                <w:p w14:paraId="69B9A31A">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生态环境</w:t>
                  </w:r>
                </w:p>
              </w:tc>
              <w:tc>
                <w:tcPr>
                  <w:tcW w:w="3308" w:type="pct"/>
                  <w:tcBorders>
                    <w:tl2br w:val="nil"/>
                    <w:tr2bl w:val="nil"/>
                  </w:tcBorders>
                  <w:vAlign w:val="center"/>
                </w:tcPr>
                <w:p w14:paraId="11B2FBC2">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转运站布设绿化带，植草植树。</w:t>
                  </w:r>
                </w:p>
              </w:tc>
              <w:tc>
                <w:tcPr>
                  <w:tcW w:w="404" w:type="pct"/>
                  <w:tcBorders>
                    <w:tl2br w:val="nil"/>
                    <w:tr2bl w:val="nil"/>
                  </w:tcBorders>
                  <w:vAlign w:val="center"/>
                </w:tcPr>
                <w:p w14:paraId="1A70F6C1">
                  <w:pPr>
                    <w:pStyle w:val="83"/>
                    <w:widowControl/>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计入主体投资</w:t>
                  </w:r>
                </w:p>
              </w:tc>
            </w:tr>
            <w:tr w14:paraId="75869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286" w:type="pct"/>
                  <w:gridSpan w:val="3"/>
                  <w:tcBorders>
                    <w:tl2br w:val="nil"/>
                    <w:tr2bl w:val="nil"/>
                  </w:tcBorders>
                  <w:vAlign w:val="center"/>
                </w:tcPr>
                <w:p w14:paraId="5A02F1D4">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环保制度及应急预案</w:t>
                  </w:r>
                </w:p>
              </w:tc>
              <w:tc>
                <w:tcPr>
                  <w:tcW w:w="3308" w:type="pct"/>
                  <w:tcBorders>
                    <w:tl2br w:val="nil"/>
                    <w:tr2bl w:val="nil"/>
                  </w:tcBorders>
                  <w:vAlign w:val="center"/>
                </w:tcPr>
                <w:p w14:paraId="3E04294F">
                  <w:pPr>
                    <w:pStyle w:val="83"/>
                    <w:widowControl/>
                    <w:wordWrap w:val="0"/>
                    <w:autoSpaceDE w:val="0"/>
                    <w:autoSpaceDN w:val="0"/>
                    <w:adjustRightInd w:val="0"/>
                    <w:snapToGrid w:val="0"/>
                    <w:jc w:val="center"/>
                    <w:textAlignment w:val="baseline"/>
                    <w:rPr>
                      <w:rFonts w:ascii="Times New Roman" w:hAnsi="Times New Roman"/>
                      <w:sz w:val="21"/>
                      <w:szCs w:val="21"/>
                      <w:lang w:eastAsia="zh-CN"/>
                    </w:rPr>
                  </w:pPr>
                  <w:r>
                    <w:rPr>
                      <w:rFonts w:ascii="Times New Roman" w:hAnsi="Times New Roman"/>
                      <w:sz w:val="21"/>
                      <w:szCs w:val="21"/>
                      <w:lang w:eastAsia="zh-CN"/>
                    </w:rPr>
                    <w:t>制定环境保护管理制度，并制度张贴上墙；制定环境风险应急预案。</w:t>
                  </w:r>
                </w:p>
              </w:tc>
              <w:tc>
                <w:tcPr>
                  <w:tcW w:w="404" w:type="pct"/>
                  <w:tcBorders>
                    <w:tl2br w:val="nil"/>
                    <w:tr2bl w:val="nil"/>
                  </w:tcBorders>
                  <w:vAlign w:val="center"/>
                </w:tcPr>
                <w:p w14:paraId="40B186A1">
                  <w:pPr>
                    <w:widowControl/>
                    <w:autoSpaceDE w:val="0"/>
                    <w:autoSpaceDN w:val="0"/>
                    <w:adjustRightInd w:val="0"/>
                    <w:snapToGrid w:val="0"/>
                    <w:jc w:val="center"/>
                    <w:textAlignment w:val="baseline"/>
                    <w:rPr>
                      <w:szCs w:val="21"/>
                    </w:rPr>
                  </w:pPr>
                  <w:r>
                    <w:rPr>
                      <w:rFonts w:hint="eastAsia"/>
                      <w:szCs w:val="21"/>
                    </w:rPr>
                    <w:t>5.0</w:t>
                  </w:r>
                </w:p>
              </w:tc>
            </w:tr>
            <w:tr w14:paraId="65461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286" w:type="pct"/>
                  <w:gridSpan w:val="3"/>
                  <w:tcBorders>
                    <w:tl2br w:val="nil"/>
                    <w:tr2bl w:val="nil"/>
                  </w:tcBorders>
                  <w:vAlign w:val="center"/>
                </w:tcPr>
                <w:p w14:paraId="47E387FC">
                  <w:pPr>
                    <w:pStyle w:val="83"/>
                    <w:widowControl/>
                    <w:wordWrap w:val="0"/>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地下水及土壤</w:t>
                  </w:r>
                </w:p>
              </w:tc>
              <w:tc>
                <w:tcPr>
                  <w:tcW w:w="3308" w:type="pct"/>
                  <w:tcBorders>
                    <w:tl2br w:val="nil"/>
                    <w:tr2bl w:val="nil"/>
                  </w:tcBorders>
                  <w:vAlign w:val="center"/>
                </w:tcPr>
                <w:p w14:paraId="7EE49F17">
                  <w:pPr>
                    <w:pStyle w:val="83"/>
                    <w:widowControl/>
                    <w:wordWrap w:val="0"/>
                    <w:autoSpaceDE w:val="0"/>
                    <w:autoSpaceDN w:val="0"/>
                    <w:adjustRightInd w:val="0"/>
                    <w:snapToGrid w:val="0"/>
                    <w:ind w:firstLine="6"/>
                    <w:jc w:val="left"/>
                    <w:textAlignment w:val="baseline"/>
                    <w:rPr>
                      <w:rFonts w:ascii="Times New Roman" w:hAnsi="Times New Roman"/>
                      <w:sz w:val="21"/>
                      <w:szCs w:val="21"/>
                      <w:lang w:eastAsia="zh-CN"/>
                    </w:rPr>
                  </w:pPr>
                  <w:r>
                    <w:rPr>
                      <w:rFonts w:hint="eastAsia" w:ascii="Times New Roman" w:hAnsi="Times New Roman"/>
                      <w:sz w:val="21"/>
                      <w:szCs w:val="21"/>
                      <w:lang w:eastAsia="zh-CN"/>
                    </w:rPr>
                    <w:t>重点防渗区：危废暂存间采取防渗混凝土+2mm厚环氧树脂地坪漆进行防渗，并设置金属托盘，危废分类存于金属托盘内，防渗层渗透系数≤10～</w:t>
                  </w:r>
                  <w:r>
                    <w:rPr>
                      <w:rFonts w:hint="eastAsia" w:ascii="Times New Roman" w:hAnsi="Times New Roman"/>
                      <w:sz w:val="21"/>
                      <w:szCs w:val="21"/>
                      <w:vertAlign w:val="superscript"/>
                      <w:lang w:eastAsia="zh-CN"/>
                    </w:rPr>
                    <w:t>10</w:t>
                  </w:r>
                  <w:r>
                    <w:rPr>
                      <w:rFonts w:hint="eastAsia" w:ascii="Times New Roman" w:hAnsi="Times New Roman"/>
                      <w:sz w:val="21"/>
                      <w:szCs w:val="21"/>
                      <w:lang w:eastAsia="zh-CN"/>
                    </w:rPr>
                    <w:t>cm/s的要求；压缩车间、卸料平台、污水处理构筑物、柴油发电机房防渗层达到等效黏土防渗层Mb≥6.0m，防渗层渗透系数≤10～</w:t>
                  </w:r>
                  <w:r>
                    <w:rPr>
                      <w:rFonts w:hint="eastAsia" w:ascii="Times New Roman" w:hAnsi="Times New Roman"/>
                      <w:sz w:val="21"/>
                      <w:szCs w:val="21"/>
                      <w:vertAlign w:val="superscript"/>
                      <w:lang w:eastAsia="zh-CN"/>
                    </w:rPr>
                    <w:t>7</w:t>
                  </w:r>
                  <w:r>
                    <w:rPr>
                      <w:rFonts w:hint="eastAsia" w:ascii="Times New Roman" w:hAnsi="Times New Roman"/>
                      <w:sz w:val="21"/>
                      <w:szCs w:val="21"/>
                      <w:lang w:eastAsia="zh-CN"/>
                    </w:rPr>
                    <w:t>cm/s的要求。</w:t>
                  </w:r>
                </w:p>
                <w:p w14:paraId="23B83FAD">
                  <w:pPr>
                    <w:pStyle w:val="83"/>
                    <w:widowControl/>
                    <w:wordWrap w:val="0"/>
                    <w:autoSpaceDE w:val="0"/>
                    <w:autoSpaceDN w:val="0"/>
                    <w:adjustRightInd w:val="0"/>
                    <w:snapToGrid w:val="0"/>
                    <w:ind w:firstLine="6"/>
                    <w:jc w:val="left"/>
                    <w:textAlignment w:val="baseline"/>
                    <w:rPr>
                      <w:rFonts w:ascii="Times New Roman" w:hAnsi="Times New Roman"/>
                      <w:sz w:val="21"/>
                      <w:szCs w:val="21"/>
                      <w:lang w:eastAsia="zh-CN"/>
                    </w:rPr>
                  </w:pPr>
                  <w:r>
                    <w:rPr>
                      <w:rFonts w:hint="eastAsia" w:ascii="Times New Roman" w:hAnsi="Times New Roman"/>
                      <w:sz w:val="21"/>
                      <w:szCs w:val="21"/>
                      <w:lang w:eastAsia="zh-CN"/>
                    </w:rPr>
                    <w:t>一般防渗区：化粪池、一般固废暂存区、洗车区采取防渗混凝土结构进行一般防渗，确保等效粘土防渗层Mb≥1.5m，防渗层渗透系数≤10～</w:t>
                  </w:r>
                  <w:r>
                    <w:rPr>
                      <w:rFonts w:hint="eastAsia" w:ascii="Times New Roman" w:hAnsi="Times New Roman"/>
                      <w:sz w:val="21"/>
                      <w:szCs w:val="21"/>
                      <w:vertAlign w:val="superscript"/>
                      <w:lang w:eastAsia="zh-CN"/>
                    </w:rPr>
                    <w:t>7</w:t>
                  </w:r>
                  <w:r>
                    <w:rPr>
                      <w:rFonts w:hint="eastAsia" w:ascii="Times New Roman" w:hAnsi="Times New Roman"/>
                      <w:sz w:val="21"/>
                      <w:szCs w:val="21"/>
                      <w:lang w:eastAsia="zh-CN"/>
                    </w:rPr>
                    <w:t>cm/s。</w:t>
                  </w:r>
                </w:p>
                <w:p w14:paraId="6E6F8F4F">
                  <w:pPr>
                    <w:pStyle w:val="83"/>
                    <w:widowControl/>
                    <w:wordWrap w:val="0"/>
                    <w:autoSpaceDE w:val="0"/>
                    <w:autoSpaceDN w:val="0"/>
                    <w:adjustRightInd w:val="0"/>
                    <w:snapToGrid w:val="0"/>
                    <w:ind w:firstLine="6"/>
                    <w:jc w:val="left"/>
                    <w:textAlignment w:val="baseline"/>
                    <w:rPr>
                      <w:rFonts w:ascii="Times New Roman" w:hAnsi="Times New Roman"/>
                      <w:sz w:val="21"/>
                      <w:szCs w:val="21"/>
                      <w:lang w:eastAsia="zh-CN"/>
                    </w:rPr>
                  </w:pPr>
                  <w:r>
                    <w:rPr>
                      <w:rFonts w:hint="eastAsia" w:ascii="Times New Roman" w:hAnsi="Times New Roman"/>
                      <w:sz w:val="21"/>
                      <w:szCs w:val="21"/>
                      <w:lang w:eastAsia="zh-CN"/>
                    </w:rPr>
                    <w:t>简单防渗区：除重点防渗和一般防渗外的其他区域采取一般地面硬化。</w:t>
                  </w:r>
                </w:p>
              </w:tc>
              <w:tc>
                <w:tcPr>
                  <w:tcW w:w="404" w:type="pct"/>
                  <w:tcBorders>
                    <w:tl2br w:val="nil"/>
                    <w:tr2bl w:val="nil"/>
                  </w:tcBorders>
                  <w:vAlign w:val="center"/>
                </w:tcPr>
                <w:p w14:paraId="48D9C422">
                  <w:pPr>
                    <w:widowControl/>
                    <w:autoSpaceDE w:val="0"/>
                    <w:autoSpaceDN w:val="0"/>
                    <w:adjustRightInd w:val="0"/>
                    <w:snapToGrid w:val="0"/>
                    <w:jc w:val="center"/>
                    <w:textAlignment w:val="baseline"/>
                    <w:rPr>
                      <w:szCs w:val="21"/>
                    </w:rPr>
                  </w:pPr>
                  <w:r>
                    <w:rPr>
                      <w:rFonts w:hint="eastAsia"/>
                      <w:szCs w:val="21"/>
                    </w:rPr>
                    <w:t>10.0</w:t>
                  </w:r>
                </w:p>
              </w:tc>
            </w:tr>
            <w:tr w14:paraId="1AF5E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4595" w:type="pct"/>
                  <w:gridSpan w:val="4"/>
                  <w:tcBorders>
                    <w:tl2br w:val="nil"/>
                    <w:tr2bl w:val="nil"/>
                  </w:tcBorders>
                  <w:vAlign w:val="center"/>
                </w:tcPr>
                <w:p w14:paraId="4E148468">
                  <w:pPr>
                    <w:pStyle w:val="83"/>
                    <w:widowControl/>
                    <w:autoSpaceDE w:val="0"/>
                    <w:autoSpaceDN w:val="0"/>
                    <w:adjustRightInd w:val="0"/>
                    <w:snapToGrid w:val="0"/>
                    <w:jc w:val="center"/>
                    <w:textAlignment w:val="baseline"/>
                    <w:rPr>
                      <w:rFonts w:ascii="Times New Roman" w:hAnsi="Times New Roman"/>
                      <w:sz w:val="21"/>
                      <w:szCs w:val="21"/>
                    </w:rPr>
                  </w:pPr>
                  <w:r>
                    <w:rPr>
                      <w:rFonts w:ascii="Times New Roman" w:hAnsi="Times New Roman"/>
                      <w:sz w:val="21"/>
                      <w:szCs w:val="21"/>
                    </w:rPr>
                    <w:t>合计</w:t>
                  </w:r>
                </w:p>
              </w:tc>
              <w:tc>
                <w:tcPr>
                  <w:tcW w:w="404" w:type="pct"/>
                  <w:tcBorders>
                    <w:tl2br w:val="nil"/>
                    <w:tr2bl w:val="nil"/>
                  </w:tcBorders>
                  <w:vAlign w:val="center"/>
                </w:tcPr>
                <w:p w14:paraId="04285949">
                  <w:pPr>
                    <w:widowControl/>
                    <w:autoSpaceDE w:val="0"/>
                    <w:autoSpaceDN w:val="0"/>
                    <w:adjustRightInd w:val="0"/>
                    <w:snapToGrid w:val="0"/>
                    <w:jc w:val="center"/>
                    <w:textAlignment w:val="baseline"/>
                    <w:rPr>
                      <w:szCs w:val="21"/>
                    </w:rPr>
                  </w:pPr>
                  <w:r>
                    <w:rPr>
                      <w:rFonts w:hint="eastAsia"/>
                      <w:szCs w:val="21"/>
                    </w:rPr>
                    <w:t>373.3</w:t>
                  </w:r>
                </w:p>
              </w:tc>
            </w:tr>
          </w:tbl>
          <w:p w14:paraId="67C312CD">
            <w:pPr>
              <w:widowControl/>
              <w:spacing w:line="360" w:lineRule="auto"/>
              <w:jc w:val="left"/>
              <w:rPr>
                <w:rFonts w:hint="eastAsia" w:ascii="宋体" w:hAnsi="宋体" w:cs="宋体"/>
                <w:b/>
                <w:bCs/>
                <w:color w:val="000000"/>
                <w:kern w:val="0"/>
                <w:sz w:val="24"/>
                <w:lang w:bidi="ar"/>
              </w:rPr>
            </w:pPr>
          </w:p>
        </w:tc>
      </w:tr>
    </w:tbl>
    <w:p w14:paraId="5E0E8395">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14:paraId="6DDAE21D">
      <w:pPr>
        <w:pStyle w:val="24"/>
        <w:jc w:val="center"/>
        <w:outlineLvl w:val="0"/>
        <w:rPr>
          <w:rFonts w:hint="eastAsia"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27"/>
        <w:tblW w:w="93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70"/>
        <w:gridCol w:w="1140"/>
        <w:gridCol w:w="3477"/>
        <w:gridCol w:w="2103"/>
      </w:tblGrid>
      <w:tr w14:paraId="66CB2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tcBorders>
              <w:tl2br w:val="single" w:color="auto" w:sz="4" w:space="0"/>
            </w:tcBorders>
          </w:tcPr>
          <w:p w14:paraId="01215D76">
            <w:pPr>
              <w:adjustRightInd w:val="0"/>
              <w:snapToGrid w:val="0"/>
              <w:ind w:firstLine="420" w:firstLineChars="200"/>
              <w:rPr>
                <w:rFonts w:hint="eastAsia" w:ascii="宋体" w:hAnsi="宋体" w:cs="宋体"/>
                <w:szCs w:val="21"/>
              </w:rPr>
            </w:pPr>
            <w:r>
              <w:rPr>
                <w:rFonts w:hint="eastAsia" w:ascii="宋体" w:hAnsi="宋体" w:cs="宋体"/>
                <w:szCs w:val="21"/>
              </w:rPr>
              <w:t>内容</w:t>
            </w:r>
          </w:p>
          <w:p w14:paraId="780B3322">
            <w:pPr>
              <w:adjustRightInd w:val="0"/>
              <w:snapToGrid w:val="0"/>
              <w:rPr>
                <w:rFonts w:hint="eastAsia" w:ascii="宋体" w:hAnsi="宋体" w:cs="宋体"/>
                <w:szCs w:val="21"/>
              </w:rPr>
            </w:pPr>
            <w:r>
              <w:rPr>
                <w:rFonts w:hint="eastAsia" w:ascii="宋体" w:hAnsi="宋体" w:cs="宋体"/>
                <w:szCs w:val="21"/>
              </w:rPr>
              <w:t>要素</w:t>
            </w:r>
          </w:p>
        </w:tc>
        <w:tc>
          <w:tcPr>
            <w:tcW w:w="1470" w:type="dxa"/>
            <w:vAlign w:val="center"/>
          </w:tcPr>
          <w:p w14:paraId="60B59331">
            <w:pPr>
              <w:adjustRightInd w:val="0"/>
              <w:snapToGrid w:val="0"/>
              <w:jc w:val="center"/>
              <w:rPr>
                <w:rFonts w:hint="eastAsia" w:ascii="宋体" w:hAnsi="宋体" w:cs="宋体"/>
                <w:szCs w:val="21"/>
              </w:rPr>
            </w:pPr>
            <w:r>
              <w:rPr>
                <w:rFonts w:hint="eastAsia" w:ascii="宋体" w:hAnsi="宋体" w:cs="宋体"/>
                <w:szCs w:val="21"/>
              </w:rPr>
              <w:t>排放口（编号、名称）/污染源</w:t>
            </w:r>
          </w:p>
        </w:tc>
        <w:tc>
          <w:tcPr>
            <w:tcW w:w="1140" w:type="dxa"/>
            <w:vAlign w:val="center"/>
          </w:tcPr>
          <w:p w14:paraId="30DC9D23">
            <w:pPr>
              <w:adjustRightInd w:val="0"/>
              <w:snapToGrid w:val="0"/>
              <w:jc w:val="center"/>
              <w:rPr>
                <w:rFonts w:hint="eastAsia" w:ascii="宋体" w:hAnsi="宋体" w:cs="宋体"/>
                <w:szCs w:val="21"/>
              </w:rPr>
            </w:pPr>
            <w:r>
              <w:rPr>
                <w:rFonts w:hint="eastAsia" w:ascii="宋体" w:hAnsi="宋体" w:cs="宋体"/>
                <w:szCs w:val="21"/>
              </w:rPr>
              <w:t>污染物项目</w:t>
            </w:r>
          </w:p>
        </w:tc>
        <w:tc>
          <w:tcPr>
            <w:tcW w:w="3477" w:type="dxa"/>
            <w:vAlign w:val="center"/>
          </w:tcPr>
          <w:p w14:paraId="1A85157E">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103" w:type="dxa"/>
            <w:vAlign w:val="center"/>
          </w:tcPr>
          <w:p w14:paraId="7E964B13">
            <w:pPr>
              <w:adjustRightInd w:val="0"/>
              <w:snapToGrid w:val="0"/>
              <w:jc w:val="center"/>
              <w:rPr>
                <w:rFonts w:hint="eastAsia" w:ascii="宋体" w:hAnsi="宋体" w:cs="宋体"/>
                <w:szCs w:val="21"/>
              </w:rPr>
            </w:pPr>
            <w:r>
              <w:rPr>
                <w:rFonts w:hint="eastAsia" w:ascii="宋体" w:hAnsi="宋体" w:cs="宋体"/>
                <w:szCs w:val="21"/>
              </w:rPr>
              <w:t>执行标准</w:t>
            </w:r>
          </w:p>
        </w:tc>
      </w:tr>
      <w:tr w14:paraId="5CB6B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vAlign w:val="center"/>
          </w:tcPr>
          <w:p w14:paraId="1A0962BB">
            <w:pPr>
              <w:adjustRightInd w:val="0"/>
              <w:snapToGrid w:val="0"/>
              <w:jc w:val="center"/>
              <w:rPr>
                <w:rFonts w:hint="eastAsia" w:ascii="宋体" w:hAnsi="宋体" w:cs="宋体"/>
                <w:szCs w:val="21"/>
              </w:rPr>
            </w:pPr>
            <w:r>
              <w:rPr>
                <w:rFonts w:hint="eastAsia" w:ascii="宋体" w:hAnsi="宋体" w:cs="宋体"/>
                <w:szCs w:val="21"/>
              </w:rPr>
              <w:t>大气环境</w:t>
            </w:r>
          </w:p>
        </w:tc>
        <w:tc>
          <w:tcPr>
            <w:tcW w:w="1470" w:type="dxa"/>
            <w:vAlign w:val="center"/>
          </w:tcPr>
          <w:p w14:paraId="751D6337">
            <w:pPr>
              <w:adjustRightInd w:val="0"/>
              <w:snapToGrid w:val="0"/>
              <w:jc w:val="center"/>
              <w:rPr>
                <w:szCs w:val="21"/>
                <w:lang w:bidi="ar"/>
              </w:rPr>
            </w:pPr>
            <w:r>
              <w:rPr>
                <w:rFonts w:hint="eastAsia"/>
                <w:szCs w:val="21"/>
                <w:lang w:bidi="ar"/>
              </w:rPr>
              <w:t>DA001、垃圾转运站废气排放口，卸料、压缩、废水处理过程产生的废气</w:t>
            </w:r>
          </w:p>
        </w:tc>
        <w:tc>
          <w:tcPr>
            <w:tcW w:w="1140" w:type="dxa"/>
            <w:vAlign w:val="center"/>
          </w:tcPr>
          <w:p w14:paraId="03743988">
            <w:pPr>
              <w:adjustRightInd w:val="0"/>
              <w:snapToGrid w:val="0"/>
              <w:jc w:val="center"/>
              <w:rPr>
                <w:szCs w:val="21"/>
                <w:lang w:bidi="ar"/>
              </w:rPr>
            </w:pPr>
            <w:r>
              <w:rPr>
                <w:rFonts w:hint="eastAsia"/>
                <w:szCs w:val="21"/>
                <w:lang w:bidi="ar"/>
              </w:rPr>
              <w:t>颗粒物、氨气、硫化氢、臭气浓度</w:t>
            </w:r>
          </w:p>
        </w:tc>
        <w:tc>
          <w:tcPr>
            <w:tcW w:w="3477" w:type="dxa"/>
            <w:vAlign w:val="center"/>
          </w:tcPr>
          <w:p w14:paraId="1CCFD653">
            <w:pPr>
              <w:adjustRightInd w:val="0"/>
              <w:snapToGrid w:val="0"/>
              <w:jc w:val="center"/>
              <w:rPr>
                <w:szCs w:val="21"/>
                <w:lang w:bidi="ar"/>
              </w:rPr>
            </w:pPr>
            <w:r>
              <w:rPr>
                <w:rFonts w:hint="eastAsia"/>
                <w:szCs w:val="21"/>
                <w:lang w:bidi="ar"/>
              </w:rPr>
              <w:t>封闭垃圾压缩车间+负压抽风系统，车间臭气收集后通过喷淋除尘除臭处理，最后通过15m高排气筒排放。</w:t>
            </w:r>
          </w:p>
        </w:tc>
        <w:tc>
          <w:tcPr>
            <w:tcW w:w="2103" w:type="dxa"/>
            <w:vMerge w:val="restart"/>
            <w:vAlign w:val="center"/>
          </w:tcPr>
          <w:p w14:paraId="6C5DDF4E">
            <w:pPr>
              <w:wordWrap w:val="0"/>
              <w:adjustRightInd w:val="0"/>
              <w:snapToGrid w:val="0"/>
              <w:jc w:val="center"/>
              <w:rPr>
                <w:sz w:val="24"/>
              </w:rPr>
            </w:pPr>
            <w:r>
              <w:rPr>
                <w:rFonts w:hint="eastAsia"/>
                <w:sz w:val="24"/>
              </w:rPr>
              <w:t>恶臭污染物排放执行《恶臭污染物排放标准》（GB14554-93）中</w:t>
            </w:r>
          </w:p>
          <w:p w14:paraId="684C932B">
            <w:pPr>
              <w:wordWrap w:val="0"/>
              <w:adjustRightInd w:val="0"/>
              <w:snapToGrid w:val="0"/>
              <w:jc w:val="center"/>
              <w:rPr>
                <w:szCs w:val="21"/>
              </w:rPr>
            </w:pPr>
            <w:r>
              <w:rPr>
                <w:rFonts w:hint="eastAsia"/>
                <w:sz w:val="24"/>
                <w:lang w:eastAsia="zh-CN"/>
              </w:rPr>
              <w:t>表</w:t>
            </w:r>
            <w:r>
              <w:rPr>
                <w:rFonts w:hint="eastAsia"/>
                <w:sz w:val="24"/>
              </w:rPr>
              <w:t>1 恶臭污染物厂界标准值和表2恶臭污染物排放标准值；颗粒物排放执行《大气污染物综合排放标准》（GB16297-1996</w:t>
            </w:r>
          </w:p>
        </w:tc>
      </w:tr>
      <w:tr w14:paraId="43436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69C09554">
            <w:pPr>
              <w:adjustRightInd w:val="0"/>
              <w:snapToGrid w:val="0"/>
              <w:jc w:val="center"/>
              <w:rPr>
                <w:rFonts w:hint="eastAsia" w:ascii="宋体" w:hAnsi="宋体" w:cs="宋体"/>
                <w:szCs w:val="21"/>
              </w:rPr>
            </w:pPr>
          </w:p>
        </w:tc>
        <w:tc>
          <w:tcPr>
            <w:tcW w:w="1470" w:type="dxa"/>
            <w:vAlign w:val="center"/>
          </w:tcPr>
          <w:p w14:paraId="1C2D9F98">
            <w:pPr>
              <w:adjustRightInd w:val="0"/>
              <w:snapToGrid w:val="0"/>
              <w:jc w:val="center"/>
              <w:rPr>
                <w:szCs w:val="21"/>
                <w:lang w:bidi="ar"/>
              </w:rPr>
            </w:pPr>
            <w:r>
              <w:rPr>
                <w:rFonts w:hint="eastAsia"/>
                <w:szCs w:val="21"/>
                <w:lang w:bidi="ar"/>
              </w:rPr>
              <w:t>厂界无组织</w:t>
            </w:r>
          </w:p>
        </w:tc>
        <w:tc>
          <w:tcPr>
            <w:tcW w:w="1140" w:type="dxa"/>
            <w:vAlign w:val="center"/>
          </w:tcPr>
          <w:p w14:paraId="1D504929">
            <w:pPr>
              <w:adjustRightInd w:val="0"/>
              <w:snapToGrid w:val="0"/>
              <w:jc w:val="center"/>
              <w:rPr>
                <w:szCs w:val="21"/>
                <w:lang w:bidi="ar"/>
              </w:rPr>
            </w:pPr>
            <w:r>
              <w:rPr>
                <w:rFonts w:hint="eastAsia"/>
                <w:szCs w:val="21"/>
                <w:lang w:bidi="ar"/>
              </w:rPr>
              <w:t>颗粒物、氨气、硫化氢、臭气浓度</w:t>
            </w:r>
          </w:p>
        </w:tc>
        <w:tc>
          <w:tcPr>
            <w:tcW w:w="3477" w:type="dxa"/>
            <w:vAlign w:val="center"/>
          </w:tcPr>
          <w:p w14:paraId="2C13738D">
            <w:pPr>
              <w:adjustRightInd w:val="0"/>
              <w:snapToGrid w:val="0"/>
              <w:jc w:val="center"/>
              <w:rPr>
                <w:szCs w:val="21"/>
                <w:lang w:bidi="ar"/>
              </w:rPr>
            </w:pPr>
            <w:r>
              <w:rPr>
                <w:rFonts w:hint="eastAsia"/>
                <w:szCs w:val="21"/>
                <w:lang w:bidi="ar"/>
              </w:rPr>
              <w:t>空间喷淋除臭系统、场站喷洒除臭剂与灭蚊蝇药剂，加强绿化。</w:t>
            </w:r>
          </w:p>
        </w:tc>
        <w:tc>
          <w:tcPr>
            <w:tcW w:w="2103" w:type="dxa"/>
            <w:vMerge w:val="continue"/>
            <w:vAlign w:val="center"/>
          </w:tcPr>
          <w:p w14:paraId="0144B0E8">
            <w:pPr>
              <w:wordWrap w:val="0"/>
              <w:adjustRightInd w:val="0"/>
              <w:snapToGrid w:val="0"/>
              <w:jc w:val="center"/>
              <w:rPr>
                <w:sz w:val="24"/>
              </w:rPr>
            </w:pPr>
          </w:p>
        </w:tc>
      </w:tr>
      <w:tr w14:paraId="15921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0D0A027B">
            <w:pPr>
              <w:adjustRightInd w:val="0"/>
              <w:snapToGrid w:val="0"/>
              <w:jc w:val="center"/>
              <w:rPr>
                <w:rFonts w:hint="eastAsia" w:ascii="宋体" w:hAnsi="宋体" w:cs="宋体"/>
                <w:szCs w:val="21"/>
              </w:rPr>
            </w:pPr>
          </w:p>
        </w:tc>
        <w:tc>
          <w:tcPr>
            <w:tcW w:w="1470" w:type="dxa"/>
            <w:vAlign w:val="center"/>
          </w:tcPr>
          <w:p w14:paraId="540DD2F1">
            <w:pPr>
              <w:adjustRightInd w:val="0"/>
              <w:snapToGrid w:val="0"/>
              <w:jc w:val="center"/>
              <w:rPr>
                <w:szCs w:val="21"/>
                <w:lang w:bidi="ar"/>
              </w:rPr>
            </w:pPr>
            <w:r>
              <w:rPr>
                <w:rFonts w:hint="eastAsia"/>
                <w:szCs w:val="21"/>
                <w:lang w:bidi="ar"/>
              </w:rPr>
              <w:t>汽车尾气</w:t>
            </w:r>
          </w:p>
        </w:tc>
        <w:tc>
          <w:tcPr>
            <w:tcW w:w="1140" w:type="dxa"/>
            <w:vAlign w:val="center"/>
          </w:tcPr>
          <w:p w14:paraId="3162527A">
            <w:pPr>
              <w:jc w:val="center"/>
            </w:pPr>
            <w:r>
              <w:rPr>
                <w:szCs w:val="21"/>
              </w:rPr>
              <w:t>CO、NOx、TSP</w:t>
            </w:r>
            <w:r>
              <w:rPr>
                <w:rFonts w:hint="eastAsia"/>
                <w:szCs w:val="21"/>
              </w:rPr>
              <w:t>、THC</w:t>
            </w:r>
          </w:p>
        </w:tc>
        <w:tc>
          <w:tcPr>
            <w:tcW w:w="3477" w:type="dxa"/>
            <w:vAlign w:val="center"/>
          </w:tcPr>
          <w:p w14:paraId="2402CD84">
            <w:pPr>
              <w:widowControl/>
              <w:jc w:val="center"/>
              <w:rPr>
                <w:kern w:val="0"/>
                <w:szCs w:val="21"/>
                <w:lang w:bidi="ar"/>
              </w:rPr>
            </w:pPr>
            <w:r>
              <w:rPr>
                <w:szCs w:val="21"/>
              </w:rPr>
              <w:t>汽车尾气产生量较小，通过自然扩散，对环境影响较小</w:t>
            </w:r>
          </w:p>
        </w:tc>
        <w:tc>
          <w:tcPr>
            <w:tcW w:w="2103" w:type="dxa"/>
            <w:vAlign w:val="center"/>
          </w:tcPr>
          <w:p w14:paraId="1A930777">
            <w:pPr>
              <w:adjustRightInd w:val="0"/>
              <w:snapToGrid w:val="0"/>
              <w:jc w:val="center"/>
              <w:rPr>
                <w:color w:val="000000"/>
                <w:kern w:val="0"/>
                <w:szCs w:val="21"/>
                <w:lang w:bidi="ar"/>
              </w:rPr>
            </w:pPr>
            <w:r>
              <w:rPr>
                <w:rFonts w:hint="eastAsia"/>
                <w:color w:val="000000"/>
                <w:kern w:val="0"/>
                <w:szCs w:val="21"/>
                <w:lang w:bidi="ar"/>
              </w:rPr>
              <w:t>/</w:t>
            </w:r>
          </w:p>
        </w:tc>
      </w:tr>
      <w:tr w14:paraId="2FF9B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1F9ABD79">
            <w:pPr>
              <w:adjustRightInd w:val="0"/>
              <w:snapToGrid w:val="0"/>
              <w:jc w:val="center"/>
              <w:rPr>
                <w:rFonts w:hint="eastAsia" w:ascii="宋体" w:hAnsi="宋体" w:cs="宋体"/>
                <w:szCs w:val="21"/>
              </w:rPr>
            </w:pPr>
          </w:p>
        </w:tc>
        <w:tc>
          <w:tcPr>
            <w:tcW w:w="1470" w:type="dxa"/>
            <w:vAlign w:val="center"/>
          </w:tcPr>
          <w:p w14:paraId="0E638541">
            <w:pPr>
              <w:adjustRightInd w:val="0"/>
              <w:snapToGrid w:val="0"/>
              <w:jc w:val="center"/>
              <w:rPr>
                <w:szCs w:val="21"/>
                <w:lang w:bidi="ar"/>
              </w:rPr>
            </w:pPr>
            <w:r>
              <w:rPr>
                <w:rFonts w:hint="eastAsia"/>
                <w:szCs w:val="21"/>
                <w:lang w:bidi="ar"/>
              </w:rPr>
              <w:t>柴油发电机废气</w:t>
            </w:r>
          </w:p>
        </w:tc>
        <w:tc>
          <w:tcPr>
            <w:tcW w:w="1140" w:type="dxa"/>
            <w:vAlign w:val="center"/>
          </w:tcPr>
          <w:p w14:paraId="1AFBCE3B">
            <w:pPr>
              <w:jc w:val="center"/>
            </w:pPr>
            <w:r>
              <w:t>烟尘、CO</w:t>
            </w:r>
            <w:r>
              <w:rPr>
                <w:vertAlign w:val="subscript"/>
              </w:rPr>
              <w:t>2</w:t>
            </w:r>
            <w:r>
              <w:t>、CO、NOx、SO</w:t>
            </w:r>
            <w:r>
              <w:rPr>
                <w:vertAlign w:val="subscript"/>
              </w:rPr>
              <w:t>2</w:t>
            </w:r>
          </w:p>
        </w:tc>
        <w:tc>
          <w:tcPr>
            <w:tcW w:w="3477" w:type="dxa"/>
            <w:vAlign w:val="center"/>
          </w:tcPr>
          <w:p w14:paraId="49236914">
            <w:pPr>
              <w:widowControl/>
              <w:jc w:val="center"/>
              <w:rPr>
                <w:kern w:val="0"/>
                <w:szCs w:val="21"/>
                <w:lang w:bidi="ar"/>
              </w:rPr>
            </w:pPr>
            <w:r>
              <w:rPr>
                <w:kern w:val="0"/>
                <w:szCs w:val="21"/>
                <w:lang w:bidi="ar"/>
              </w:rPr>
              <w:t>采用机械送、排风的形式保持良好的通风性，柴油发电机排放的废气</w:t>
            </w:r>
            <w:r>
              <w:rPr>
                <w:szCs w:val="21"/>
              </w:rPr>
              <w:t>通过设备自带的消烟除尘装置处理后</w:t>
            </w:r>
            <w:r>
              <w:rPr>
                <w:rFonts w:hint="eastAsia"/>
                <w:szCs w:val="21"/>
              </w:rPr>
              <w:t>经</w:t>
            </w:r>
            <w:r>
              <w:rPr>
                <w:kern w:val="0"/>
                <w:szCs w:val="21"/>
                <w:lang w:bidi="ar"/>
              </w:rPr>
              <w:t>抽风机抽至地面排风口处排放</w:t>
            </w:r>
          </w:p>
        </w:tc>
        <w:tc>
          <w:tcPr>
            <w:tcW w:w="2103" w:type="dxa"/>
            <w:vAlign w:val="center"/>
          </w:tcPr>
          <w:p w14:paraId="6E82EE38">
            <w:pPr>
              <w:adjustRightInd w:val="0"/>
              <w:snapToGrid w:val="0"/>
              <w:jc w:val="center"/>
              <w:rPr>
                <w:color w:val="000000"/>
                <w:kern w:val="0"/>
                <w:szCs w:val="21"/>
                <w:lang w:bidi="ar"/>
              </w:rPr>
            </w:pPr>
            <w:r>
              <w:rPr>
                <w:rFonts w:hint="eastAsia"/>
                <w:color w:val="000000"/>
                <w:kern w:val="0"/>
                <w:szCs w:val="21"/>
                <w:lang w:bidi="ar"/>
              </w:rPr>
              <w:t>/</w:t>
            </w:r>
          </w:p>
        </w:tc>
      </w:tr>
      <w:tr w14:paraId="5A71A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vAlign w:val="center"/>
          </w:tcPr>
          <w:p w14:paraId="1B1D4E68">
            <w:pPr>
              <w:adjustRightInd w:val="0"/>
              <w:snapToGrid w:val="0"/>
              <w:jc w:val="center"/>
              <w:rPr>
                <w:rFonts w:hint="eastAsia" w:ascii="宋体" w:hAnsi="宋体" w:cs="宋体"/>
                <w:szCs w:val="21"/>
              </w:rPr>
            </w:pPr>
            <w:r>
              <w:rPr>
                <w:rFonts w:hint="eastAsia" w:ascii="宋体" w:hAnsi="宋体" w:cs="宋体"/>
                <w:szCs w:val="21"/>
              </w:rPr>
              <w:t>地表水环境</w:t>
            </w:r>
          </w:p>
        </w:tc>
        <w:tc>
          <w:tcPr>
            <w:tcW w:w="1470" w:type="dxa"/>
            <w:vAlign w:val="center"/>
          </w:tcPr>
          <w:p w14:paraId="4E559EE2">
            <w:pPr>
              <w:adjustRightInd w:val="0"/>
              <w:snapToGrid w:val="0"/>
              <w:jc w:val="center"/>
              <w:rPr>
                <w:iCs/>
                <w:snapToGrid w:val="0"/>
                <w:kern w:val="0"/>
                <w:szCs w:val="21"/>
              </w:rPr>
            </w:pPr>
            <w:r>
              <w:rPr>
                <w:rFonts w:hint="eastAsia"/>
                <w:iCs/>
                <w:snapToGrid w:val="0"/>
                <w:kern w:val="0"/>
                <w:szCs w:val="21"/>
              </w:rPr>
              <w:t>垃圾渗滤液</w:t>
            </w:r>
          </w:p>
        </w:tc>
        <w:tc>
          <w:tcPr>
            <w:tcW w:w="1140" w:type="dxa"/>
            <w:vMerge w:val="restart"/>
            <w:vAlign w:val="center"/>
          </w:tcPr>
          <w:p w14:paraId="45BD194C">
            <w:pPr>
              <w:adjustRightInd w:val="0"/>
              <w:snapToGrid w:val="0"/>
              <w:jc w:val="center"/>
              <w:rPr>
                <w:rFonts w:hint="eastAsia" w:ascii="宋体" w:hAnsi="宋体" w:cs="宋体"/>
                <w:szCs w:val="21"/>
              </w:rPr>
            </w:pPr>
            <w:r>
              <w:rPr>
                <w:szCs w:val="21"/>
              </w:rPr>
              <w:t>COD</w:t>
            </w:r>
            <w:r>
              <w:rPr>
                <w:szCs w:val="21"/>
                <w:vertAlign w:val="subscript"/>
              </w:rPr>
              <w:t>Cr</w:t>
            </w:r>
            <w:r>
              <w:rPr>
                <w:szCs w:val="21"/>
              </w:rPr>
              <w:t>、BOD</w:t>
            </w:r>
            <w:r>
              <w:rPr>
                <w:szCs w:val="21"/>
                <w:vertAlign w:val="subscript"/>
              </w:rPr>
              <w:t>5</w:t>
            </w:r>
            <w:r>
              <w:rPr>
                <w:szCs w:val="21"/>
              </w:rPr>
              <w:t>、SS、</w:t>
            </w:r>
            <w:r>
              <w:rPr>
                <w:rFonts w:hint="eastAsia"/>
                <w:kern w:val="0"/>
                <w:szCs w:val="21"/>
              </w:rPr>
              <w:t>NH</w:t>
            </w:r>
            <w:r>
              <w:rPr>
                <w:rFonts w:hint="eastAsia"/>
                <w:kern w:val="0"/>
                <w:szCs w:val="21"/>
                <w:vertAlign w:val="subscript"/>
              </w:rPr>
              <w:t>3</w:t>
            </w:r>
            <w:r>
              <w:rPr>
                <w:rFonts w:hint="eastAsia"/>
                <w:kern w:val="0"/>
                <w:szCs w:val="21"/>
              </w:rPr>
              <w:t>-N、TP、TN</w:t>
            </w:r>
          </w:p>
        </w:tc>
        <w:tc>
          <w:tcPr>
            <w:tcW w:w="3477" w:type="dxa"/>
            <w:vMerge w:val="restart"/>
            <w:vAlign w:val="center"/>
          </w:tcPr>
          <w:p w14:paraId="0280403F">
            <w:pPr>
              <w:pStyle w:val="77"/>
              <w:adjustRightInd/>
              <w:spacing w:before="0" w:after="0"/>
              <w:rPr>
                <w:kern w:val="24"/>
                <w:szCs w:val="21"/>
              </w:rPr>
            </w:pPr>
            <w:r>
              <w:rPr>
                <w:rFonts w:hint="eastAsia"/>
              </w:rPr>
              <w:t>雨污分流，雨水经厂区雨水管网收集后，排入市政雨水管；各类冲洗废水、渗滤液、初期雨水经污水处理车间处理后与化粪池预处理后的生活污水一并纳入市政污水管网，由达州市第二城市污水处理厂处理达标后排放。</w:t>
            </w:r>
          </w:p>
        </w:tc>
        <w:tc>
          <w:tcPr>
            <w:tcW w:w="2103" w:type="dxa"/>
            <w:vMerge w:val="restart"/>
            <w:vAlign w:val="center"/>
          </w:tcPr>
          <w:p w14:paraId="0D2D56E1">
            <w:pPr>
              <w:wordWrap w:val="0"/>
              <w:adjustRightInd w:val="0"/>
              <w:snapToGrid w:val="0"/>
              <w:spacing w:line="25" w:lineRule="atLeast"/>
              <w:jc w:val="center"/>
              <w:rPr>
                <w:kern w:val="0"/>
                <w:szCs w:val="21"/>
              </w:rPr>
            </w:pPr>
            <w:r>
              <w:rPr>
                <w:rFonts w:hint="eastAsia"/>
                <w:kern w:val="0"/>
                <w:szCs w:val="21"/>
              </w:rPr>
              <w:t>《污水综合排放标准》（GB8978-1996）三级标准</w:t>
            </w:r>
          </w:p>
          <w:p w14:paraId="1F6AACBE">
            <w:pPr>
              <w:wordWrap w:val="0"/>
              <w:adjustRightInd w:val="0"/>
              <w:snapToGrid w:val="0"/>
              <w:jc w:val="center"/>
              <w:rPr>
                <w:rFonts w:hint="eastAsia" w:ascii="宋体" w:hAnsi="宋体" w:cs="宋体"/>
                <w:szCs w:val="21"/>
              </w:rPr>
            </w:pPr>
            <w:r>
              <w:rPr>
                <w:rFonts w:hint="eastAsia"/>
                <w:kern w:val="0"/>
                <w:szCs w:val="21"/>
              </w:rPr>
              <w:t>（氨氮、总磷执行《污水排入城市下水道水质标准》（GB/T31962-2015）B等级标准）</w:t>
            </w:r>
          </w:p>
        </w:tc>
      </w:tr>
      <w:tr w14:paraId="7A84F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54E9913D">
            <w:pPr>
              <w:adjustRightInd w:val="0"/>
              <w:snapToGrid w:val="0"/>
              <w:jc w:val="center"/>
              <w:rPr>
                <w:rFonts w:hint="eastAsia" w:ascii="宋体" w:hAnsi="宋体" w:cs="宋体"/>
                <w:szCs w:val="21"/>
              </w:rPr>
            </w:pPr>
          </w:p>
        </w:tc>
        <w:tc>
          <w:tcPr>
            <w:tcW w:w="1470" w:type="dxa"/>
            <w:vAlign w:val="center"/>
          </w:tcPr>
          <w:p w14:paraId="1F75C65A">
            <w:pPr>
              <w:adjustRightInd w:val="0"/>
              <w:snapToGrid w:val="0"/>
              <w:jc w:val="center"/>
              <w:rPr>
                <w:szCs w:val="21"/>
              </w:rPr>
            </w:pPr>
            <w:r>
              <w:rPr>
                <w:rFonts w:hint="eastAsia"/>
                <w:szCs w:val="21"/>
              </w:rPr>
              <w:t>办公生活废水</w:t>
            </w:r>
          </w:p>
        </w:tc>
        <w:tc>
          <w:tcPr>
            <w:tcW w:w="1140" w:type="dxa"/>
            <w:vMerge w:val="continue"/>
            <w:vAlign w:val="center"/>
          </w:tcPr>
          <w:p w14:paraId="04472179">
            <w:pPr>
              <w:adjustRightInd w:val="0"/>
              <w:snapToGrid w:val="0"/>
              <w:jc w:val="center"/>
              <w:rPr>
                <w:szCs w:val="21"/>
              </w:rPr>
            </w:pPr>
          </w:p>
        </w:tc>
        <w:tc>
          <w:tcPr>
            <w:tcW w:w="3477" w:type="dxa"/>
            <w:vMerge w:val="continue"/>
            <w:vAlign w:val="center"/>
          </w:tcPr>
          <w:p w14:paraId="37DBC9F7">
            <w:pPr>
              <w:widowControl/>
              <w:jc w:val="center"/>
              <w:rPr>
                <w:szCs w:val="21"/>
              </w:rPr>
            </w:pPr>
          </w:p>
        </w:tc>
        <w:tc>
          <w:tcPr>
            <w:tcW w:w="2103" w:type="dxa"/>
            <w:vMerge w:val="continue"/>
            <w:vAlign w:val="center"/>
          </w:tcPr>
          <w:p w14:paraId="05DFEC9D">
            <w:pPr>
              <w:adjustRightInd w:val="0"/>
              <w:snapToGrid w:val="0"/>
              <w:jc w:val="center"/>
              <w:rPr>
                <w:kern w:val="0"/>
                <w:szCs w:val="21"/>
              </w:rPr>
            </w:pPr>
          </w:p>
        </w:tc>
      </w:tr>
      <w:tr w14:paraId="680E2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5AACA8DB">
            <w:pPr>
              <w:adjustRightInd w:val="0"/>
              <w:snapToGrid w:val="0"/>
              <w:jc w:val="center"/>
              <w:rPr>
                <w:rFonts w:hint="eastAsia" w:ascii="宋体" w:hAnsi="宋体" w:cs="宋体"/>
                <w:szCs w:val="21"/>
              </w:rPr>
            </w:pPr>
          </w:p>
        </w:tc>
        <w:tc>
          <w:tcPr>
            <w:tcW w:w="1470" w:type="dxa"/>
            <w:vAlign w:val="center"/>
          </w:tcPr>
          <w:p w14:paraId="2CD6B3B3">
            <w:pPr>
              <w:adjustRightInd w:val="0"/>
              <w:snapToGrid w:val="0"/>
              <w:jc w:val="center"/>
              <w:rPr>
                <w:szCs w:val="21"/>
              </w:rPr>
            </w:pPr>
            <w:r>
              <w:rPr>
                <w:rFonts w:hint="eastAsia"/>
                <w:szCs w:val="21"/>
                <w:lang w:bidi="ar"/>
              </w:rPr>
              <w:t>压缩设备冲洗废水</w:t>
            </w:r>
          </w:p>
        </w:tc>
        <w:tc>
          <w:tcPr>
            <w:tcW w:w="1140" w:type="dxa"/>
            <w:vMerge w:val="continue"/>
            <w:vAlign w:val="center"/>
          </w:tcPr>
          <w:p w14:paraId="43B8A136">
            <w:pPr>
              <w:adjustRightInd w:val="0"/>
              <w:snapToGrid w:val="0"/>
              <w:jc w:val="center"/>
              <w:rPr>
                <w:rFonts w:hint="eastAsia" w:ascii="宋体" w:hAnsi="宋体" w:cs="宋体"/>
                <w:szCs w:val="21"/>
              </w:rPr>
            </w:pPr>
          </w:p>
        </w:tc>
        <w:tc>
          <w:tcPr>
            <w:tcW w:w="3477" w:type="dxa"/>
            <w:vMerge w:val="continue"/>
            <w:vAlign w:val="center"/>
          </w:tcPr>
          <w:p w14:paraId="1D0D5D86">
            <w:pPr>
              <w:pStyle w:val="77"/>
              <w:adjustRightInd/>
              <w:spacing w:before="0" w:after="0"/>
              <w:rPr>
                <w:kern w:val="24"/>
                <w:szCs w:val="21"/>
              </w:rPr>
            </w:pPr>
          </w:p>
        </w:tc>
        <w:tc>
          <w:tcPr>
            <w:tcW w:w="2103" w:type="dxa"/>
            <w:vMerge w:val="continue"/>
            <w:vAlign w:val="center"/>
          </w:tcPr>
          <w:p w14:paraId="24C9AD68">
            <w:pPr>
              <w:adjustRightInd w:val="0"/>
              <w:snapToGrid w:val="0"/>
              <w:jc w:val="center"/>
              <w:rPr>
                <w:rFonts w:hint="eastAsia" w:ascii="宋体" w:hAnsi="宋体" w:cs="宋体"/>
                <w:szCs w:val="21"/>
              </w:rPr>
            </w:pPr>
          </w:p>
        </w:tc>
      </w:tr>
      <w:tr w14:paraId="56D0D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02CBFE10">
            <w:pPr>
              <w:adjustRightInd w:val="0"/>
              <w:snapToGrid w:val="0"/>
              <w:jc w:val="center"/>
              <w:rPr>
                <w:rFonts w:hint="eastAsia" w:ascii="宋体" w:hAnsi="宋体" w:cs="宋体"/>
                <w:szCs w:val="21"/>
              </w:rPr>
            </w:pPr>
          </w:p>
        </w:tc>
        <w:tc>
          <w:tcPr>
            <w:tcW w:w="1470" w:type="dxa"/>
            <w:vAlign w:val="center"/>
          </w:tcPr>
          <w:p w14:paraId="66DE6DD3">
            <w:pPr>
              <w:adjustRightInd w:val="0"/>
              <w:snapToGrid w:val="0"/>
              <w:jc w:val="center"/>
              <w:rPr>
                <w:szCs w:val="21"/>
                <w:lang w:bidi="ar"/>
              </w:rPr>
            </w:pPr>
            <w:r>
              <w:rPr>
                <w:rFonts w:hint="eastAsia"/>
                <w:szCs w:val="21"/>
                <w:lang w:bidi="ar"/>
              </w:rPr>
              <w:t>车辆冲洗废水</w:t>
            </w:r>
          </w:p>
        </w:tc>
        <w:tc>
          <w:tcPr>
            <w:tcW w:w="1140" w:type="dxa"/>
            <w:vMerge w:val="continue"/>
            <w:vAlign w:val="center"/>
          </w:tcPr>
          <w:p w14:paraId="7E281277">
            <w:pPr>
              <w:adjustRightInd w:val="0"/>
              <w:snapToGrid w:val="0"/>
              <w:jc w:val="center"/>
              <w:rPr>
                <w:rFonts w:hint="eastAsia" w:ascii="宋体" w:hAnsi="宋体" w:cs="宋体"/>
                <w:szCs w:val="21"/>
              </w:rPr>
            </w:pPr>
          </w:p>
        </w:tc>
        <w:tc>
          <w:tcPr>
            <w:tcW w:w="3477" w:type="dxa"/>
            <w:vMerge w:val="continue"/>
            <w:vAlign w:val="center"/>
          </w:tcPr>
          <w:p w14:paraId="625955C4">
            <w:pPr>
              <w:pStyle w:val="77"/>
              <w:adjustRightInd/>
              <w:spacing w:before="0" w:after="0"/>
              <w:rPr>
                <w:kern w:val="24"/>
                <w:szCs w:val="21"/>
              </w:rPr>
            </w:pPr>
          </w:p>
        </w:tc>
        <w:tc>
          <w:tcPr>
            <w:tcW w:w="2103" w:type="dxa"/>
            <w:vMerge w:val="continue"/>
            <w:vAlign w:val="center"/>
          </w:tcPr>
          <w:p w14:paraId="183C27D5">
            <w:pPr>
              <w:adjustRightInd w:val="0"/>
              <w:snapToGrid w:val="0"/>
              <w:jc w:val="center"/>
              <w:rPr>
                <w:rFonts w:hint="eastAsia" w:ascii="宋体" w:hAnsi="宋体" w:cs="宋体"/>
                <w:szCs w:val="21"/>
              </w:rPr>
            </w:pPr>
          </w:p>
        </w:tc>
      </w:tr>
      <w:tr w14:paraId="1EABF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24103A65">
            <w:pPr>
              <w:adjustRightInd w:val="0"/>
              <w:snapToGrid w:val="0"/>
              <w:jc w:val="center"/>
              <w:rPr>
                <w:rFonts w:hint="eastAsia" w:ascii="宋体" w:hAnsi="宋体" w:cs="宋体"/>
                <w:szCs w:val="21"/>
              </w:rPr>
            </w:pPr>
          </w:p>
        </w:tc>
        <w:tc>
          <w:tcPr>
            <w:tcW w:w="1470" w:type="dxa"/>
            <w:vAlign w:val="center"/>
          </w:tcPr>
          <w:p w14:paraId="1D9CFB20">
            <w:pPr>
              <w:adjustRightInd w:val="0"/>
              <w:snapToGrid w:val="0"/>
              <w:jc w:val="center"/>
              <w:rPr>
                <w:szCs w:val="21"/>
                <w:lang w:bidi="ar"/>
              </w:rPr>
            </w:pPr>
            <w:r>
              <w:rPr>
                <w:rFonts w:hint="eastAsia"/>
                <w:szCs w:val="21"/>
                <w:lang w:bidi="ar"/>
              </w:rPr>
              <w:t>地面冲洗废水</w:t>
            </w:r>
          </w:p>
        </w:tc>
        <w:tc>
          <w:tcPr>
            <w:tcW w:w="1140" w:type="dxa"/>
            <w:vMerge w:val="continue"/>
            <w:vAlign w:val="center"/>
          </w:tcPr>
          <w:p w14:paraId="2A5ACA93">
            <w:pPr>
              <w:adjustRightInd w:val="0"/>
              <w:snapToGrid w:val="0"/>
              <w:jc w:val="center"/>
              <w:rPr>
                <w:rFonts w:hint="eastAsia" w:ascii="宋体" w:hAnsi="宋体" w:cs="宋体"/>
                <w:szCs w:val="21"/>
              </w:rPr>
            </w:pPr>
          </w:p>
        </w:tc>
        <w:tc>
          <w:tcPr>
            <w:tcW w:w="3477" w:type="dxa"/>
            <w:vMerge w:val="continue"/>
            <w:vAlign w:val="center"/>
          </w:tcPr>
          <w:p w14:paraId="781A3BF8">
            <w:pPr>
              <w:pStyle w:val="77"/>
              <w:adjustRightInd/>
              <w:spacing w:before="0" w:after="0"/>
              <w:rPr>
                <w:kern w:val="24"/>
                <w:szCs w:val="21"/>
              </w:rPr>
            </w:pPr>
          </w:p>
        </w:tc>
        <w:tc>
          <w:tcPr>
            <w:tcW w:w="2103" w:type="dxa"/>
            <w:vMerge w:val="continue"/>
            <w:vAlign w:val="center"/>
          </w:tcPr>
          <w:p w14:paraId="217B9FBE">
            <w:pPr>
              <w:adjustRightInd w:val="0"/>
              <w:snapToGrid w:val="0"/>
              <w:jc w:val="center"/>
              <w:rPr>
                <w:rFonts w:hint="eastAsia" w:ascii="宋体" w:hAnsi="宋体" w:cs="宋体"/>
                <w:szCs w:val="21"/>
              </w:rPr>
            </w:pPr>
          </w:p>
        </w:tc>
      </w:tr>
      <w:tr w14:paraId="4372D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5" w:type="dxa"/>
            <w:vMerge w:val="continue"/>
            <w:vAlign w:val="center"/>
          </w:tcPr>
          <w:p w14:paraId="476B7803">
            <w:pPr>
              <w:adjustRightInd w:val="0"/>
              <w:snapToGrid w:val="0"/>
              <w:jc w:val="center"/>
              <w:rPr>
                <w:rFonts w:hint="eastAsia" w:ascii="宋体" w:hAnsi="宋体" w:cs="宋体"/>
                <w:szCs w:val="21"/>
              </w:rPr>
            </w:pPr>
          </w:p>
        </w:tc>
        <w:tc>
          <w:tcPr>
            <w:tcW w:w="1470" w:type="dxa"/>
            <w:vAlign w:val="center"/>
          </w:tcPr>
          <w:p w14:paraId="00E7F56B">
            <w:pPr>
              <w:adjustRightInd w:val="0"/>
              <w:snapToGrid w:val="0"/>
              <w:jc w:val="center"/>
              <w:rPr>
                <w:szCs w:val="21"/>
                <w:lang w:bidi="ar"/>
              </w:rPr>
            </w:pPr>
            <w:r>
              <w:rPr>
                <w:rFonts w:hint="eastAsia"/>
                <w:szCs w:val="21"/>
                <w:lang w:bidi="ar"/>
              </w:rPr>
              <w:t>初期雨水</w:t>
            </w:r>
          </w:p>
        </w:tc>
        <w:tc>
          <w:tcPr>
            <w:tcW w:w="1140" w:type="dxa"/>
            <w:vMerge w:val="continue"/>
            <w:vAlign w:val="center"/>
          </w:tcPr>
          <w:p w14:paraId="5DBEB3AE">
            <w:pPr>
              <w:adjustRightInd w:val="0"/>
              <w:snapToGrid w:val="0"/>
              <w:jc w:val="center"/>
              <w:rPr>
                <w:rFonts w:hint="eastAsia" w:ascii="宋体" w:hAnsi="宋体" w:cs="宋体"/>
                <w:szCs w:val="21"/>
              </w:rPr>
            </w:pPr>
          </w:p>
        </w:tc>
        <w:tc>
          <w:tcPr>
            <w:tcW w:w="3477" w:type="dxa"/>
            <w:vMerge w:val="continue"/>
            <w:vAlign w:val="center"/>
          </w:tcPr>
          <w:p w14:paraId="780001AF">
            <w:pPr>
              <w:pStyle w:val="77"/>
              <w:adjustRightInd/>
              <w:spacing w:before="0" w:after="0"/>
              <w:rPr>
                <w:color w:val="000000"/>
                <w:szCs w:val="21"/>
                <w:lang w:bidi="ar"/>
              </w:rPr>
            </w:pPr>
          </w:p>
        </w:tc>
        <w:tc>
          <w:tcPr>
            <w:tcW w:w="2103" w:type="dxa"/>
            <w:vMerge w:val="continue"/>
            <w:vAlign w:val="center"/>
          </w:tcPr>
          <w:p w14:paraId="334D9C53">
            <w:pPr>
              <w:adjustRightInd w:val="0"/>
              <w:snapToGrid w:val="0"/>
              <w:jc w:val="center"/>
              <w:rPr>
                <w:rFonts w:hint="eastAsia" w:ascii="宋体" w:hAnsi="宋体" w:cs="宋体"/>
                <w:szCs w:val="21"/>
              </w:rPr>
            </w:pPr>
          </w:p>
        </w:tc>
      </w:tr>
      <w:tr w14:paraId="4C837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vAlign w:val="center"/>
          </w:tcPr>
          <w:p w14:paraId="27E755E7">
            <w:pPr>
              <w:adjustRightInd w:val="0"/>
              <w:snapToGrid w:val="0"/>
              <w:jc w:val="center"/>
              <w:rPr>
                <w:rFonts w:hint="eastAsia" w:ascii="宋体" w:hAnsi="宋体" w:cs="宋体"/>
                <w:szCs w:val="21"/>
              </w:rPr>
            </w:pPr>
            <w:r>
              <w:rPr>
                <w:rFonts w:hint="eastAsia" w:ascii="宋体" w:hAnsi="宋体" w:cs="宋体"/>
                <w:szCs w:val="21"/>
              </w:rPr>
              <w:t>声环境</w:t>
            </w:r>
          </w:p>
        </w:tc>
        <w:tc>
          <w:tcPr>
            <w:tcW w:w="1470" w:type="dxa"/>
            <w:vAlign w:val="center"/>
          </w:tcPr>
          <w:p w14:paraId="70D73E61">
            <w:pPr>
              <w:adjustRightInd w:val="0"/>
              <w:snapToGrid w:val="0"/>
              <w:jc w:val="center"/>
              <w:rPr>
                <w:rFonts w:hint="eastAsia" w:ascii="宋体" w:hAnsi="宋体" w:cs="宋体"/>
                <w:szCs w:val="21"/>
              </w:rPr>
            </w:pPr>
            <w:r>
              <w:rPr>
                <w:rFonts w:hint="eastAsia" w:ascii="宋体" w:hAnsi="宋体" w:cs="宋体"/>
                <w:szCs w:val="21"/>
              </w:rPr>
              <w:t>设备运行噪声</w:t>
            </w:r>
          </w:p>
        </w:tc>
        <w:tc>
          <w:tcPr>
            <w:tcW w:w="1140" w:type="dxa"/>
            <w:vMerge w:val="restart"/>
            <w:vAlign w:val="center"/>
          </w:tcPr>
          <w:p w14:paraId="0C8109AD">
            <w:pPr>
              <w:adjustRightInd w:val="0"/>
              <w:snapToGrid w:val="0"/>
              <w:jc w:val="center"/>
              <w:rPr>
                <w:rFonts w:hint="eastAsia" w:ascii="宋体" w:hAnsi="宋体" w:cs="宋体"/>
                <w:szCs w:val="21"/>
              </w:rPr>
            </w:pPr>
            <w:r>
              <w:rPr>
                <w:rFonts w:hint="eastAsia" w:ascii="宋体" w:hAnsi="宋体" w:cs="宋体"/>
                <w:szCs w:val="21"/>
              </w:rPr>
              <w:t>噪声</w:t>
            </w:r>
          </w:p>
        </w:tc>
        <w:tc>
          <w:tcPr>
            <w:tcW w:w="3477" w:type="dxa"/>
            <w:vAlign w:val="center"/>
          </w:tcPr>
          <w:p w14:paraId="4D5CDDD5">
            <w:pPr>
              <w:widowControl/>
              <w:jc w:val="center"/>
              <w:rPr>
                <w:rFonts w:hint="eastAsia" w:ascii="宋体" w:hAnsi="宋体" w:cs="宋体"/>
                <w:szCs w:val="21"/>
              </w:rPr>
            </w:pPr>
            <w:r>
              <w:rPr>
                <w:rFonts w:eastAsiaTheme="minorEastAsia"/>
              </w:rPr>
              <w:t>采取合理布局、选用低噪声设备、设备减振、</w:t>
            </w:r>
            <w:r>
              <w:rPr>
                <w:rFonts w:hint="eastAsia" w:eastAsiaTheme="minorEastAsia"/>
              </w:rPr>
              <w:t>厂房隔声、</w:t>
            </w:r>
            <w:r>
              <w:rPr>
                <w:rFonts w:eastAsiaTheme="minorEastAsia"/>
              </w:rPr>
              <w:t>加强管理等</w:t>
            </w:r>
          </w:p>
        </w:tc>
        <w:tc>
          <w:tcPr>
            <w:tcW w:w="2103" w:type="dxa"/>
            <w:vMerge w:val="restart"/>
            <w:vAlign w:val="center"/>
          </w:tcPr>
          <w:p w14:paraId="7EB6FFC1">
            <w:pPr>
              <w:widowControl/>
              <w:jc w:val="center"/>
              <w:rPr>
                <w:szCs w:val="21"/>
              </w:rPr>
            </w:pPr>
            <w:r>
              <w:rPr>
                <w:rFonts w:hint="eastAsia" w:ascii="宋体" w:hAnsi="宋体" w:cs="宋体"/>
                <w:color w:val="000000"/>
                <w:kern w:val="0"/>
                <w:szCs w:val="21"/>
                <w:lang w:bidi="ar"/>
              </w:rPr>
              <w:t>《工业企业厂界</w:t>
            </w:r>
          </w:p>
          <w:p w14:paraId="4D7E84FA">
            <w:pPr>
              <w:widowControl/>
              <w:jc w:val="center"/>
              <w:rPr>
                <w:szCs w:val="21"/>
              </w:rPr>
            </w:pPr>
            <w:r>
              <w:rPr>
                <w:rFonts w:hint="eastAsia" w:ascii="宋体" w:hAnsi="宋体" w:cs="宋体"/>
                <w:color w:val="000000"/>
                <w:kern w:val="0"/>
                <w:szCs w:val="21"/>
                <w:lang w:bidi="ar"/>
              </w:rPr>
              <w:t>噪声排放标准》</w:t>
            </w:r>
          </w:p>
          <w:p w14:paraId="09C03A06">
            <w:pPr>
              <w:widowControl/>
              <w:jc w:val="center"/>
              <w:rPr>
                <w:szCs w:val="21"/>
              </w:rPr>
            </w:pPr>
            <w:r>
              <w:rPr>
                <w:rFonts w:hint="eastAsia" w:ascii="宋体" w:hAnsi="宋体" w:cs="宋体"/>
                <w:color w:val="000000"/>
                <w:kern w:val="0"/>
                <w:szCs w:val="21"/>
                <w:lang w:eastAsia="zh-CN" w:bidi="ar"/>
              </w:rPr>
              <w:t>(</w:t>
            </w:r>
            <w:r>
              <w:rPr>
                <w:color w:val="000000"/>
                <w:kern w:val="0"/>
                <w:szCs w:val="21"/>
                <w:lang w:bidi="ar"/>
              </w:rPr>
              <w:t>GB 12348</w:t>
            </w:r>
            <w:r>
              <w:rPr>
                <w:rFonts w:hint="eastAsia" w:ascii="宋体" w:hAnsi="宋体" w:cs="宋体"/>
                <w:color w:val="000000"/>
                <w:kern w:val="0"/>
                <w:szCs w:val="21"/>
                <w:lang w:bidi="ar"/>
              </w:rPr>
              <w:t>—</w:t>
            </w:r>
          </w:p>
          <w:p w14:paraId="2E7EAB6F">
            <w:pPr>
              <w:widowControl/>
              <w:jc w:val="center"/>
              <w:rPr>
                <w:rFonts w:hint="eastAsia" w:ascii="宋体" w:hAnsi="宋体" w:cs="宋体"/>
                <w:szCs w:val="21"/>
              </w:rPr>
            </w:pPr>
            <w:r>
              <w:rPr>
                <w:color w:val="000000"/>
                <w:kern w:val="0"/>
                <w:szCs w:val="21"/>
                <w:lang w:bidi="ar"/>
              </w:rPr>
              <w:t>2008</w:t>
            </w:r>
            <w:r>
              <w:rPr>
                <w:rFonts w:hint="eastAsia"/>
                <w:color w:val="000000"/>
                <w:kern w:val="0"/>
                <w:szCs w:val="21"/>
                <w:lang w:eastAsia="zh-CN" w:bidi="ar"/>
              </w:rPr>
              <w:t>)</w:t>
            </w:r>
            <w:r>
              <w:rPr>
                <w:rFonts w:hint="eastAsia"/>
                <w:color w:val="000000"/>
                <w:kern w:val="0"/>
                <w:szCs w:val="21"/>
                <w:lang w:bidi="ar"/>
              </w:rPr>
              <w:t>2</w:t>
            </w:r>
            <w:r>
              <w:rPr>
                <w:rFonts w:hint="eastAsia" w:ascii="宋体" w:hAnsi="宋体" w:cs="宋体"/>
                <w:color w:val="000000"/>
                <w:kern w:val="0"/>
                <w:szCs w:val="21"/>
                <w:lang w:bidi="ar"/>
              </w:rPr>
              <w:t>类</w:t>
            </w:r>
          </w:p>
        </w:tc>
      </w:tr>
      <w:tr w14:paraId="1F6A7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vAlign w:val="center"/>
          </w:tcPr>
          <w:p w14:paraId="6B891E1B">
            <w:pPr>
              <w:adjustRightInd w:val="0"/>
              <w:snapToGrid w:val="0"/>
              <w:jc w:val="center"/>
              <w:rPr>
                <w:rFonts w:hint="eastAsia" w:ascii="宋体" w:hAnsi="宋体" w:cs="宋体"/>
                <w:szCs w:val="21"/>
              </w:rPr>
            </w:pPr>
          </w:p>
        </w:tc>
        <w:tc>
          <w:tcPr>
            <w:tcW w:w="1470" w:type="dxa"/>
            <w:vAlign w:val="center"/>
          </w:tcPr>
          <w:p w14:paraId="0654E547">
            <w:pPr>
              <w:adjustRightInd w:val="0"/>
              <w:snapToGrid w:val="0"/>
              <w:jc w:val="center"/>
              <w:rPr>
                <w:rFonts w:hint="eastAsia" w:ascii="宋体" w:hAnsi="宋体" w:cs="宋体"/>
                <w:szCs w:val="21"/>
              </w:rPr>
            </w:pPr>
            <w:r>
              <w:rPr>
                <w:rFonts w:hint="eastAsia"/>
                <w:color w:val="000000"/>
                <w:kern w:val="0"/>
                <w:szCs w:val="21"/>
              </w:rPr>
              <w:t>交通噪声</w:t>
            </w:r>
          </w:p>
        </w:tc>
        <w:tc>
          <w:tcPr>
            <w:tcW w:w="1140" w:type="dxa"/>
            <w:vMerge w:val="continue"/>
            <w:vAlign w:val="center"/>
          </w:tcPr>
          <w:p w14:paraId="01EC84D3">
            <w:pPr>
              <w:adjustRightInd w:val="0"/>
              <w:snapToGrid w:val="0"/>
              <w:jc w:val="center"/>
              <w:rPr>
                <w:rFonts w:hint="eastAsia" w:ascii="宋体" w:hAnsi="宋体" w:cs="宋体"/>
                <w:szCs w:val="21"/>
              </w:rPr>
            </w:pPr>
          </w:p>
        </w:tc>
        <w:tc>
          <w:tcPr>
            <w:tcW w:w="3477" w:type="dxa"/>
            <w:vAlign w:val="center"/>
          </w:tcPr>
          <w:p w14:paraId="69B056AF">
            <w:pPr>
              <w:widowControl/>
              <w:jc w:val="center"/>
              <w:rPr>
                <w:rFonts w:hint="eastAsia" w:ascii="宋体" w:hAnsi="宋体" w:cs="宋体"/>
                <w:color w:val="000000"/>
                <w:kern w:val="0"/>
                <w:szCs w:val="21"/>
                <w:lang w:bidi="ar"/>
              </w:rPr>
            </w:pPr>
            <w:r>
              <w:t>减速慢行，加强管理、设置禁止鸣笛等标识标牌</w:t>
            </w:r>
          </w:p>
        </w:tc>
        <w:tc>
          <w:tcPr>
            <w:tcW w:w="2103" w:type="dxa"/>
            <w:vMerge w:val="continue"/>
            <w:vAlign w:val="center"/>
          </w:tcPr>
          <w:p w14:paraId="2CFA7515">
            <w:pPr>
              <w:widowControl/>
              <w:jc w:val="center"/>
              <w:rPr>
                <w:color w:val="000000"/>
                <w:kern w:val="0"/>
                <w:szCs w:val="21"/>
                <w:lang w:bidi="ar"/>
              </w:rPr>
            </w:pPr>
          </w:p>
        </w:tc>
      </w:tr>
      <w:tr w14:paraId="23A08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Align w:val="center"/>
          </w:tcPr>
          <w:p w14:paraId="52EF175A">
            <w:pPr>
              <w:adjustRightInd w:val="0"/>
              <w:snapToGrid w:val="0"/>
              <w:jc w:val="center"/>
              <w:rPr>
                <w:rFonts w:hint="eastAsia" w:ascii="宋体" w:hAnsi="宋体" w:cs="宋体"/>
                <w:szCs w:val="21"/>
              </w:rPr>
            </w:pPr>
            <w:r>
              <w:rPr>
                <w:rFonts w:hint="eastAsia" w:ascii="宋体" w:hAnsi="宋体" w:cs="宋体"/>
                <w:szCs w:val="21"/>
              </w:rPr>
              <w:t>电磁辐射</w:t>
            </w:r>
          </w:p>
        </w:tc>
        <w:tc>
          <w:tcPr>
            <w:tcW w:w="1470" w:type="dxa"/>
            <w:vAlign w:val="center"/>
          </w:tcPr>
          <w:p w14:paraId="395FBF9F">
            <w:pPr>
              <w:adjustRightInd w:val="0"/>
              <w:snapToGrid w:val="0"/>
              <w:jc w:val="center"/>
              <w:rPr>
                <w:rFonts w:hint="eastAsia" w:ascii="宋体" w:hAnsi="宋体" w:cs="宋体"/>
                <w:szCs w:val="21"/>
              </w:rPr>
            </w:pPr>
            <w:r>
              <w:rPr>
                <w:rFonts w:hint="eastAsia" w:ascii="宋体" w:hAnsi="宋体" w:cs="宋体"/>
                <w:szCs w:val="21"/>
              </w:rPr>
              <w:t>/</w:t>
            </w:r>
          </w:p>
        </w:tc>
        <w:tc>
          <w:tcPr>
            <w:tcW w:w="1140" w:type="dxa"/>
            <w:vAlign w:val="center"/>
          </w:tcPr>
          <w:p w14:paraId="29470E21">
            <w:pPr>
              <w:adjustRightInd w:val="0"/>
              <w:snapToGrid w:val="0"/>
              <w:jc w:val="center"/>
              <w:rPr>
                <w:rFonts w:hint="eastAsia" w:ascii="宋体" w:hAnsi="宋体" w:cs="宋体"/>
                <w:szCs w:val="21"/>
              </w:rPr>
            </w:pPr>
            <w:r>
              <w:rPr>
                <w:rFonts w:hint="eastAsia" w:ascii="宋体" w:hAnsi="宋体" w:cs="宋体"/>
                <w:szCs w:val="21"/>
              </w:rPr>
              <w:t>/</w:t>
            </w:r>
          </w:p>
        </w:tc>
        <w:tc>
          <w:tcPr>
            <w:tcW w:w="3477" w:type="dxa"/>
            <w:vAlign w:val="center"/>
          </w:tcPr>
          <w:p w14:paraId="25F5D9E3">
            <w:pPr>
              <w:adjustRightInd w:val="0"/>
              <w:snapToGrid w:val="0"/>
              <w:jc w:val="center"/>
              <w:rPr>
                <w:rFonts w:hint="eastAsia" w:ascii="宋体" w:hAnsi="宋体" w:cs="宋体"/>
                <w:szCs w:val="21"/>
              </w:rPr>
            </w:pPr>
            <w:r>
              <w:rPr>
                <w:rFonts w:hint="eastAsia" w:ascii="宋体" w:hAnsi="宋体" w:cs="宋体"/>
                <w:szCs w:val="21"/>
              </w:rPr>
              <w:t>/</w:t>
            </w:r>
          </w:p>
        </w:tc>
        <w:tc>
          <w:tcPr>
            <w:tcW w:w="2103" w:type="dxa"/>
            <w:vAlign w:val="center"/>
          </w:tcPr>
          <w:p w14:paraId="63B4A165">
            <w:pPr>
              <w:adjustRightInd w:val="0"/>
              <w:snapToGrid w:val="0"/>
              <w:jc w:val="center"/>
              <w:rPr>
                <w:rFonts w:hint="eastAsia" w:ascii="宋体" w:hAnsi="宋体" w:cs="宋体"/>
                <w:szCs w:val="21"/>
              </w:rPr>
            </w:pPr>
            <w:r>
              <w:rPr>
                <w:rFonts w:hint="eastAsia" w:ascii="宋体" w:hAnsi="宋体" w:cs="宋体"/>
                <w:szCs w:val="21"/>
              </w:rPr>
              <w:t>/</w:t>
            </w:r>
          </w:p>
        </w:tc>
      </w:tr>
      <w:tr w14:paraId="74DEC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115" w:type="dxa"/>
            <w:vAlign w:val="center"/>
          </w:tcPr>
          <w:p w14:paraId="608B0F3F">
            <w:pPr>
              <w:adjustRightInd w:val="0"/>
              <w:snapToGrid w:val="0"/>
              <w:jc w:val="center"/>
              <w:rPr>
                <w:rFonts w:hint="eastAsia" w:ascii="宋体" w:hAnsi="宋体" w:cs="宋体"/>
                <w:szCs w:val="21"/>
              </w:rPr>
            </w:pPr>
            <w:r>
              <w:rPr>
                <w:rFonts w:hint="eastAsia" w:ascii="宋体" w:hAnsi="宋体" w:cs="宋体"/>
                <w:szCs w:val="21"/>
              </w:rPr>
              <w:t>固体废物</w:t>
            </w:r>
          </w:p>
        </w:tc>
        <w:tc>
          <w:tcPr>
            <w:tcW w:w="8190" w:type="dxa"/>
            <w:gridSpan w:val="4"/>
            <w:vAlign w:val="center"/>
          </w:tcPr>
          <w:p w14:paraId="51D4CBA9">
            <w:pPr>
              <w:pStyle w:val="26"/>
              <w:ind w:left="0" w:leftChars="0" w:firstLine="0"/>
              <w:rPr>
                <w:b/>
                <w:bCs/>
              </w:rPr>
            </w:pPr>
            <w:r>
              <w:rPr>
                <w:rFonts w:hint="eastAsia"/>
                <w:b/>
                <w:bCs/>
              </w:rPr>
              <w:t>一般固废：</w:t>
            </w:r>
            <w:r>
              <w:rPr>
                <w:rFonts w:hint="eastAsia"/>
              </w:rPr>
              <w:t>生活垃圾由转运站垃圾压缩箱收集，运送至焚烧发电厂焚烧发电处理；污泥定期清掏后运送至焚烧发电厂焚烧发电处；可回收的废包装材料暂存一般固废暂存间（5m</w:t>
            </w:r>
            <w:r>
              <w:rPr>
                <w:rFonts w:hint="eastAsia"/>
                <w:vertAlign w:val="superscript"/>
              </w:rPr>
              <w:t>2</w:t>
            </w:r>
            <w:r>
              <w:rPr>
                <w:rFonts w:hint="eastAsia"/>
              </w:rPr>
              <w:t>），外售。</w:t>
            </w:r>
          </w:p>
          <w:p w14:paraId="6B96022F">
            <w:pPr>
              <w:pStyle w:val="26"/>
              <w:ind w:left="0" w:leftChars="0" w:firstLine="0"/>
            </w:pPr>
            <w:r>
              <w:rPr>
                <w:rFonts w:hint="eastAsia"/>
                <w:b/>
                <w:bCs/>
              </w:rPr>
              <w:t>危险固废：</w:t>
            </w:r>
            <w:r>
              <w:rPr>
                <w:rFonts w:hint="eastAsia"/>
              </w:rPr>
              <w:t>废机油、废润滑油、废油桶及废化学品包装材料等收集后分类暂存于危废暂存间，占地面积10m</w:t>
            </w:r>
            <w:r>
              <w:rPr>
                <w:rFonts w:hint="eastAsia"/>
                <w:vertAlign w:val="superscript"/>
              </w:rPr>
              <w:t>2</w:t>
            </w:r>
            <w:r>
              <w:rPr>
                <w:rFonts w:hint="eastAsia"/>
              </w:rPr>
              <w:t>，并设置产生、暂存、转运、处置台账。定期委托具有危险废物转运和处置的公司清运处置。</w:t>
            </w:r>
          </w:p>
        </w:tc>
      </w:tr>
      <w:tr w14:paraId="631B1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vAlign w:val="center"/>
          </w:tcPr>
          <w:p w14:paraId="214E8606">
            <w:pPr>
              <w:adjustRightInd w:val="0"/>
              <w:snapToGrid w:val="0"/>
              <w:jc w:val="center"/>
              <w:rPr>
                <w:rFonts w:hint="eastAsia" w:ascii="宋体" w:hAnsi="宋体" w:cs="宋体"/>
                <w:szCs w:val="21"/>
              </w:rPr>
            </w:pPr>
            <w:r>
              <w:rPr>
                <w:rFonts w:hint="eastAsia" w:ascii="宋体" w:hAnsi="宋体" w:cs="宋体"/>
                <w:szCs w:val="21"/>
              </w:rPr>
              <w:t>土壤及地下水污染防治措施</w:t>
            </w:r>
          </w:p>
        </w:tc>
        <w:tc>
          <w:tcPr>
            <w:tcW w:w="8190" w:type="dxa"/>
            <w:gridSpan w:val="4"/>
            <w:vAlign w:val="center"/>
          </w:tcPr>
          <w:p w14:paraId="5C786420">
            <w:pPr>
              <w:adjustRightInd w:val="0"/>
              <w:snapToGrid w:val="0"/>
              <w:rPr>
                <w:color w:val="000000"/>
                <w:szCs w:val="21"/>
              </w:rPr>
            </w:pPr>
            <w:r>
              <w:rPr>
                <w:rFonts w:hint="eastAsia"/>
                <w:color w:val="000000"/>
                <w:szCs w:val="21"/>
              </w:rPr>
              <w:t>按各功能单元所处的位置划分为重点防渗区、一般防渗区、简单防渗区。</w:t>
            </w:r>
          </w:p>
          <w:p w14:paraId="11A61890">
            <w:pPr>
              <w:pStyle w:val="83"/>
              <w:widowControl/>
              <w:wordWrap w:val="0"/>
              <w:autoSpaceDE w:val="0"/>
              <w:autoSpaceDN w:val="0"/>
              <w:adjustRightInd w:val="0"/>
              <w:snapToGrid w:val="0"/>
              <w:ind w:firstLine="6"/>
              <w:jc w:val="left"/>
              <w:textAlignment w:val="baseline"/>
              <w:rPr>
                <w:rFonts w:ascii="Times New Roman" w:hAnsi="Times New Roman"/>
                <w:sz w:val="21"/>
                <w:szCs w:val="21"/>
                <w:lang w:eastAsia="zh-CN"/>
              </w:rPr>
            </w:pPr>
            <w:r>
              <w:rPr>
                <w:rFonts w:hint="eastAsia" w:ascii="Times New Roman" w:hAnsi="Times New Roman"/>
                <w:sz w:val="21"/>
                <w:szCs w:val="21"/>
                <w:lang w:eastAsia="zh-CN"/>
              </w:rPr>
              <w:t>重点防渗区：危废暂存间采取防渗混凝土+2mm厚环氧树脂地坪漆进行防渗，并设置金属托盘，危废分类存于金属托盘内，防渗层渗透系数≤10～</w:t>
            </w:r>
            <w:r>
              <w:rPr>
                <w:rFonts w:hint="eastAsia" w:ascii="Times New Roman" w:hAnsi="Times New Roman"/>
                <w:sz w:val="21"/>
                <w:szCs w:val="21"/>
                <w:vertAlign w:val="superscript"/>
                <w:lang w:eastAsia="zh-CN"/>
              </w:rPr>
              <w:t>10</w:t>
            </w:r>
            <w:r>
              <w:rPr>
                <w:rFonts w:hint="eastAsia" w:ascii="Times New Roman" w:hAnsi="Times New Roman"/>
                <w:sz w:val="21"/>
                <w:szCs w:val="21"/>
                <w:lang w:eastAsia="zh-CN"/>
              </w:rPr>
              <w:t>cm/s的要求；压缩车间、卸料平台、污水处理构筑物、柴油发电机房防渗层达到等效黏土防渗层Mb≥6.0m，防渗层渗透系数≤10～</w:t>
            </w:r>
            <w:r>
              <w:rPr>
                <w:rFonts w:hint="eastAsia" w:ascii="Times New Roman" w:hAnsi="Times New Roman"/>
                <w:sz w:val="21"/>
                <w:szCs w:val="21"/>
                <w:vertAlign w:val="superscript"/>
                <w:lang w:eastAsia="zh-CN"/>
              </w:rPr>
              <w:t>7</w:t>
            </w:r>
            <w:r>
              <w:rPr>
                <w:rFonts w:hint="eastAsia" w:ascii="Times New Roman" w:hAnsi="Times New Roman"/>
                <w:sz w:val="21"/>
                <w:szCs w:val="21"/>
                <w:lang w:eastAsia="zh-CN"/>
              </w:rPr>
              <w:t>cm/s的要求。</w:t>
            </w:r>
          </w:p>
          <w:p w14:paraId="2C09063C">
            <w:pPr>
              <w:pStyle w:val="83"/>
              <w:widowControl/>
              <w:wordWrap w:val="0"/>
              <w:autoSpaceDE w:val="0"/>
              <w:autoSpaceDN w:val="0"/>
              <w:adjustRightInd w:val="0"/>
              <w:snapToGrid w:val="0"/>
              <w:ind w:firstLine="6"/>
              <w:jc w:val="left"/>
              <w:textAlignment w:val="baseline"/>
              <w:rPr>
                <w:rFonts w:ascii="Times New Roman" w:hAnsi="Times New Roman"/>
                <w:sz w:val="21"/>
                <w:szCs w:val="21"/>
                <w:lang w:eastAsia="zh-CN"/>
              </w:rPr>
            </w:pPr>
            <w:r>
              <w:rPr>
                <w:rFonts w:hint="eastAsia" w:ascii="Times New Roman" w:hAnsi="Times New Roman"/>
                <w:sz w:val="21"/>
                <w:szCs w:val="21"/>
                <w:lang w:eastAsia="zh-CN"/>
              </w:rPr>
              <w:t>一般防渗区：化粪池、洗车区一般固废暂存区采取防渗混凝土结构进行一般防渗，确保等效粘土防渗层Mb≥1.5m，防渗层渗透系数≤10～</w:t>
            </w:r>
            <w:r>
              <w:rPr>
                <w:rFonts w:hint="eastAsia" w:ascii="Times New Roman" w:hAnsi="Times New Roman"/>
                <w:sz w:val="21"/>
                <w:szCs w:val="21"/>
                <w:vertAlign w:val="superscript"/>
                <w:lang w:eastAsia="zh-CN"/>
              </w:rPr>
              <w:t>7</w:t>
            </w:r>
            <w:r>
              <w:rPr>
                <w:rFonts w:hint="eastAsia" w:ascii="Times New Roman" w:hAnsi="Times New Roman"/>
                <w:sz w:val="21"/>
                <w:szCs w:val="21"/>
                <w:lang w:eastAsia="zh-CN"/>
              </w:rPr>
              <w:t>cm/s。</w:t>
            </w:r>
          </w:p>
          <w:p w14:paraId="7140EEEE">
            <w:pPr>
              <w:adjustRightInd w:val="0"/>
              <w:snapToGrid w:val="0"/>
              <w:rPr>
                <w:rFonts w:hint="eastAsia" w:ascii="宋体" w:hAnsi="宋体" w:cs="宋体"/>
                <w:szCs w:val="21"/>
              </w:rPr>
            </w:pPr>
            <w:r>
              <w:rPr>
                <w:rFonts w:hint="eastAsia"/>
                <w:szCs w:val="21"/>
              </w:rPr>
              <w:t>简单防渗区：除重点防渗和一般防渗外的其他区域采取一般地面硬化。</w:t>
            </w:r>
          </w:p>
        </w:tc>
      </w:tr>
      <w:tr w14:paraId="5C7CA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vAlign w:val="center"/>
          </w:tcPr>
          <w:p w14:paraId="2150FC0F">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8190" w:type="dxa"/>
            <w:gridSpan w:val="4"/>
            <w:vAlign w:val="center"/>
          </w:tcPr>
          <w:p w14:paraId="3AE2A238">
            <w:pPr>
              <w:adjustRightInd w:val="0"/>
              <w:snapToGrid w:val="0"/>
              <w:rPr>
                <w:kern w:val="0"/>
                <w:szCs w:val="21"/>
              </w:rPr>
            </w:pPr>
            <w:r>
              <w:rPr>
                <w:rFonts w:hint="eastAsia"/>
                <w:kern w:val="0"/>
                <w:szCs w:val="21"/>
              </w:rPr>
              <w:t>1、施工期对工程进行合理设计，做到分区开挖，使水土流失降低至最低程度；</w:t>
            </w:r>
          </w:p>
          <w:p w14:paraId="2375FEDC">
            <w:pPr>
              <w:adjustRightInd w:val="0"/>
              <w:snapToGrid w:val="0"/>
              <w:rPr>
                <w:kern w:val="0"/>
                <w:szCs w:val="21"/>
              </w:rPr>
            </w:pPr>
            <w:r>
              <w:rPr>
                <w:rFonts w:hint="eastAsia"/>
                <w:kern w:val="0"/>
                <w:szCs w:val="21"/>
              </w:rPr>
              <w:t>2、根据施工区地形情况，合理规划回填土位置，预先修建挡土墙、</w:t>
            </w:r>
            <w:r>
              <w:rPr>
                <w:rFonts w:hint="eastAsia"/>
                <w:kern w:val="0"/>
                <w:szCs w:val="21"/>
                <w:lang w:eastAsia="zh-CN"/>
              </w:rPr>
              <w:t>沉沙池</w:t>
            </w:r>
            <w:r>
              <w:rPr>
                <w:rFonts w:hint="eastAsia"/>
                <w:kern w:val="0"/>
                <w:szCs w:val="21"/>
              </w:rPr>
              <w:t>等，避免地表径流对施工区内松散表土的冲刷；</w:t>
            </w:r>
          </w:p>
          <w:p w14:paraId="00BF0076">
            <w:pPr>
              <w:adjustRightInd w:val="0"/>
              <w:snapToGrid w:val="0"/>
              <w:rPr>
                <w:kern w:val="0"/>
                <w:szCs w:val="21"/>
              </w:rPr>
            </w:pPr>
            <w:r>
              <w:rPr>
                <w:rFonts w:hint="eastAsia"/>
                <w:kern w:val="0"/>
                <w:szCs w:val="21"/>
              </w:rPr>
              <w:t>3、在开挖初期，应</w:t>
            </w:r>
            <w:r>
              <w:rPr>
                <w:rFonts w:hint="eastAsia"/>
                <w:kern w:val="0"/>
                <w:szCs w:val="21"/>
                <w:lang w:eastAsia="zh-CN"/>
              </w:rPr>
              <w:t>做好坡体</w:t>
            </w:r>
            <w:r>
              <w:rPr>
                <w:rFonts w:hint="eastAsia"/>
                <w:kern w:val="0"/>
                <w:szCs w:val="21"/>
              </w:rPr>
              <w:t>防护，防治边坡塌方和泥石流的产生；</w:t>
            </w:r>
          </w:p>
          <w:p w14:paraId="3A816DBC">
            <w:pPr>
              <w:adjustRightInd w:val="0"/>
              <w:snapToGrid w:val="0"/>
              <w:rPr>
                <w:kern w:val="0"/>
                <w:szCs w:val="21"/>
              </w:rPr>
            </w:pPr>
            <w:r>
              <w:rPr>
                <w:rFonts w:hint="eastAsia"/>
                <w:kern w:val="0"/>
                <w:szCs w:val="21"/>
              </w:rPr>
              <w:t>4、尽量计划地避开雨季施工，特别是基础开发尽量避开暴雨天施工，使水土流失降低至最低程度。对松散的表土层可用塑料布覆盖，减少水土流失；</w:t>
            </w:r>
          </w:p>
          <w:p w14:paraId="125B87FD">
            <w:pPr>
              <w:adjustRightInd w:val="0"/>
              <w:snapToGrid w:val="0"/>
              <w:rPr>
                <w:rFonts w:hint="eastAsia" w:ascii="宋体" w:hAnsi="宋体" w:cs="宋体"/>
                <w:szCs w:val="21"/>
              </w:rPr>
            </w:pPr>
            <w:r>
              <w:rPr>
                <w:rFonts w:hint="eastAsia"/>
                <w:kern w:val="0"/>
                <w:szCs w:val="21"/>
              </w:rPr>
              <w:t>5、施工结束后，房屋四周、道路两侧、各种空地尽量进行地面绿化和硬化</w:t>
            </w:r>
            <w:r>
              <w:rPr>
                <w:rFonts w:hint="eastAsia"/>
                <w:sz w:val="24"/>
              </w:rPr>
              <w:t>。</w:t>
            </w:r>
          </w:p>
        </w:tc>
      </w:tr>
      <w:tr w14:paraId="3687D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vAlign w:val="center"/>
          </w:tcPr>
          <w:p w14:paraId="3518525B">
            <w:pPr>
              <w:adjustRightInd w:val="0"/>
              <w:snapToGrid w:val="0"/>
              <w:jc w:val="center"/>
              <w:rPr>
                <w:rFonts w:hint="eastAsia" w:ascii="宋体" w:hAnsi="宋体" w:cs="宋体"/>
                <w:spacing w:val="-8"/>
                <w:szCs w:val="21"/>
              </w:rPr>
            </w:pPr>
            <w:r>
              <w:rPr>
                <w:rFonts w:hint="eastAsia" w:ascii="宋体" w:hAnsi="宋体" w:cs="宋体"/>
                <w:spacing w:val="-8"/>
                <w:szCs w:val="21"/>
              </w:rPr>
              <w:t>环境风险</w:t>
            </w:r>
          </w:p>
          <w:p w14:paraId="011C29E8">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8190" w:type="dxa"/>
            <w:gridSpan w:val="4"/>
            <w:vAlign w:val="center"/>
          </w:tcPr>
          <w:p w14:paraId="30804947">
            <w:pPr>
              <w:jc w:val="left"/>
            </w:pPr>
            <w:r>
              <w:t>①加强对</w:t>
            </w:r>
            <w:r>
              <w:rPr>
                <w:kern w:val="0"/>
              </w:rPr>
              <w:t>危险废物</w:t>
            </w:r>
            <w:r>
              <w:t>的安全管理，做到专人管理、专人负责；同时，应做到分区存放，严禁</w:t>
            </w:r>
            <w:r>
              <w:rPr>
                <w:rFonts w:hint="eastAsia"/>
                <w:lang w:eastAsia="zh-CN"/>
              </w:rPr>
              <w:t>成堆</w:t>
            </w:r>
            <w:r>
              <w:t>。</w:t>
            </w:r>
          </w:p>
          <w:p w14:paraId="4487F1C6">
            <w:pPr>
              <w:jc w:val="left"/>
            </w:pPr>
            <w:r>
              <w:t>②生产区安装有火警报警装置等，站内设有消防栓、配有一定数量的灭火器等消防器材。</w:t>
            </w:r>
          </w:p>
          <w:p w14:paraId="2E531B20">
            <w:pPr>
              <w:jc w:val="left"/>
            </w:pPr>
            <w:r>
              <w:t>③对厂区进行分区防渗，满足相关防渗技术要求。</w:t>
            </w:r>
          </w:p>
          <w:p w14:paraId="454462DB">
            <w:pPr>
              <w:jc w:val="left"/>
            </w:pPr>
            <w:r>
              <w:t>④项目危废暂存间，应按有关消防部门的规范要求进行设计和建设，做防雨、防渗、防漏处理，防止危险品渗漏对地下水和地表水造成污染；各类危险废物采取在厂区集中统一收集，设立专用危险废物暂存点；分类存放，按规定设立标志牌，并对暂存点的地面作防渗防漏处理，暂存点周边设置围堰。危险废物统一送有危险废物处理资质的单位统一处置。</w:t>
            </w:r>
          </w:p>
          <w:p w14:paraId="6B91494B">
            <w:pPr>
              <w:jc w:val="left"/>
            </w:pPr>
            <w:r>
              <w:t>⑤加强消防设施的日常管理，在电气设备火灾易发处配备干粉灭火器，并定期进行电路、电气检查，消除安全隐患。</w:t>
            </w:r>
          </w:p>
          <w:p w14:paraId="3FB5A500">
            <w:pPr>
              <w:adjustRightInd w:val="0"/>
              <w:snapToGrid w:val="0"/>
              <w:rPr>
                <w:rFonts w:hint="eastAsia" w:ascii="宋体" w:hAnsi="宋体" w:cs="宋体"/>
                <w:szCs w:val="21"/>
              </w:rPr>
            </w:pPr>
            <w:r>
              <w:t>⑥</w:t>
            </w:r>
            <w:r>
              <w:rPr>
                <w:kern w:val="0"/>
              </w:rPr>
              <w:t>建立环境管理制度，加强风险防范措施，开展环境应急培训、宣传和必要的应急演练，制定突发环境事件应急预案。</w:t>
            </w:r>
          </w:p>
        </w:tc>
      </w:tr>
      <w:tr w14:paraId="18DC6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vAlign w:val="center"/>
          </w:tcPr>
          <w:p w14:paraId="14D350E1">
            <w:pPr>
              <w:jc w:val="center"/>
              <w:rPr>
                <w:spacing w:val="-8"/>
              </w:rPr>
            </w:pPr>
            <w:r>
              <w:rPr>
                <w:spacing w:val="-8"/>
              </w:rPr>
              <w:t>其他环境</w:t>
            </w:r>
          </w:p>
          <w:p w14:paraId="09D293F2">
            <w:pPr>
              <w:jc w:val="center"/>
              <w:rPr>
                <w:rFonts w:hint="eastAsia" w:ascii="宋体" w:hAnsi="宋体" w:cs="宋体"/>
                <w:spacing w:val="-8"/>
                <w:szCs w:val="21"/>
              </w:rPr>
            </w:pPr>
            <w:r>
              <w:rPr>
                <w:spacing w:val="-8"/>
              </w:rPr>
              <w:t>管理要求</w:t>
            </w:r>
          </w:p>
        </w:tc>
        <w:tc>
          <w:tcPr>
            <w:tcW w:w="8190" w:type="dxa"/>
            <w:gridSpan w:val="4"/>
            <w:vAlign w:val="center"/>
          </w:tcPr>
          <w:p w14:paraId="6E8253F9">
            <w:pPr>
              <w:spacing w:before="120" w:beforeLines="50"/>
              <w:rPr>
                <w:kern w:val="0"/>
                <w:szCs w:val="21"/>
              </w:rPr>
            </w:pPr>
            <w:r>
              <w:t>建立危险废物转运台账，规范排污口建设、设置标识标牌、定期进行监测</w:t>
            </w:r>
          </w:p>
        </w:tc>
      </w:tr>
    </w:tbl>
    <w:p w14:paraId="5A40FEA9">
      <w:pPr>
        <w:pStyle w:val="24"/>
        <w:jc w:val="center"/>
        <w:outlineLvl w:val="0"/>
        <w:rPr>
          <w:rFonts w:hint="eastAsia"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2A63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A76873E">
            <w:pPr>
              <w:widowControl/>
              <w:spacing w:line="360" w:lineRule="auto"/>
              <w:jc w:val="left"/>
              <w:rPr>
                <w:sz w:val="24"/>
              </w:rPr>
            </w:pPr>
            <w:r>
              <w:rPr>
                <w:b/>
                <w:bCs/>
                <w:color w:val="000000"/>
                <w:kern w:val="0"/>
                <w:sz w:val="24"/>
                <w:lang w:bidi="ar"/>
              </w:rPr>
              <w:t xml:space="preserve">一、环评结论 </w:t>
            </w:r>
          </w:p>
          <w:p w14:paraId="002F13F1">
            <w:pPr>
              <w:spacing w:line="360" w:lineRule="auto"/>
              <w:ind w:firstLine="480" w:firstLineChars="200"/>
              <w:rPr>
                <w:rFonts w:hint="eastAsia" w:ascii="宋体" w:hAnsi="宋体"/>
                <w:sz w:val="24"/>
              </w:rPr>
            </w:pPr>
            <w:r>
              <w:rPr>
                <w:sz w:val="24"/>
              </w:rPr>
              <w:t>本项目符合国家现行产业政策，选址符合</w:t>
            </w:r>
            <w:r>
              <w:rPr>
                <w:rFonts w:hint="eastAsia"/>
                <w:sz w:val="24"/>
              </w:rPr>
              <w:t>职教园区</w:t>
            </w:r>
            <w:r>
              <w:rPr>
                <w:sz w:val="24"/>
              </w:rPr>
              <w:t>总体规划，选址合理，与周边环境相容。拟采取的污染物治理措施经济、技术可行，措施有效。项目在运营期，只要严格按照本报告表所提出的污染防治对策，并加强内部环境管理，落实废气、废水、噪声、固废等治理措施，确保各项污染物达标排放，实现环境保护设施的有效运行，从环境保护的角度看，评价认为，本项目建设是可行的。</w:t>
            </w:r>
          </w:p>
          <w:p w14:paraId="291CC3CB">
            <w:pPr>
              <w:widowControl/>
              <w:spacing w:line="360" w:lineRule="auto"/>
              <w:ind w:firstLine="482" w:firstLineChars="200"/>
              <w:jc w:val="left"/>
              <w:rPr>
                <w:sz w:val="24"/>
              </w:rPr>
            </w:pPr>
            <w:r>
              <w:rPr>
                <w:b/>
                <w:bCs/>
                <w:color w:val="000000"/>
                <w:kern w:val="0"/>
                <w:sz w:val="24"/>
                <w:lang w:bidi="ar"/>
              </w:rPr>
              <w:t xml:space="preserve"> </w:t>
            </w:r>
          </w:p>
          <w:p w14:paraId="4F9001E9">
            <w:pPr>
              <w:spacing w:line="360" w:lineRule="auto"/>
              <w:rPr>
                <w:rFonts w:ascii="宋体" w:cs="宋体"/>
                <w:sz w:val="24"/>
              </w:rPr>
            </w:pPr>
          </w:p>
        </w:tc>
      </w:tr>
      <w:tr w14:paraId="6EAC7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9" w:hRule="atLeast"/>
          <w:jc w:val="center"/>
        </w:trPr>
        <w:tc>
          <w:tcPr>
            <w:tcW w:w="8865" w:type="dxa"/>
          </w:tcPr>
          <w:p w14:paraId="1D3C62BE">
            <w:pPr>
              <w:spacing w:before="120" w:beforeLines="50" w:line="310" w:lineRule="exact"/>
              <w:ind w:firstLine="602"/>
              <w:jc w:val="center"/>
              <w:rPr>
                <w:b/>
                <w:bCs/>
                <w:sz w:val="30"/>
              </w:rPr>
            </w:pPr>
            <w:r>
              <w:rPr>
                <w:b/>
                <w:bCs/>
                <w:sz w:val="30"/>
              </w:rPr>
              <w:t>注   释</w:t>
            </w:r>
          </w:p>
          <w:p w14:paraId="30A4DD5B">
            <w:pPr>
              <w:spacing w:after="240" w:afterLines="100"/>
              <w:ind w:firstLine="482" w:firstLineChars="200"/>
              <w:outlineLvl w:val="0"/>
              <w:rPr>
                <w:b/>
                <w:bCs/>
                <w:sz w:val="24"/>
              </w:rPr>
            </w:pPr>
            <w:r>
              <w:rPr>
                <w:rFonts w:hint="eastAsia"/>
                <w:b/>
                <w:bCs/>
                <w:sz w:val="24"/>
              </w:rPr>
              <w:t>附图：</w:t>
            </w:r>
          </w:p>
          <w:p w14:paraId="3FCCA6BA">
            <w:pPr>
              <w:spacing w:line="360" w:lineRule="auto"/>
              <w:ind w:firstLine="480" w:firstLineChars="200"/>
              <w:rPr>
                <w:sz w:val="24"/>
              </w:rPr>
            </w:pPr>
            <w:r>
              <w:rPr>
                <w:rFonts w:hint="eastAsia"/>
                <w:sz w:val="24"/>
              </w:rPr>
              <w:t>附图1 地理位置图</w:t>
            </w:r>
          </w:p>
          <w:p w14:paraId="29251007">
            <w:pPr>
              <w:spacing w:line="360" w:lineRule="auto"/>
              <w:ind w:firstLine="480" w:firstLineChars="200"/>
              <w:rPr>
                <w:sz w:val="24"/>
              </w:rPr>
            </w:pPr>
            <w:r>
              <w:rPr>
                <w:rFonts w:hint="eastAsia"/>
                <w:sz w:val="24"/>
              </w:rPr>
              <w:t>附图2 本项目与西南职教园区土地规划关系图</w:t>
            </w:r>
          </w:p>
          <w:p w14:paraId="0DE4A9F3">
            <w:pPr>
              <w:spacing w:line="360" w:lineRule="auto"/>
              <w:ind w:firstLine="480" w:firstLineChars="200"/>
              <w:rPr>
                <w:sz w:val="24"/>
              </w:rPr>
            </w:pPr>
            <w:r>
              <w:rPr>
                <w:rFonts w:hint="eastAsia"/>
                <w:sz w:val="24"/>
              </w:rPr>
              <w:t>附图3 本项目外环境关系及卫生防护距离图</w:t>
            </w:r>
          </w:p>
          <w:p w14:paraId="185874BF">
            <w:pPr>
              <w:spacing w:line="360" w:lineRule="auto"/>
              <w:ind w:firstLine="480" w:firstLineChars="200"/>
              <w:rPr>
                <w:sz w:val="24"/>
              </w:rPr>
            </w:pPr>
            <w:r>
              <w:rPr>
                <w:sz w:val="24"/>
              </w:rPr>
              <w:t>附图4</w:t>
            </w:r>
            <w:r>
              <w:rPr>
                <w:rFonts w:hint="eastAsia"/>
                <w:sz w:val="24"/>
              </w:rPr>
              <w:t xml:space="preserve"> </w:t>
            </w:r>
            <w:r>
              <w:rPr>
                <w:sz w:val="24"/>
              </w:rPr>
              <w:t>本项目厂区总平面布置、环保设施、分区防渗及雨污管网图</w:t>
            </w:r>
          </w:p>
          <w:p w14:paraId="14836FF9">
            <w:pPr>
              <w:spacing w:line="360" w:lineRule="auto"/>
              <w:ind w:firstLine="480" w:firstLineChars="200"/>
              <w:rPr>
                <w:sz w:val="24"/>
              </w:rPr>
            </w:pPr>
            <w:r>
              <w:rPr>
                <w:sz w:val="24"/>
              </w:rPr>
              <w:t>附图5</w:t>
            </w:r>
            <w:r>
              <w:rPr>
                <w:rFonts w:hint="eastAsia"/>
                <w:sz w:val="24"/>
              </w:rPr>
              <w:t xml:space="preserve"> </w:t>
            </w:r>
            <w:r>
              <w:rPr>
                <w:sz w:val="24"/>
              </w:rPr>
              <w:t>本项目垃圾站房一层平面布置及分区防渗图</w:t>
            </w:r>
          </w:p>
          <w:p w14:paraId="116B59DC">
            <w:pPr>
              <w:spacing w:line="360" w:lineRule="auto"/>
              <w:ind w:firstLine="480" w:firstLineChars="200"/>
              <w:rPr>
                <w:sz w:val="24"/>
              </w:rPr>
            </w:pPr>
            <w:r>
              <w:rPr>
                <w:sz w:val="24"/>
              </w:rPr>
              <w:t>附图6</w:t>
            </w:r>
            <w:r>
              <w:rPr>
                <w:rFonts w:hint="eastAsia"/>
                <w:sz w:val="24"/>
              </w:rPr>
              <w:t xml:space="preserve"> </w:t>
            </w:r>
            <w:r>
              <w:rPr>
                <w:sz w:val="24"/>
              </w:rPr>
              <w:t>垃圾站房二层平面布置图</w:t>
            </w:r>
          </w:p>
          <w:p w14:paraId="5E62FB73">
            <w:pPr>
              <w:spacing w:line="360" w:lineRule="auto"/>
              <w:ind w:firstLine="480" w:firstLineChars="200"/>
              <w:rPr>
                <w:sz w:val="24"/>
              </w:rPr>
            </w:pPr>
            <w:r>
              <w:rPr>
                <w:sz w:val="24"/>
              </w:rPr>
              <w:t>附图7</w:t>
            </w:r>
            <w:r>
              <w:rPr>
                <w:rFonts w:hint="eastAsia"/>
                <w:sz w:val="24"/>
              </w:rPr>
              <w:t xml:space="preserve"> </w:t>
            </w:r>
            <w:r>
              <w:rPr>
                <w:sz w:val="24"/>
              </w:rPr>
              <w:t>本项目大气、声环境质量监测点位图</w:t>
            </w:r>
          </w:p>
          <w:p w14:paraId="16556344">
            <w:pPr>
              <w:spacing w:line="360" w:lineRule="auto"/>
              <w:ind w:firstLine="480" w:firstLineChars="200"/>
              <w:rPr>
                <w:sz w:val="24"/>
              </w:rPr>
            </w:pPr>
            <w:r>
              <w:rPr>
                <w:rFonts w:hint="eastAsia"/>
                <w:sz w:val="24"/>
              </w:rPr>
              <w:t>附图8 本项目与达州市生态环境管控单元位置关系图</w:t>
            </w:r>
          </w:p>
          <w:p w14:paraId="64CDDE2D">
            <w:pPr>
              <w:spacing w:after="240" w:afterLines="100"/>
              <w:ind w:firstLine="482" w:firstLineChars="200"/>
              <w:outlineLvl w:val="0"/>
              <w:rPr>
                <w:b/>
                <w:bCs/>
                <w:sz w:val="24"/>
              </w:rPr>
            </w:pPr>
            <w:r>
              <w:rPr>
                <w:rFonts w:hint="eastAsia"/>
                <w:b/>
                <w:bCs/>
                <w:sz w:val="24"/>
              </w:rPr>
              <w:t>附件：</w:t>
            </w:r>
          </w:p>
          <w:p w14:paraId="48D14036">
            <w:pPr>
              <w:spacing w:line="360" w:lineRule="auto"/>
              <w:ind w:firstLine="480" w:firstLineChars="200"/>
              <w:rPr>
                <w:sz w:val="24"/>
              </w:rPr>
            </w:pPr>
            <w:r>
              <w:rPr>
                <w:rFonts w:hint="eastAsia"/>
                <w:sz w:val="24"/>
              </w:rPr>
              <w:t>附件1 环评委托书</w:t>
            </w:r>
          </w:p>
          <w:p w14:paraId="1E99259F">
            <w:pPr>
              <w:spacing w:line="360" w:lineRule="auto"/>
              <w:ind w:firstLine="480" w:firstLineChars="200"/>
              <w:rPr>
                <w:sz w:val="24"/>
              </w:rPr>
            </w:pPr>
            <w:r>
              <w:rPr>
                <w:rFonts w:hint="eastAsia"/>
                <w:sz w:val="24"/>
              </w:rPr>
              <w:t>附件2 设计规模补充说明</w:t>
            </w:r>
          </w:p>
          <w:p w14:paraId="7444FB9B">
            <w:pPr>
              <w:spacing w:line="360" w:lineRule="auto"/>
              <w:ind w:firstLine="480" w:firstLineChars="200"/>
              <w:rPr>
                <w:sz w:val="24"/>
              </w:rPr>
            </w:pPr>
            <w:r>
              <w:rPr>
                <w:rFonts w:hint="eastAsia"/>
                <w:sz w:val="24"/>
              </w:rPr>
              <w:t>附件3 项目选址意见书</w:t>
            </w:r>
          </w:p>
          <w:p w14:paraId="15756804">
            <w:pPr>
              <w:spacing w:line="360" w:lineRule="auto"/>
              <w:ind w:firstLine="480" w:firstLineChars="200"/>
              <w:rPr>
                <w:sz w:val="24"/>
              </w:rPr>
            </w:pPr>
            <w:r>
              <w:rPr>
                <w:rFonts w:hint="eastAsia"/>
                <w:sz w:val="24"/>
              </w:rPr>
              <w:t>附件4 达州市发展和改革委员会关于职教园区中型垃圾转运站建设项目建议书的批复</w:t>
            </w:r>
          </w:p>
          <w:p w14:paraId="54241AEC">
            <w:pPr>
              <w:spacing w:line="360" w:lineRule="auto"/>
              <w:ind w:firstLine="480" w:firstLineChars="200"/>
              <w:rPr>
                <w:sz w:val="24"/>
              </w:rPr>
            </w:pPr>
            <w:r>
              <w:rPr>
                <w:rFonts w:hint="eastAsia"/>
                <w:sz w:val="24"/>
              </w:rPr>
              <w:t>附件5 达州市发展和改革委员会关于职教园区中型垃圾转运站建设项目可行性研究报告的批复</w:t>
            </w:r>
          </w:p>
          <w:p w14:paraId="0829B5CA">
            <w:pPr>
              <w:spacing w:line="360" w:lineRule="auto"/>
              <w:ind w:firstLine="480" w:firstLineChars="200"/>
              <w:rPr>
                <w:sz w:val="24"/>
              </w:rPr>
            </w:pPr>
            <w:r>
              <w:rPr>
                <w:rFonts w:hint="eastAsia"/>
                <w:sz w:val="24"/>
              </w:rPr>
              <w:t>附件6 达州市城市管理行政执法局关于同意职教园区中型垃圾转运站建设项目生产生活污水排入市政污水管网的函</w:t>
            </w:r>
          </w:p>
          <w:p w14:paraId="432FC8FF">
            <w:pPr>
              <w:spacing w:line="360" w:lineRule="auto"/>
              <w:ind w:firstLine="480" w:firstLineChars="200"/>
              <w:rPr>
                <w:sz w:val="24"/>
              </w:rPr>
            </w:pPr>
            <w:r>
              <w:rPr>
                <w:rFonts w:hint="eastAsia"/>
                <w:sz w:val="24"/>
              </w:rPr>
              <w:t>附件7 环境质量监测报告</w:t>
            </w:r>
          </w:p>
          <w:p w14:paraId="1B3EA479">
            <w:pPr>
              <w:spacing w:line="360" w:lineRule="auto"/>
              <w:rPr>
                <w:rFonts w:ascii="宋体" w:cs="宋体"/>
                <w:sz w:val="24"/>
              </w:rPr>
            </w:pPr>
          </w:p>
          <w:p w14:paraId="4D387486">
            <w:pPr>
              <w:spacing w:line="360" w:lineRule="auto"/>
              <w:rPr>
                <w:rFonts w:ascii="宋体" w:cs="宋体"/>
                <w:sz w:val="24"/>
              </w:rPr>
            </w:pPr>
          </w:p>
          <w:p w14:paraId="09DB05DC">
            <w:pPr>
              <w:spacing w:line="360" w:lineRule="auto"/>
              <w:rPr>
                <w:rFonts w:ascii="宋体" w:cs="宋体"/>
                <w:sz w:val="24"/>
              </w:rPr>
            </w:pPr>
          </w:p>
          <w:p w14:paraId="327C7FD8">
            <w:pPr>
              <w:spacing w:line="360" w:lineRule="auto"/>
              <w:rPr>
                <w:rFonts w:ascii="宋体" w:cs="宋体"/>
                <w:sz w:val="24"/>
              </w:rPr>
            </w:pPr>
          </w:p>
          <w:p w14:paraId="6D4160C6">
            <w:pPr>
              <w:spacing w:line="360" w:lineRule="auto"/>
              <w:rPr>
                <w:rFonts w:ascii="宋体" w:cs="宋体"/>
                <w:sz w:val="24"/>
              </w:rPr>
            </w:pPr>
          </w:p>
          <w:p w14:paraId="002A8DEF">
            <w:pPr>
              <w:spacing w:line="360" w:lineRule="auto"/>
              <w:rPr>
                <w:rFonts w:ascii="宋体" w:cs="宋体"/>
                <w:sz w:val="24"/>
              </w:rPr>
            </w:pPr>
          </w:p>
          <w:p w14:paraId="7B93C2FE">
            <w:pPr>
              <w:spacing w:line="360" w:lineRule="auto"/>
              <w:rPr>
                <w:rFonts w:ascii="宋体" w:cs="宋体"/>
                <w:sz w:val="24"/>
              </w:rPr>
            </w:pPr>
          </w:p>
        </w:tc>
      </w:tr>
    </w:tbl>
    <w:p w14:paraId="1B92A244">
      <w:pPr>
        <w:rPr>
          <w:rFonts w:hint="eastAsia" w:ascii="宋体" w:hAnsi="宋体" w:eastAsia="黑体"/>
        </w:rPr>
      </w:pPr>
    </w:p>
    <w:sectPr>
      <w:footerReference r:id="rId6"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康简标题宋">
    <w:altName w:val="宋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63D85">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010D6">
    <w:pPr>
      <w:pStyle w:val="19"/>
      <w:framePr w:wrap="around" w:vAnchor="text" w:hAnchor="margin" w:xAlign="center" w:y="1"/>
      <w:rPr>
        <w:rStyle w:val="31"/>
      </w:rPr>
    </w:pPr>
    <w:r>
      <w:fldChar w:fldCharType="begin"/>
    </w:r>
    <w:r>
      <w:rPr>
        <w:rStyle w:val="31"/>
      </w:rPr>
      <w:instrText xml:space="preserve">PAGE  </w:instrText>
    </w:r>
    <w:r>
      <w:fldChar w:fldCharType="end"/>
    </w:r>
  </w:p>
  <w:p w14:paraId="2EB29F09">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EC2">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2BBF02">
                          <w:pPr>
                            <w:pStyle w:val="19"/>
                            <w:rPr>
                              <w:rStyle w:val="31"/>
                              <w:rFonts w:hint="eastAsia"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D+ZEGO2wEAALYDAAAOAAAAAAAAAAEA&#10;IAAAAB4BAABkcnMvZTJvRG9jLnhtbFBLBQYAAAAABgAGAFkBAABrBQAAAAA=&#10;">
              <v:fill on="f" focussize="0,0"/>
              <v:stroke on="f"/>
              <v:imagedata o:title=""/>
              <o:lock v:ext="edit" aspectratio="f"/>
              <v:textbox inset="0mm,0mm,0mm,0mm" style="mso-fit-shape-to-text:t;">
                <w:txbxContent>
                  <w:p w14:paraId="272BBF02">
                    <w:pPr>
                      <w:pStyle w:val="19"/>
                      <w:rPr>
                        <w:rStyle w:val="31"/>
                        <w:rFonts w:hint="eastAsia"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76EF2">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4B8F7A">
                          <w:pPr>
                            <w:pStyle w:val="19"/>
                            <w:rPr>
                              <w:rStyle w:val="31"/>
                              <w:rFonts w:hint="eastAsia"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bHK9E2wEAALYDAAAOAAAAAAAAAAEA&#10;IAAAAB4BAABkcnMvZTJvRG9jLnhtbFBLBQYAAAAABgAGAFkBAABrBQAAAAA=&#10;">
              <v:fill on="f" focussize="0,0"/>
              <v:stroke on="f"/>
              <v:imagedata o:title=""/>
              <o:lock v:ext="edit" aspectratio="f"/>
              <v:textbox inset="0mm,0mm,0mm,0mm" style="mso-fit-shape-to-text:t;">
                <w:txbxContent>
                  <w:p w14:paraId="6E4B8F7A">
                    <w:pPr>
                      <w:pStyle w:val="19"/>
                      <w:rPr>
                        <w:rStyle w:val="31"/>
                        <w:rFonts w:hint="eastAsia"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4A5CA"/>
    <w:multiLevelType w:val="singleLevel"/>
    <w:tmpl w:val="9264A5CA"/>
    <w:lvl w:ilvl="0" w:tentative="0">
      <w:start w:val="2"/>
      <w:numFmt w:val="decimal"/>
      <w:suff w:val="nothing"/>
      <w:lvlText w:val="（%1）"/>
      <w:lvlJc w:val="left"/>
    </w:lvl>
  </w:abstractNum>
  <w:abstractNum w:abstractNumId="1">
    <w:nsid w:val="DB2FA085"/>
    <w:multiLevelType w:val="singleLevel"/>
    <w:tmpl w:val="DB2FA085"/>
    <w:lvl w:ilvl="0" w:tentative="0">
      <w:start w:val="3"/>
      <w:numFmt w:val="decimal"/>
      <w:suff w:val="nothing"/>
      <w:lvlText w:val="%1、"/>
      <w:lvlJc w:val="left"/>
    </w:lvl>
  </w:abstractNum>
  <w:abstractNum w:abstractNumId="2">
    <w:nsid w:val="27DA32E0"/>
    <w:multiLevelType w:val="singleLevel"/>
    <w:tmpl w:val="27DA32E0"/>
    <w:lvl w:ilvl="0" w:tentative="0">
      <w:start w:val="1"/>
      <w:numFmt w:val="decimal"/>
      <w:suff w:val="nothing"/>
      <w:lvlText w:val="（%1）"/>
      <w:lvlJc w:val="left"/>
    </w:lvl>
  </w:abstractNum>
  <w:abstractNum w:abstractNumId="3">
    <w:nsid w:val="2BDD5C85"/>
    <w:multiLevelType w:val="multilevel"/>
    <w:tmpl w:val="2BDD5C85"/>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none"/>
      <w:pStyle w:val="5"/>
      <w:suff w:val="nothing"/>
      <w:lvlText w:val="表4-1"/>
      <w:lvlJc w:val="left"/>
      <w:pPr>
        <w:tabs>
          <w:tab w:val="left" w:pos="0"/>
        </w:tabs>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427901EA"/>
    <w:multiLevelType w:val="singleLevel"/>
    <w:tmpl w:val="427901EA"/>
    <w:lvl w:ilvl="0" w:tentative="0">
      <w:start w:val="1"/>
      <w:numFmt w:val="decimal"/>
      <w:suff w:val="space"/>
      <w:lvlText w:val="%1"/>
      <w:lvlJc w:val="left"/>
      <w:pPr>
        <w:ind w:left="0" w:firstLine="0"/>
      </w:pPr>
      <w:rPr>
        <w:rFonts w:hint="default"/>
      </w:rPr>
    </w:lvl>
  </w:abstractNum>
  <w:abstractNum w:abstractNumId="5">
    <w:nsid w:val="4C7A5F71"/>
    <w:multiLevelType w:val="singleLevel"/>
    <w:tmpl w:val="4C7A5F71"/>
    <w:lvl w:ilvl="0" w:tentative="0">
      <w:start w:val="7"/>
      <w:numFmt w:val="decimal"/>
      <w:suff w:val="nothing"/>
      <w:lvlText w:val="%1、"/>
      <w:lvlJc w:val="left"/>
    </w:lvl>
  </w:abstractNum>
  <w:abstractNum w:abstractNumId="6">
    <w:nsid w:val="5839548E"/>
    <w:multiLevelType w:val="multilevel"/>
    <w:tmpl w:val="5839548E"/>
    <w:lvl w:ilvl="0" w:tentative="0">
      <w:start w:val="1"/>
      <w:numFmt w:val="decimal"/>
      <w:suff w:val="space"/>
      <w:lvlText w:val="%1"/>
      <w:lvlJc w:val="left"/>
      <w:pPr>
        <w:ind w:left="0" w:firstLine="0"/>
      </w:pPr>
      <w:rPr>
        <w:rFonts w:hint="eastAsia"/>
      </w:rPr>
    </w:lvl>
    <w:lvl w:ilvl="1" w:tentative="0">
      <w:start w:val="1"/>
      <w:numFmt w:val="decimal"/>
      <w:pStyle w:val="4"/>
      <w:suff w:val="space"/>
      <w:lvlText w:val="%1.%2"/>
      <w:lvlJc w:val="left"/>
      <w:pPr>
        <w:ind w:left="93" w:firstLine="0"/>
      </w:pPr>
      <w:rPr>
        <w:rFonts w:hint="eastAsia"/>
      </w:rPr>
    </w:lvl>
    <w:lvl w:ilvl="2" w:tentative="0">
      <w:start w:val="1"/>
      <w:numFmt w:val="decimal"/>
      <w:suff w:val="space"/>
      <w:lvlText w:val="%1.%2.%3"/>
      <w:lvlJc w:val="left"/>
      <w:pPr>
        <w:ind w:left="284"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nothing"/>
      <w:lvlText w:val="%5）"/>
      <w:lvlJc w:val="left"/>
      <w:pPr>
        <w:ind w:left="26" w:firstLine="400"/>
      </w:pPr>
      <w:rPr>
        <w:rFonts w:hint="eastAsia"/>
      </w:rPr>
    </w:lvl>
    <w:lvl w:ilvl="5" w:tentative="0">
      <w:start w:val="1"/>
      <w:numFmt w:val="decimal"/>
      <w:suff w:val="nothing"/>
      <w:lvlText w:val="（%6）"/>
      <w:lvlJc w:val="left"/>
      <w:pPr>
        <w:ind w:left="0" w:firstLine="420"/>
      </w:pPr>
      <w:rPr>
        <w:rFonts w:hint="eastAsia"/>
      </w:rPr>
    </w:lvl>
    <w:lvl w:ilvl="6" w:tentative="0">
      <w:start w:val="1"/>
      <w:numFmt w:val="decimalEnclosedCircle"/>
      <w:suff w:val="nothing"/>
      <w:lvlText w:val="%7"/>
      <w:lvlJc w:val="left"/>
      <w:pPr>
        <w:ind w:left="452" w:firstLine="400"/>
      </w:pPr>
      <w:rPr>
        <w:rFonts w:hint="eastAsia"/>
        <w:b w:val="0"/>
        <w:bCs w:val="0"/>
        <w:i w:val="0"/>
        <w:iCs w:val="0"/>
        <w:caps w:val="0"/>
        <w:smallCaps w:val="0"/>
        <w:strike w:val="0"/>
        <w:dstrike w:val="0"/>
        <w:vanish w:val="0"/>
        <w:color w:val="000000"/>
        <w:spacing w:val="0"/>
        <w:position w:val="0"/>
        <w:u w:val="none"/>
        <w:vertAlign w:val="baseline"/>
      </w:rPr>
    </w:lvl>
    <w:lvl w:ilvl="7" w:tentative="0">
      <w:start w:val="1"/>
      <w:numFmt w:val="lowerLetter"/>
      <w:suff w:val="nothing"/>
      <w:lvlText w:val="%8."/>
      <w:lvlJc w:val="left"/>
      <w:pPr>
        <w:ind w:left="0" w:firstLine="400"/>
      </w:pPr>
      <w:rPr>
        <w:rFonts w:hint="eastAsia"/>
      </w:rPr>
    </w:lvl>
    <w:lvl w:ilvl="8" w:tentative="0">
      <w:start w:val="1"/>
      <w:numFmt w:val="lowerRoman"/>
      <w:suff w:val="nothing"/>
      <w:lvlText w:val="%9."/>
      <w:lvlJc w:val="left"/>
      <w:pPr>
        <w:ind w:left="0" w:firstLine="400"/>
      </w:pPr>
      <w:rPr>
        <w:rFonts w:hint="eastAsia"/>
      </w:rPr>
    </w:lvl>
  </w:abstractNum>
  <w:abstractNum w:abstractNumId="7">
    <w:nsid w:val="6B82A174"/>
    <w:multiLevelType w:val="singleLevel"/>
    <w:tmpl w:val="6B82A174"/>
    <w:lvl w:ilvl="0" w:tentative="0">
      <w:start w:val="2"/>
      <w:numFmt w:val="decimal"/>
      <w:suff w:val="nothing"/>
      <w:lvlText w:val="%1、"/>
      <w:lvlJc w:val="left"/>
    </w:lvl>
  </w:abstractNum>
  <w:abstractNum w:abstractNumId="8">
    <w:nsid w:val="7E852036"/>
    <w:multiLevelType w:val="singleLevel"/>
    <w:tmpl w:val="7E852036"/>
    <w:lvl w:ilvl="0" w:tentative="0">
      <w:start w:val="2"/>
      <w:numFmt w:val="decimal"/>
      <w:suff w:val="nothing"/>
      <w:lvlText w:val="%1、"/>
      <w:lvlJc w:val="left"/>
    </w:lvl>
  </w:abstractNum>
  <w:abstractNum w:abstractNumId="9">
    <w:nsid w:val="7F4B9E49"/>
    <w:multiLevelType w:val="singleLevel"/>
    <w:tmpl w:val="7F4B9E49"/>
    <w:lvl w:ilvl="0" w:tentative="0">
      <w:start w:val="1"/>
      <w:numFmt w:val="decimal"/>
      <w:suff w:val="nothing"/>
      <w:lvlText w:val="（%1）"/>
      <w:lvlJc w:val="left"/>
    </w:lvl>
  </w:abstractNum>
  <w:num w:numId="1">
    <w:abstractNumId w:val="6"/>
  </w:num>
  <w:num w:numId="2">
    <w:abstractNumId w:val="3"/>
  </w:num>
  <w:num w:numId="3">
    <w:abstractNumId w:val="8"/>
  </w:num>
  <w:num w:numId="4">
    <w:abstractNumId w:val="5"/>
  </w:num>
  <w:num w:numId="5">
    <w:abstractNumId w:val="4"/>
  </w:num>
  <w:num w:numId="6">
    <w:abstractNumId w:val="9"/>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A14947"/>
    <w:rsid w:val="000060B3"/>
    <w:rsid w:val="000168CD"/>
    <w:rsid w:val="0004364B"/>
    <w:rsid w:val="00061B1F"/>
    <w:rsid w:val="000733C4"/>
    <w:rsid w:val="00074783"/>
    <w:rsid w:val="0007494C"/>
    <w:rsid w:val="0008070B"/>
    <w:rsid w:val="000810AC"/>
    <w:rsid w:val="00081A02"/>
    <w:rsid w:val="00082231"/>
    <w:rsid w:val="00092D38"/>
    <w:rsid w:val="0009377B"/>
    <w:rsid w:val="000A20C9"/>
    <w:rsid w:val="000B058F"/>
    <w:rsid w:val="000B4467"/>
    <w:rsid w:val="000B4DB9"/>
    <w:rsid w:val="000C09AC"/>
    <w:rsid w:val="000C0ADE"/>
    <w:rsid w:val="000C3FFA"/>
    <w:rsid w:val="000C767F"/>
    <w:rsid w:val="000D5A44"/>
    <w:rsid w:val="000E3ED2"/>
    <w:rsid w:val="0012418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1167"/>
    <w:rsid w:val="001C69B3"/>
    <w:rsid w:val="001D5595"/>
    <w:rsid w:val="001D7874"/>
    <w:rsid w:val="001D7F22"/>
    <w:rsid w:val="001F0F17"/>
    <w:rsid w:val="001F3347"/>
    <w:rsid w:val="001F69E4"/>
    <w:rsid w:val="002026B6"/>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96830"/>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3296"/>
    <w:rsid w:val="00356653"/>
    <w:rsid w:val="0035743F"/>
    <w:rsid w:val="00357BE2"/>
    <w:rsid w:val="0036170C"/>
    <w:rsid w:val="00366E0F"/>
    <w:rsid w:val="00381A72"/>
    <w:rsid w:val="00384676"/>
    <w:rsid w:val="00387562"/>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518B"/>
    <w:rsid w:val="00452738"/>
    <w:rsid w:val="00456091"/>
    <w:rsid w:val="00466321"/>
    <w:rsid w:val="00481217"/>
    <w:rsid w:val="00484B9B"/>
    <w:rsid w:val="004855F6"/>
    <w:rsid w:val="0048661E"/>
    <w:rsid w:val="00491C26"/>
    <w:rsid w:val="00494670"/>
    <w:rsid w:val="004A3823"/>
    <w:rsid w:val="004A6F11"/>
    <w:rsid w:val="004E6946"/>
    <w:rsid w:val="004F1AD8"/>
    <w:rsid w:val="005039CB"/>
    <w:rsid w:val="0050558F"/>
    <w:rsid w:val="00506286"/>
    <w:rsid w:val="00510813"/>
    <w:rsid w:val="00511990"/>
    <w:rsid w:val="00511DE0"/>
    <w:rsid w:val="00514870"/>
    <w:rsid w:val="00514B9B"/>
    <w:rsid w:val="00517F02"/>
    <w:rsid w:val="00524303"/>
    <w:rsid w:val="005258A2"/>
    <w:rsid w:val="00535576"/>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55C1"/>
    <w:rsid w:val="006611B8"/>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24A7"/>
    <w:rsid w:val="00767980"/>
    <w:rsid w:val="00770B19"/>
    <w:rsid w:val="0077463F"/>
    <w:rsid w:val="007836EA"/>
    <w:rsid w:val="00784CDA"/>
    <w:rsid w:val="007906C4"/>
    <w:rsid w:val="007940EA"/>
    <w:rsid w:val="007967E8"/>
    <w:rsid w:val="007A2170"/>
    <w:rsid w:val="007A22BF"/>
    <w:rsid w:val="007A3323"/>
    <w:rsid w:val="007B6938"/>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3884"/>
    <w:rsid w:val="008E5D6B"/>
    <w:rsid w:val="008E76F0"/>
    <w:rsid w:val="008F15FE"/>
    <w:rsid w:val="008F2D29"/>
    <w:rsid w:val="008F5187"/>
    <w:rsid w:val="008F60D8"/>
    <w:rsid w:val="00902727"/>
    <w:rsid w:val="0090312B"/>
    <w:rsid w:val="0091736D"/>
    <w:rsid w:val="00925F2B"/>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1A94"/>
    <w:rsid w:val="00A14947"/>
    <w:rsid w:val="00A32A83"/>
    <w:rsid w:val="00A368DB"/>
    <w:rsid w:val="00A423AA"/>
    <w:rsid w:val="00A53EC6"/>
    <w:rsid w:val="00A55C0F"/>
    <w:rsid w:val="00A7542B"/>
    <w:rsid w:val="00A8713F"/>
    <w:rsid w:val="00A90BA1"/>
    <w:rsid w:val="00A96DC3"/>
    <w:rsid w:val="00A97A9A"/>
    <w:rsid w:val="00AA0671"/>
    <w:rsid w:val="00AA2531"/>
    <w:rsid w:val="00AB1E09"/>
    <w:rsid w:val="00AB5330"/>
    <w:rsid w:val="00AB7747"/>
    <w:rsid w:val="00AC14CE"/>
    <w:rsid w:val="00AC2A56"/>
    <w:rsid w:val="00AD055E"/>
    <w:rsid w:val="00AD47A7"/>
    <w:rsid w:val="00AE6F84"/>
    <w:rsid w:val="00AF0CBF"/>
    <w:rsid w:val="00AF257F"/>
    <w:rsid w:val="00AF33CF"/>
    <w:rsid w:val="00AF4D50"/>
    <w:rsid w:val="00AF6179"/>
    <w:rsid w:val="00B1295A"/>
    <w:rsid w:val="00B20A45"/>
    <w:rsid w:val="00B22C5C"/>
    <w:rsid w:val="00B24F30"/>
    <w:rsid w:val="00B31ABF"/>
    <w:rsid w:val="00B33BE3"/>
    <w:rsid w:val="00B52308"/>
    <w:rsid w:val="00B53B5D"/>
    <w:rsid w:val="00B6055E"/>
    <w:rsid w:val="00B6317D"/>
    <w:rsid w:val="00B7723F"/>
    <w:rsid w:val="00B80534"/>
    <w:rsid w:val="00B8433C"/>
    <w:rsid w:val="00B87491"/>
    <w:rsid w:val="00B95800"/>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14FB"/>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0545"/>
    <w:rsid w:val="00D94A7C"/>
    <w:rsid w:val="00D95896"/>
    <w:rsid w:val="00D96754"/>
    <w:rsid w:val="00DB2983"/>
    <w:rsid w:val="00DC1257"/>
    <w:rsid w:val="00DC3DC0"/>
    <w:rsid w:val="00DC5B2B"/>
    <w:rsid w:val="00DD318D"/>
    <w:rsid w:val="00DE1AB3"/>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31888"/>
    <w:rsid w:val="01290F7E"/>
    <w:rsid w:val="012A7E09"/>
    <w:rsid w:val="015D1E09"/>
    <w:rsid w:val="0180692A"/>
    <w:rsid w:val="01F37E48"/>
    <w:rsid w:val="021872A3"/>
    <w:rsid w:val="02697903"/>
    <w:rsid w:val="026F2877"/>
    <w:rsid w:val="029122BB"/>
    <w:rsid w:val="02963DFC"/>
    <w:rsid w:val="02AE57D2"/>
    <w:rsid w:val="02C20E3B"/>
    <w:rsid w:val="02D17182"/>
    <w:rsid w:val="02F96569"/>
    <w:rsid w:val="0301691C"/>
    <w:rsid w:val="03EA7B21"/>
    <w:rsid w:val="040E0B84"/>
    <w:rsid w:val="044304CB"/>
    <w:rsid w:val="04535178"/>
    <w:rsid w:val="047015E8"/>
    <w:rsid w:val="04F16AAA"/>
    <w:rsid w:val="04FC1FE6"/>
    <w:rsid w:val="050A60E1"/>
    <w:rsid w:val="053805E0"/>
    <w:rsid w:val="055F18C6"/>
    <w:rsid w:val="056E1E52"/>
    <w:rsid w:val="05705FF7"/>
    <w:rsid w:val="05792692"/>
    <w:rsid w:val="058A3DD1"/>
    <w:rsid w:val="05F83EAE"/>
    <w:rsid w:val="063E7D85"/>
    <w:rsid w:val="066721E2"/>
    <w:rsid w:val="06F1543D"/>
    <w:rsid w:val="07293586"/>
    <w:rsid w:val="07295285"/>
    <w:rsid w:val="073C3A65"/>
    <w:rsid w:val="07576CB3"/>
    <w:rsid w:val="07636392"/>
    <w:rsid w:val="07702E6D"/>
    <w:rsid w:val="07770C56"/>
    <w:rsid w:val="08143F1D"/>
    <w:rsid w:val="08202D8C"/>
    <w:rsid w:val="08273E19"/>
    <w:rsid w:val="084D4B81"/>
    <w:rsid w:val="084F0BA3"/>
    <w:rsid w:val="086B632C"/>
    <w:rsid w:val="087552AA"/>
    <w:rsid w:val="08B4232F"/>
    <w:rsid w:val="08C44A96"/>
    <w:rsid w:val="08DB37B2"/>
    <w:rsid w:val="09002A84"/>
    <w:rsid w:val="092217DD"/>
    <w:rsid w:val="093A7294"/>
    <w:rsid w:val="09614922"/>
    <w:rsid w:val="0968021B"/>
    <w:rsid w:val="098132FA"/>
    <w:rsid w:val="09A71BCB"/>
    <w:rsid w:val="0A263993"/>
    <w:rsid w:val="0A2D3AC2"/>
    <w:rsid w:val="0A316542"/>
    <w:rsid w:val="0A425720"/>
    <w:rsid w:val="0A7A4D19"/>
    <w:rsid w:val="0AA755DF"/>
    <w:rsid w:val="0AD02E89"/>
    <w:rsid w:val="0AE20DD9"/>
    <w:rsid w:val="0B120D44"/>
    <w:rsid w:val="0B1B598C"/>
    <w:rsid w:val="0BA05BC0"/>
    <w:rsid w:val="0BC226BD"/>
    <w:rsid w:val="0BC340CF"/>
    <w:rsid w:val="0BCF45B9"/>
    <w:rsid w:val="0BD27BF6"/>
    <w:rsid w:val="0BD95485"/>
    <w:rsid w:val="0C08290F"/>
    <w:rsid w:val="0C3B3C7D"/>
    <w:rsid w:val="0C93687D"/>
    <w:rsid w:val="0CAB2EAE"/>
    <w:rsid w:val="0CBE4E3E"/>
    <w:rsid w:val="0CD46211"/>
    <w:rsid w:val="0CED6E17"/>
    <w:rsid w:val="0D200485"/>
    <w:rsid w:val="0D452031"/>
    <w:rsid w:val="0D621C7D"/>
    <w:rsid w:val="0D63208E"/>
    <w:rsid w:val="0E73034D"/>
    <w:rsid w:val="0EE968E6"/>
    <w:rsid w:val="0F13775A"/>
    <w:rsid w:val="0F2A5B73"/>
    <w:rsid w:val="0F4F57E7"/>
    <w:rsid w:val="0F5F45FE"/>
    <w:rsid w:val="0F68015A"/>
    <w:rsid w:val="0F9A112B"/>
    <w:rsid w:val="10060F98"/>
    <w:rsid w:val="106D2F64"/>
    <w:rsid w:val="10B63710"/>
    <w:rsid w:val="10F10820"/>
    <w:rsid w:val="111C2F7A"/>
    <w:rsid w:val="1128513A"/>
    <w:rsid w:val="114D0214"/>
    <w:rsid w:val="11521781"/>
    <w:rsid w:val="11665CA1"/>
    <w:rsid w:val="11714266"/>
    <w:rsid w:val="11B845EA"/>
    <w:rsid w:val="11DD6828"/>
    <w:rsid w:val="11F01CFE"/>
    <w:rsid w:val="1328788E"/>
    <w:rsid w:val="13394A5B"/>
    <w:rsid w:val="13951726"/>
    <w:rsid w:val="13A96337"/>
    <w:rsid w:val="140F592E"/>
    <w:rsid w:val="142D3320"/>
    <w:rsid w:val="14396509"/>
    <w:rsid w:val="14DD2C3C"/>
    <w:rsid w:val="153E2FA7"/>
    <w:rsid w:val="15570263"/>
    <w:rsid w:val="156F64F5"/>
    <w:rsid w:val="1587076D"/>
    <w:rsid w:val="15A6761A"/>
    <w:rsid w:val="16087E1D"/>
    <w:rsid w:val="16112DF1"/>
    <w:rsid w:val="16261ED3"/>
    <w:rsid w:val="164652CA"/>
    <w:rsid w:val="16602CEA"/>
    <w:rsid w:val="16863C66"/>
    <w:rsid w:val="16E22E57"/>
    <w:rsid w:val="17000391"/>
    <w:rsid w:val="17701D14"/>
    <w:rsid w:val="17735226"/>
    <w:rsid w:val="17764568"/>
    <w:rsid w:val="179E3A27"/>
    <w:rsid w:val="17A0043C"/>
    <w:rsid w:val="17B4186E"/>
    <w:rsid w:val="188D0755"/>
    <w:rsid w:val="189F624C"/>
    <w:rsid w:val="18C748B7"/>
    <w:rsid w:val="18FB5506"/>
    <w:rsid w:val="193D0147"/>
    <w:rsid w:val="1951604C"/>
    <w:rsid w:val="19CA2B75"/>
    <w:rsid w:val="19EF447A"/>
    <w:rsid w:val="1A1C66C0"/>
    <w:rsid w:val="1A42393B"/>
    <w:rsid w:val="1AAD45DE"/>
    <w:rsid w:val="1AF63AF2"/>
    <w:rsid w:val="1B046F80"/>
    <w:rsid w:val="1B3267B5"/>
    <w:rsid w:val="1B40161D"/>
    <w:rsid w:val="1B434989"/>
    <w:rsid w:val="1B441859"/>
    <w:rsid w:val="1B6606B1"/>
    <w:rsid w:val="1BB17CE0"/>
    <w:rsid w:val="1C3A040D"/>
    <w:rsid w:val="1C3B0CF9"/>
    <w:rsid w:val="1C453213"/>
    <w:rsid w:val="1C5E7925"/>
    <w:rsid w:val="1CBD494F"/>
    <w:rsid w:val="1CD6782B"/>
    <w:rsid w:val="1CF30371"/>
    <w:rsid w:val="1CFD070F"/>
    <w:rsid w:val="1D5F6196"/>
    <w:rsid w:val="1D6132A5"/>
    <w:rsid w:val="1D8E56D5"/>
    <w:rsid w:val="1D91245C"/>
    <w:rsid w:val="1DE17FB2"/>
    <w:rsid w:val="1DFB0739"/>
    <w:rsid w:val="1DFB74DD"/>
    <w:rsid w:val="1E04675A"/>
    <w:rsid w:val="1E7A43DA"/>
    <w:rsid w:val="1EED32AD"/>
    <w:rsid w:val="1EF47137"/>
    <w:rsid w:val="1F2D5A23"/>
    <w:rsid w:val="1F3F3BA3"/>
    <w:rsid w:val="1F996EF9"/>
    <w:rsid w:val="1FA248CE"/>
    <w:rsid w:val="1FE7539E"/>
    <w:rsid w:val="20517888"/>
    <w:rsid w:val="20671BE0"/>
    <w:rsid w:val="20800575"/>
    <w:rsid w:val="20963CB8"/>
    <w:rsid w:val="20A81A1B"/>
    <w:rsid w:val="20B07FB6"/>
    <w:rsid w:val="20B646FB"/>
    <w:rsid w:val="20DD3944"/>
    <w:rsid w:val="20DE58F0"/>
    <w:rsid w:val="210E39CB"/>
    <w:rsid w:val="211F0705"/>
    <w:rsid w:val="213B74B1"/>
    <w:rsid w:val="215A2310"/>
    <w:rsid w:val="21926481"/>
    <w:rsid w:val="21DE318A"/>
    <w:rsid w:val="21EF5B80"/>
    <w:rsid w:val="21FC2DBE"/>
    <w:rsid w:val="22000457"/>
    <w:rsid w:val="220D5507"/>
    <w:rsid w:val="222A2429"/>
    <w:rsid w:val="223A1523"/>
    <w:rsid w:val="22576990"/>
    <w:rsid w:val="22D404A0"/>
    <w:rsid w:val="22F47480"/>
    <w:rsid w:val="23246E1A"/>
    <w:rsid w:val="236C258D"/>
    <w:rsid w:val="238024CB"/>
    <w:rsid w:val="23AE126E"/>
    <w:rsid w:val="23DE1C48"/>
    <w:rsid w:val="240210CD"/>
    <w:rsid w:val="248C7BA6"/>
    <w:rsid w:val="24A63162"/>
    <w:rsid w:val="24BF09F7"/>
    <w:rsid w:val="24CD5F19"/>
    <w:rsid w:val="25010055"/>
    <w:rsid w:val="250D08B6"/>
    <w:rsid w:val="251A0961"/>
    <w:rsid w:val="251C5D87"/>
    <w:rsid w:val="252D53FE"/>
    <w:rsid w:val="25EC2D81"/>
    <w:rsid w:val="26F50ED6"/>
    <w:rsid w:val="271635D9"/>
    <w:rsid w:val="273A1234"/>
    <w:rsid w:val="273B749E"/>
    <w:rsid w:val="275A6789"/>
    <w:rsid w:val="277057A2"/>
    <w:rsid w:val="2789712D"/>
    <w:rsid w:val="278F313D"/>
    <w:rsid w:val="27C32EC4"/>
    <w:rsid w:val="281647AA"/>
    <w:rsid w:val="28227019"/>
    <w:rsid w:val="287D1435"/>
    <w:rsid w:val="287E0A6F"/>
    <w:rsid w:val="28AF15F0"/>
    <w:rsid w:val="28BA5E5B"/>
    <w:rsid w:val="2919115F"/>
    <w:rsid w:val="29206EB8"/>
    <w:rsid w:val="29360A93"/>
    <w:rsid w:val="294B55F5"/>
    <w:rsid w:val="29595666"/>
    <w:rsid w:val="2968726C"/>
    <w:rsid w:val="29874881"/>
    <w:rsid w:val="29E325E0"/>
    <w:rsid w:val="2A2A7D10"/>
    <w:rsid w:val="2A2D4F88"/>
    <w:rsid w:val="2A452503"/>
    <w:rsid w:val="2A9255DA"/>
    <w:rsid w:val="2ACC369F"/>
    <w:rsid w:val="2AD40484"/>
    <w:rsid w:val="2ADC5DB8"/>
    <w:rsid w:val="2B2E613E"/>
    <w:rsid w:val="2B566374"/>
    <w:rsid w:val="2B7326C8"/>
    <w:rsid w:val="2BA936A8"/>
    <w:rsid w:val="2BE92D1A"/>
    <w:rsid w:val="2C315A5A"/>
    <w:rsid w:val="2C4B1C25"/>
    <w:rsid w:val="2C9D13B6"/>
    <w:rsid w:val="2CB10A28"/>
    <w:rsid w:val="2CE13DA3"/>
    <w:rsid w:val="2D7D1706"/>
    <w:rsid w:val="2D9E56F5"/>
    <w:rsid w:val="2DE05445"/>
    <w:rsid w:val="2E3260C6"/>
    <w:rsid w:val="2E583A6E"/>
    <w:rsid w:val="2E667F96"/>
    <w:rsid w:val="2E690B7D"/>
    <w:rsid w:val="2E8226AB"/>
    <w:rsid w:val="2EE8778C"/>
    <w:rsid w:val="2F204A56"/>
    <w:rsid w:val="2F6D7B0F"/>
    <w:rsid w:val="2F7F6B87"/>
    <w:rsid w:val="2FBC6FA2"/>
    <w:rsid w:val="2FC207EA"/>
    <w:rsid w:val="2FD065E6"/>
    <w:rsid w:val="2FD96870"/>
    <w:rsid w:val="30055A4E"/>
    <w:rsid w:val="30580BC9"/>
    <w:rsid w:val="306F1E43"/>
    <w:rsid w:val="309F48EB"/>
    <w:rsid w:val="30D103C3"/>
    <w:rsid w:val="30DF008B"/>
    <w:rsid w:val="311529CF"/>
    <w:rsid w:val="311E2ED7"/>
    <w:rsid w:val="312C454D"/>
    <w:rsid w:val="315619EE"/>
    <w:rsid w:val="315C449C"/>
    <w:rsid w:val="317F6764"/>
    <w:rsid w:val="318B61EE"/>
    <w:rsid w:val="31B82709"/>
    <w:rsid w:val="31D05482"/>
    <w:rsid w:val="32165819"/>
    <w:rsid w:val="32310B18"/>
    <w:rsid w:val="32400B34"/>
    <w:rsid w:val="329E6876"/>
    <w:rsid w:val="32DE04BF"/>
    <w:rsid w:val="331F04C6"/>
    <w:rsid w:val="332B6F4B"/>
    <w:rsid w:val="333015F2"/>
    <w:rsid w:val="333756AD"/>
    <w:rsid w:val="334B6320"/>
    <w:rsid w:val="334C6223"/>
    <w:rsid w:val="3364441C"/>
    <w:rsid w:val="33681AA0"/>
    <w:rsid w:val="33857D04"/>
    <w:rsid w:val="33B056C5"/>
    <w:rsid w:val="33B9690A"/>
    <w:rsid w:val="33D934D4"/>
    <w:rsid w:val="33FE2F6A"/>
    <w:rsid w:val="340E07E5"/>
    <w:rsid w:val="34235BF7"/>
    <w:rsid w:val="342F6407"/>
    <w:rsid w:val="345E5D91"/>
    <w:rsid w:val="346861AB"/>
    <w:rsid w:val="34E46E08"/>
    <w:rsid w:val="3504235A"/>
    <w:rsid w:val="35402D92"/>
    <w:rsid w:val="35812B95"/>
    <w:rsid w:val="358C5FA8"/>
    <w:rsid w:val="359721C6"/>
    <w:rsid w:val="35BD319C"/>
    <w:rsid w:val="35C15DF1"/>
    <w:rsid w:val="35D52870"/>
    <w:rsid w:val="36064810"/>
    <w:rsid w:val="36074A7F"/>
    <w:rsid w:val="36923549"/>
    <w:rsid w:val="36B75FBF"/>
    <w:rsid w:val="36BD0C45"/>
    <w:rsid w:val="36C6456B"/>
    <w:rsid w:val="36F60DE8"/>
    <w:rsid w:val="370A20E7"/>
    <w:rsid w:val="37E00298"/>
    <w:rsid w:val="37E12489"/>
    <w:rsid w:val="37F8051B"/>
    <w:rsid w:val="38104687"/>
    <w:rsid w:val="383E5EED"/>
    <w:rsid w:val="38424511"/>
    <w:rsid w:val="3895408C"/>
    <w:rsid w:val="38AC78FA"/>
    <w:rsid w:val="38B302F9"/>
    <w:rsid w:val="38F12CD3"/>
    <w:rsid w:val="38F94775"/>
    <w:rsid w:val="39284BA6"/>
    <w:rsid w:val="392971ED"/>
    <w:rsid w:val="39325651"/>
    <w:rsid w:val="39370986"/>
    <w:rsid w:val="39774D3A"/>
    <w:rsid w:val="39DE6410"/>
    <w:rsid w:val="39E766D1"/>
    <w:rsid w:val="39F42199"/>
    <w:rsid w:val="3A3E16E9"/>
    <w:rsid w:val="3A872856"/>
    <w:rsid w:val="3ADB7E14"/>
    <w:rsid w:val="3AF66189"/>
    <w:rsid w:val="3B347D9E"/>
    <w:rsid w:val="3B3763D1"/>
    <w:rsid w:val="3B6B17FA"/>
    <w:rsid w:val="3BB15CD6"/>
    <w:rsid w:val="3BB511E3"/>
    <w:rsid w:val="3C0E589E"/>
    <w:rsid w:val="3C1B205B"/>
    <w:rsid w:val="3C2206E3"/>
    <w:rsid w:val="3C2F6E1E"/>
    <w:rsid w:val="3C4F64BA"/>
    <w:rsid w:val="3C636521"/>
    <w:rsid w:val="3CA12853"/>
    <w:rsid w:val="3CDA245A"/>
    <w:rsid w:val="3D160E41"/>
    <w:rsid w:val="3D1E06B7"/>
    <w:rsid w:val="3D4D70AD"/>
    <w:rsid w:val="3D7E5B83"/>
    <w:rsid w:val="3DE83833"/>
    <w:rsid w:val="3E997057"/>
    <w:rsid w:val="3EDA0523"/>
    <w:rsid w:val="3EE00992"/>
    <w:rsid w:val="3F8C5D4D"/>
    <w:rsid w:val="40563FF8"/>
    <w:rsid w:val="407A6407"/>
    <w:rsid w:val="408262F6"/>
    <w:rsid w:val="40CB247D"/>
    <w:rsid w:val="411236BB"/>
    <w:rsid w:val="41B9630E"/>
    <w:rsid w:val="4200449D"/>
    <w:rsid w:val="42094E86"/>
    <w:rsid w:val="423A3BCC"/>
    <w:rsid w:val="423D57EC"/>
    <w:rsid w:val="423F3006"/>
    <w:rsid w:val="424E57D2"/>
    <w:rsid w:val="426A3C06"/>
    <w:rsid w:val="429738D8"/>
    <w:rsid w:val="42B26C49"/>
    <w:rsid w:val="42BE6BA7"/>
    <w:rsid w:val="430640AA"/>
    <w:rsid w:val="432C28AB"/>
    <w:rsid w:val="433A6FE6"/>
    <w:rsid w:val="43480868"/>
    <w:rsid w:val="4350713C"/>
    <w:rsid w:val="43594161"/>
    <w:rsid w:val="436653E0"/>
    <w:rsid w:val="43C4431A"/>
    <w:rsid w:val="43DE25B5"/>
    <w:rsid w:val="448F1583"/>
    <w:rsid w:val="44917BC1"/>
    <w:rsid w:val="44A30704"/>
    <w:rsid w:val="44B951CC"/>
    <w:rsid w:val="44CD14E0"/>
    <w:rsid w:val="44EA03B3"/>
    <w:rsid w:val="44F20B0B"/>
    <w:rsid w:val="44F37F7F"/>
    <w:rsid w:val="451D24AF"/>
    <w:rsid w:val="45261C45"/>
    <w:rsid w:val="452E5F4C"/>
    <w:rsid w:val="453273D9"/>
    <w:rsid w:val="453E4460"/>
    <w:rsid w:val="454E7483"/>
    <w:rsid w:val="45612018"/>
    <w:rsid w:val="4561639F"/>
    <w:rsid w:val="458946E9"/>
    <w:rsid w:val="45976D3E"/>
    <w:rsid w:val="45A47C0E"/>
    <w:rsid w:val="45C81AEB"/>
    <w:rsid w:val="45E05014"/>
    <w:rsid w:val="4617276D"/>
    <w:rsid w:val="46394F03"/>
    <w:rsid w:val="4642250D"/>
    <w:rsid w:val="46577FD6"/>
    <w:rsid w:val="4677511B"/>
    <w:rsid w:val="46C10966"/>
    <w:rsid w:val="46C32E85"/>
    <w:rsid w:val="46D955A7"/>
    <w:rsid w:val="46DF671D"/>
    <w:rsid w:val="47133957"/>
    <w:rsid w:val="47373850"/>
    <w:rsid w:val="475973A7"/>
    <w:rsid w:val="477F48A5"/>
    <w:rsid w:val="47A07E0C"/>
    <w:rsid w:val="485842E0"/>
    <w:rsid w:val="4870272E"/>
    <w:rsid w:val="48F35CA8"/>
    <w:rsid w:val="48FD4B02"/>
    <w:rsid w:val="49DC7715"/>
    <w:rsid w:val="49E56F1D"/>
    <w:rsid w:val="4A023139"/>
    <w:rsid w:val="4A0B1C0D"/>
    <w:rsid w:val="4A3B6506"/>
    <w:rsid w:val="4A7B576F"/>
    <w:rsid w:val="4AC36992"/>
    <w:rsid w:val="4AF561A9"/>
    <w:rsid w:val="4B0F1986"/>
    <w:rsid w:val="4B432DD6"/>
    <w:rsid w:val="4BDB2D1D"/>
    <w:rsid w:val="4BF34481"/>
    <w:rsid w:val="4C026BE7"/>
    <w:rsid w:val="4C3B3B00"/>
    <w:rsid w:val="4C4A0649"/>
    <w:rsid w:val="4C4A433A"/>
    <w:rsid w:val="4C7E5ECA"/>
    <w:rsid w:val="4C876AA5"/>
    <w:rsid w:val="4CA5628E"/>
    <w:rsid w:val="4CCD41F4"/>
    <w:rsid w:val="4CE416F5"/>
    <w:rsid w:val="4CF435D0"/>
    <w:rsid w:val="4CF654B9"/>
    <w:rsid w:val="4D0E00FB"/>
    <w:rsid w:val="4D176606"/>
    <w:rsid w:val="4D267CC6"/>
    <w:rsid w:val="4DC271E3"/>
    <w:rsid w:val="4DD14294"/>
    <w:rsid w:val="4DEC4FB0"/>
    <w:rsid w:val="4E0572B4"/>
    <w:rsid w:val="4E075D8A"/>
    <w:rsid w:val="4E34661E"/>
    <w:rsid w:val="4E615BC8"/>
    <w:rsid w:val="4E8862BB"/>
    <w:rsid w:val="4E9E788D"/>
    <w:rsid w:val="4EC00FAD"/>
    <w:rsid w:val="4EDC3685"/>
    <w:rsid w:val="4EE94554"/>
    <w:rsid w:val="4F4F48BB"/>
    <w:rsid w:val="4F7430FE"/>
    <w:rsid w:val="4F9843DC"/>
    <w:rsid w:val="4FC62A8C"/>
    <w:rsid w:val="4FE20F0D"/>
    <w:rsid w:val="4FE51552"/>
    <w:rsid w:val="502B565A"/>
    <w:rsid w:val="504322EB"/>
    <w:rsid w:val="50504C4B"/>
    <w:rsid w:val="50657456"/>
    <w:rsid w:val="509C6E7C"/>
    <w:rsid w:val="50E156B3"/>
    <w:rsid w:val="515D57DD"/>
    <w:rsid w:val="5162104E"/>
    <w:rsid w:val="518B3191"/>
    <w:rsid w:val="51A0703E"/>
    <w:rsid w:val="51F37EF0"/>
    <w:rsid w:val="52015707"/>
    <w:rsid w:val="521D2C74"/>
    <w:rsid w:val="528D686C"/>
    <w:rsid w:val="52AA1D5F"/>
    <w:rsid w:val="52F618A2"/>
    <w:rsid w:val="52F7645A"/>
    <w:rsid w:val="5379275C"/>
    <w:rsid w:val="53A039CC"/>
    <w:rsid w:val="53A1505A"/>
    <w:rsid w:val="53D37FD9"/>
    <w:rsid w:val="54063E08"/>
    <w:rsid w:val="543437E8"/>
    <w:rsid w:val="54396BB3"/>
    <w:rsid w:val="543C16DA"/>
    <w:rsid w:val="54996DF7"/>
    <w:rsid w:val="54AC2C01"/>
    <w:rsid w:val="54B0754B"/>
    <w:rsid w:val="54F17F05"/>
    <w:rsid w:val="54F73313"/>
    <w:rsid w:val="54F80955"/>
    <w:rsid w:val="551806E2"/>
    <w:rsid w:val="55227E41"/>
    <w:rsid w:val="555170A7"/>
    <w:rsid w:val="5587536D"/>
    <w:rsid w:val="559B174B"/>
    <w:rsid w:val="55B74FF9"/>
    <w:rsid w:val="55CE0CF4"/>
    <w:rsid w:val="55FF6AC1"/>
    <w:rsid w:val="561B0490"/>
    <w:rsid w:val="56680F5A"/>
    <w:rsid w:val="5671305A"/>
    <w:rsid w:val="567A2C7A"/>
    <w:rsid w:val="567A71E6"/>
    <w:rsid w:val="567F5EF6"/>
    <w:rsid w:val="56854D8F"/>
    <w:rsid w:val="56B22A9C"/>
    <w:rsid w:val="56F21067"/>
    <w:rsid w:val="57356500"/>
    <w:rsid w:val="57442EC8"/>
    <w:rsid w:val="57B450BA"/>
    <w:rsid w:val="57B72A76"/>
    <w:rsid w:val="57C3426C"/>
    <w:rsid w:val="57CE1F93"/>
    <w:rsid w:val="58382B00"/>
    <w:rsid w:val="585A6B67"/>
    <w:rsid w:val="58764F7F"/>
    <w:rsid w:val="588743D1"/>
    <w:rsid w:val="5887701A"/>
    <w:rsid w:val="58F738C6"/>
    <w:rsid w:val="59307737"/>
    <w:rsid w:val="595A2639"/>
    <w:rsid w:val="5979517E"/>
    <w:rsid w:val="59890B6B"/>
    <w:rsid w:val="59A30983"/>
    <w:rsid w:val="59C0439F"/>
    <w:rsid w:val="5A041CD0"/>
    <w:rsid w:val="5A117C06"/>
    <w:rsid w:val="5A2A460E"/>
    <w:rsid w:val="5A761C4A"/>
    <w:rsid w:val="5A856413"/>
    <w:rsid w:val="5A9F29C3"/>
    <w:rsid w:val="5ABE2233"/>
    <w:rsid w:val="5BDF5D95"/>
    <w:rsid w:val="5BFE7528"/>
    <w:rsid w:val="5CC35EEE"/>
    <w:rsid w:val="5CDB5BF9"/>
    <w:rsid w:val="5D0A1E41"/>
    <w:rsid w:val="5D5323D4"/>
    <w:rsid w:val="5D6F1F84"/>
    <w:rsid w:val="5DA873E3"/>
    <w:rsid w:val="5E2467F1"/>
    <w:rsid w:val="5E2C4EA3"/>
    <w:rsid w:val="5E8C5954"/>
    <w:rsid w:val="5EB22E95"/>
    <w:rsid w:val="5EB2410F"/>
    <w:rsid w:val="5EC41929"/>
    <w:rsid w:val="5EC857E1"/>
    <w:rsid w:val="5EDF2051"/>
    <w:rsid w:val="5F1A2B43"/>
    <w:rsid w:val="5F516B5E"/>
    <w:rsid w:val="5F746FF7"/>
    <w:rsid w:val="5F8777A9"/>
    <w:rsid w:val="5FB837BB"/>
    <w:rsid w:val="5FBA587D"/>
    <w:rsid w:val="5FC14F79"/>
    <w:rsid w:val="5FC737C7"/>
    <w:rsid w:val="5FC922EB"/>
    <w:rsid w:val="5FE56D28"/>
    <w:rsid w:val="60624C48"/>
    <w:rsid w:val="609E41AB"/>
    <w:rsid w:val="60CC405A"/>
    <w:rsid w:val="60F6082E"/>
    <w:rsid w:val="61D64241"/>
    <w:rsid w:val="61E215D8"/>
    <w:rsid w:val="621B3775"/>
    <w:rsid w:val="62364782"/>
    <w:rsid w:val="62C1023F"/>
    <w:rsid w:val="62C82BDF"/>
    <w:rsid w:val="63601FE0"/>
    <w:rsid w:val="6394356A"/>
    <w:rsid w:val="63C61B2C"/>
    <w:rsid w:val="63D06AB5"/>
    <w:rsid w:val="63D40BE9"/>
    <w:rsid w:val="63DD7741"/>
    <w:rsid w:val="64102431"/>
    <w:rsid w:val="645F6B30"/>
    <w:rsid w:val="64A5243A"/>
    <w:rsid w:val="64C9520C"/>
    <w:rsid w:val="64F531DE"/>
    <w:rsid w:val="650103EE"/>
    <w:rsid w:val="651224D3"/>
    <w:rsid w:val="65245EDE"/>
    <w:rsid w:val="65373578"/>
    <w:rsid w:val="654A2D0E"/>
    <w:rsid w:val="656A686B"/>
    <w:rsid w:val="657354D8"/>
    <w:rsid w:val="65E73AAB"/>
    <w:rsid w:val="65FD2D91"/>
    <w:rsid w:val="66544484"/>
    <w:rsid w:val="66632867"/>
    <w:rsid w:val="66946CB5"/>
    <w:rsid w:val="669B5489"/>
    <w:rsid w:val="66D553F4"/>
    <w:rsid w:val="671F124A"/>
    <w:rsid w:val="677A33C6"/>
    <w:rsid w:val="67A14928"/>
    <w:rsid w:val="67B7419B"/>
    <w:rsid w:val="67CF60DC"/>
    <w:rsid w:val="681F6961"/>
    <w:rsid w:val="68610A2F"/>
    <w:rsid w:val="68805514"/>
    <w:rsid w:val="68A62916"/>
    <w:rsid w:val="68B12906"/>
    <w:rsid w:val="68D051AC"/>
    <w:rsid w:val="69143A37"/>
    <w:rsid w:val="69316E2F"/>
    <w:rsid w:val="693772EC"/>
    <w:rsid w:val="694E2071"/>
    <w:rsid w:val="69766163"/>
    <w:rsid w:val="697A3B33"/>
    <w:rsid w:val="69CD30BF"/>
    <w:rsid w:val="69D44760"/>
    <w:rsid w:val="69EE78DD"/>
    <w:rsid w:val="6A520EC7"/>
    <w:rsid w:val="6ADD1EE4"/>
    <w:rsid w:val="6ADD7440"/>
    <w:rsid w:val="6AF87E20"/>
    <w:rsid w:val="6B1D0266"/>
    <w:rsid w:val="6B2253C2"/>
    <w:rsid w:val="6B2E751B"/>
    <w:rsid w:val="6B322639"/>
    <w:rsid w:val="6B4355EC"/>
    <w:rsid w:val="6B555FDD"/>
    <w:rsid w:val="6B7C2964"/>
    <w:rsid w:val="6BA63184"/>
    <w:rsid w:val="6BE82053"/>
    <w:rsid w:val="6C636C38"/>
    <w:rsid w:val="6C7252E8"/>
    <w:rsid w:val="6C8531D8"/>
    <w:rsid w:val="6CA17C34"/>
    <w:rsid w:val="6D2E4789"/>
    <w:rsid w:val="6D4E6455"/>
    <w:rsid w:val="6D99628D"/>
    <w:rsid w:val="6DAE2700"/>
    <w:rsid w:val="6DB34098"/>
    <w:rsid w:val="6DB545B6"/>
    <w:rsid w:val="6DCF4F15"/>
    <w:rsid w:val="6DE02FB4"/>
    <w:rsid w:val="6DEF0255"/>
    <w:rsid w:val="6DFD6387"/>
    <w:rsid w:val="6E06271B"/>
    <w:rsid w:val="6E514CED"/>
    <w:rsid w:val="6E5F273D"/>
    <w:rsid w:val="6E652967"/>
    <w:rsid w:val="6EB563D5"/>
    <w:rsid w:val="6EBB2B34"/>
    <w:rsid w:val="6ED92677"/>
    <w:rsid w:val="6F190B3E"/>
    <w:rsid w:val="6F225983"/>
    <w:rsid w:val="6F861467"/>
    <w:rsid w:val="6F9A00AA"/>
    <w:rsid w:val="6FFA4861"/>
    <w:rsid w:val="6FFC5590"/>
    <w:rsid w:val="7004791B"/>
    <w:rsid w:val="705362D1"/>
    <w:rsid w:val="705A1C9D"/>
    <w:rsid w:val="706D1DD0"/>
    <w:rsid w:val="70856B87"/>
    <w:rsid w:val="70D527EE"/>
    <w:rsid w:val="70DC43C1"/>
    <w:rsid w:val="70E95452"/>
    <w:rsid w:val="715B5300"/>
    <w:rsid w:val="71807B90"/>
    <w:rsid w:val="718311DE"/>
    <w:rsid w:val="71922B94"/>
    <w:rsid w:val="71A10859"/>
    <w:rsid w:val="71D27F8A"/>
    <w:rsid w:val="71D4755D"/>
    <w:rsid w:val="71EE7EBF"/>
    <w:rsid w:val="722C50A9"/>
    <w:rsid w:val="72553024"/>
    <w:rsid w:val="726C3EE2"/>
    <w:rsid w:val="7295005F"/>
    <w:rsid w:val="72C844D4"/>
    <w:rsid w:val="72EE0E53"/>
    <w:rsid w:val="73074FE1"/>
    <w:rsid w:val="73122968"/>
    <w:rsid w:val="731F5D5E"/>
    <w:rsid w:val="73C51AD5"/>
    <w:rsid w:val="73ED69E9"/>
    <w:rsid w:val="741E793C"/>
    <w:rsid w:val="744E4A15"/>
    <w:rsid w:val="745E3944"/>
    <w:rsid w:val="74856C75"/>
    <w:rsid w:val="74A72313"/>
    <w:rsid w:val="74B87C23"/>
    <w:rsid w:val="75447AC8"/>
    <w:rsid w:val="7556218D"/>
    <w:rsid w:val="75922207"/>
    <w:rsid w:val="7635099D"/>
    <w:rsid w:val="763A18EC"/>
    <w:rsid w:val="76500921"/>
    <w:rsid w:val="7674276F"/>
    <w:rsid w:val="76757DD6"/>
    <w:rsid w:val="76840E09"/>
    <w:rsid w:val="76AB0F98"/>
    <w:rsid w:val="76BA2B82"/>
    <w:rsid w:val="77547D6D"/>
    <w:rsid w:val="775B1C22"/>
    <w:rsid w:val="77762421"/>
    <w:rsid w:val="77B56B1F"/>
    <w:rsid w:val="77FD6D52"/>
    <w:rsid w:val="780F09F4"/>
    <w:rsid w:val="78203187"/>
    <w:rsid w:val="78323B4A"/>
    <w:rsid w:val="783E5818"/>
    <w:rsid w:val="78810D12"/>
    <w:rsid w:val="788C175F"/>
    <w:rsid w:val="78A90480"/>
    <w:rsid w:val="78F841F5"/>
    <w:rsid w:val="78FF508B"/>
    <w:rsid w:val="793801E4"/>
    <w:rsid w:val="79597C6D"/>
    <w:rsid w:val="79804B75"/>
    <w:rsid w:val="798C3505"/>
    <w:rsid w:val="7A364017"/>
    <w:rsid w:val="7A8265E1"/>
    <w:rsid w:val="7AA47274"/>
    <w:rsid w:val="7B27298E"/>
    <w:rsid w:val="7B356393"/>
    <w:rsid w:val="7B3A24AD"/>
    <w:rsid w:val="7B4A1329"/>
    <w:rsid w:val="7B67348C"/>
    <w:rsid w:val="7B686D42"/>
    <w:rsid w:val="7B841746"/>
    <w:rsid w:val="7BB01638"/>
    <w:rsid w:val="7BE30049"/>
    <w:rsid w:val="7BF5445D"/>
    <w:rsid w:val="7C062C7E"/>
    <w:rsid w:val="7C245CF4"/>
    <w:rsid w:val="7C367617"/>
    <w:rsid w:val="7C6C5AC7"/>
    <w:rsid w:val="7CC6544B"/>
    <w:rsid w:val="7D0239FF"/>
    <w:rsid w:val="7D5E40CD"/>
    <w:rsid w:val="7DA16565"/>
    <w:rsid w:val="7DCD56F2"/>
    <w:rsid w:val="7DEB5D9B"/>
    <w:rsid w:val="7E577938"/>
    <w:rsid w:val="7EAB4E7D"/>
    <w:rsid w:val="7EB46269"/>
    <w:rsid w:val="7F001CE7"/>
    <w:rsid w:val="7F294E83"/>
    <w:rsid w:val="7F2F4F2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numPr>
        <w:ilvl w:val="1"/>
        <w:numId w:val="1"/>
      </w:numPr>
      <w:adjustRightInd w:val="0"/>
      <w:snapToGrid w:val="0"/>
      <w:spacing w:before="100" w:beforeAutospacing="1" w:line="360" w:lineRule="auto"/>
      <w:outlineLvl w:val="1"/>
    </w:pPr>
    <w:rPr>
      <w:rFonts w:ascii="黑体" w:hAnsi="Cambria" w:eastAsia="黑体"/>
      <w:bCs/>
      <w:sz w:val="24"/>
      <w:szCs w:val="32"/>
    </w:rPr>
  </w:style>
  <w:style w:type="paragraph" w:styleId="5">
    <w:name w:val="heading 4"/>
    <w:basedOn w:val="1"/>
    <w:next w:val="1"/>
    <w:unhideWhenUsed/>
    <w:qFormat/>
    <w:locked/>
    <w:uiPriority w:val="0"/>
    <w:pPr>
      <w:keepNext/>
      <w:keepLines/>
      <w:numPr>
        <w:ilvl w:val="3"/>
        <w:numId w:val="2"/>
      </w:numPr>
      <w:spacing w:before="280" w:after="290" w:line="372" w:lineRule="auto"/>
      <w:outlineLvl w:val="3"/>
    </w:pPr>
    <w:rPr>
      <w:rFonts w:ascii="Arial" w:hAnsi="Arial" w:eastAsia="黑体"/>
      <w:b/>
      <w:sz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3">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0"/>
      <w:szCs w:val="20"/>
    </w:rPr>
  </w:style>
  <w:style w:type="paragraph" w:styleId="7">
    <w:name w:val="Normal Indent"/>
    <w:basedOn w:val="1"/>
    <w:qFormat/>
    <w:locked/>
    <w:uiPriority w:val="0"/>
    <w:pPr>
      <w:ind w:firstLine="420" w:firstLineChars="200"/>
    </w:pPr>
  </w:style>
  <w:style w:type="paragraph" w:styleId="8">
    <w:name w:val="caption"/>
    <w:basedOn w:val="1"/>
    <w:next w:val="1"/>
    <w:qFormat/>
    <w:locked/>
    <w:uiPriority w:val="0"/>
    <w:pPr>
      <w:spacing w:before="240" w:after="60"/>
      <w:jc w:val="center"/>
    </w:pPr>
    <w:rPr>
      <w:rFonts w:ascii="Arial" w:hAnsi="Arial" w:cs="Arial"/>
      <w:sz w:val="22"/>
      <w:szCs w:val="20"/>
    </w:rPr>
  </w:style>
  <w:style w:type="paragraph" w:styleId="9">
    <w:name w:val="toa heading"/>
    <w:basedOn w:val="1"/>
    <w:next w:val="1"/>
    <w:qFormat/>
    <w:locked/>
    <w:uiPriority w:val="0"/>
    <w:pPr>
      <w:spacing w:before="120"/>
    </w:pPr>
    <w:rPr>
      <w:rFonts w:ascii="Arial" w:hAnsi="Arial" w:cs="Arial"/>
    </w:rPr>
  </w:style>
  <w:style w:type="paragraph" w:styleId="10">
    <w:name w:val="annotation text"/>
    <w:basedOn w:val="1"/>
    <w:link w:val="36"/>
    <w:semiHidden/>
    <w:qFormat/>
    <w:uiPriority w:val="0"/>
    <w:pPr>
      <w:jc w:val="left"/>
    </w:pPr>
    <w:rPr>
      <w:kern w:val="0"/>
      <w:sz w:val="24"/>
      <w:szCs w:val="20"/>
    </w:rPr>
  </w:style>
  <w:style w:type="paragraph" w:styleId="11">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38"/>
    <w:qFormat/>
    <w:uiPriority w:val="0"/>
    <w:pPr>
      <w:spacing w:after="120"/>
      <w:ind w:left="420" w:leftChars="200"/>
    </w:pPr>
    <w:rPr>
      <w:kern w:val="0"/>
      <w:sz w:val="24"/>
      <w:szCs w:val="20"/>
    </w:rPr>
  </w:style>
  <w:style w:type="paragraph" w:styleId="13">
    <w:name w:val="Plain Text"/>
    <w:basedOn w:val="1"/>
    <w:next w:val="1"/>
    <w:qFormat/>
    <w:locked/>
    <w:uiPriority w:val="0"/>
    <w:rPr>
      <w:rFonts w:ascii="宋体" w:hAnsi="Courier New"/>
      <w:sz w:val="28"/>
    </w:r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next w:val="16"/>
    <w:unhideWhenUsed/>
    <w:qFormat/>
    <w:locked/>
    <w:uiPriority w:val="99"/>
    <w:pPr>
      <w:spacing w:after="120" w:line="480" w:lineRule="auto"/>
      <w:ind w:left="420" w:leftChars="200"/>
    </w:pPr>
    <w:rPr>
      <w:szCs w:val="20"/>
    </w:rPr>
  </w:style>
  <w:style w:type="paragraph" w:customStyle="1" w:styleId="16">
    <w:name w:val="简单回函地址"/>
    <w:basedOn w:val="1"/>
    <w:next w:val="17"/>
    <w:qFormat/>
    <w:uiPriority w:val="0"/>
    <w:pPr>
      <w:widowControl/>
    </w:pPr>
    <w:rPr>
      <w:rFonts w:ascii="宋体" w:hAnsi="宋体" w:cs="宋体"/>
      <w:kern w:val="0"/>
      <w:szCs w:val="20"/>
    </w:rPr>
  </w:style>
  <w:style w:type="paragraph" w:customStyle="1" w:styleId="17">
    <w:name w:val="正文2"/>
    <w:basedOn w:val="12"/>
    <w:next w:val="1"/>
    <w:qFormat/>
    <w:uiPriority w:val="0"/>
    <w:pPr>
      <w:widowControl/>
      <w:spacing w:line="312" w:lineRule="auto"/>
      <w:ind w:firstLine="200" w:firstLineChars="200"/>
    </w:pPr>
  </w:style>
  <w:style w:type="paragraph" w:styleId="18">
    <w:name w:val="Balloon Text"/>
    <w:basedOn w:val="1"/>
    <w:link w:val="40"/>
    <w:semiHidden/>
    <w:qFormat/>
    <w:uiPriority w:val="0"/>
    <w:rPr>
      <w:kern w:val="0"/>
      <w:sz w:val="18"/>
      <w:szCs w:val="20"/>
    </w:rPr>
  </w:style>
  <w:style w:type="paragraph" w:styleId="19">
    <w:name w:val="footer"/>
    <w:basedOn w:val="1"/>
    <w:link w:val="41"/>
    <w:qFormat/>
    <w:uiPriority w:val="99"/>
    <w:pPr>
      <w:tabs>
        <w:tab w:val="center" w:pos="4153"/>
        <w:tab w:val="right" w:pos="8306"/>
      </w:tabs>
      <w:snapToGrid w:val="0"/>
      <w:jc w:val="left"/>
    </w:pPr>
    <w:rPr>
      <w:kern w:val="0"/>
      <w:sz w:val="18"/>
      <w:szCs w:val="20"/>
    </w:rPr>
  </w:style>
  <w:style w:type="paragraph" w:styleId="20">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39"/>
    <w:pPr>
      <w:tabs>
        <w:tab w:val="right" w:leader="dot" w:pos="8296"/>
      </w:tabs>
    </w:pPr>
    <w:rPr>
      <w:rFonts w:ascii="仿宋_GB2312" w:eastAsia="仿宋_GB2312"/>
      <w:sz w:val="30"/>
      <w:szCs w:val="30"/>
    </w:rPr>
  </w:style>
  <w:style w:type="paragraph" w:styleId="22">
    <w:name w:val="table of figures"/>
    <w:basedOn w:val="1"/>
    <w:next w:val="1"/>
    <w:qFormat/>
    <w:locked/>
    <w:uiPriority w:val="0"/>
    <w:pPr>
      <w:spacing w:line="500" w:lineRule="atLeast"/>
      <w:ind w:firstLine="200" w:firstLineChars="200"/>
      <w:jc w:val="center"/>
    </w:pPr>
    <w:rPr>
      <w:rFonts w:hint="eastAsia" w:ascii="仿宋_GB2312" w:eastAsia="仿宋_GB2312"/>
      <w:bCs/>
      <w:sz w:val="28"/>
    </w:rPr>
  </w:style>
  <w:style w:type="paragraph" w:styleId="23">
    <w:name w:val="Body Text 2"/>
    <w:basedOn w:val="1"/>
    <w:qFormat/>
    <w:locked/>
    <w:uiPriority w:val="99"/>
    <w:pPr>
      <w:widowControl/>
      <w:snapToGrid w:val="0"/>
      <w:spacing w:line="360" w:lineRule="auto"/>
    </w:pPr>
    <w:rPr>
      <w:rFonts w:ascii="宋体"/>
      <w:kern w:val="0"/>
      <w:sz w:val="24"/>
      <w:szCs w:val="20"/>
    </w:rPr>
  </w:style>
  <w:style w:type="paragraph" w:styleId="24">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0"/>
    <w:next w:val="10"/>
    <w:link w:val="44"/>
    <w:semiHidden/>
    <w:qFormat/>
    <w:uiPriority w:val="0"/>
    <w:rPr>
      <w:b/>
    </w:rPr>
  </w:style>
  <w:style w:type="paragraph" w:styleId="26">
    <w:name w:val="Body Text First Indent 2"/>
    <w:basedOn w:val="12"/>
    <w:next w:val="1"/>
    <w:unhideWhenUsed/>
    <w:qFormat/>
    <w:locked/>
    <w:uiPriority w:val="0"/>
    <w:pPr>
      <w:ind w:firstLine="420"/>
    </w:pPr>
    <w:rPr>
      <w:kern w:val="2"/>
      <w:sz w:val="21"/>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locked/>
    <w:uiPriority w:val="22"/>
    <w:rPr>
      <w:b/>
      <w:bCs/>
    </w:rPr>
  </w:style>
  <w:style w:type="character" w:styleId="31">
    <w:name w:val="page number"/>
    <w:basedOn w:val="29"/>
    <w:qFormat/>
    <w:locked/>
    <w:uiPriority w:val="0"/>
  </w:style>
  <w:style w:type="character" w:styleId="32">
    <w:name w:val="Hyperlink"/>
    <w:basedOn w:val="29"/>
    <w:qFormat/>
    <w:locked/>
    <w:uiPriority w:val="0"/>
    <w:rPr>
      <w:color w:val="0000FF"/>
      <w:u w:val="single"/>
    </w:rPr>
  </w:style>
  <w:style w:type="character" w:styleId="33">
    <w:name w:val="annotation reference"/>
    <w:semiHidden/>
    <w:qFormat/>
    <w:uiPriority w:val="0"/>
    <w:rPr>
      <w:sz w:val="21"/>
    </w:rPr>
  </w:style>
  <w:style w:type="paragraph" w:customStyle="1" w:styleId="34">
    <w:name w:val="Default"/>
    <w:basedOn w:val="35"/>
    <w:next w:val="6"/>
    <w:qFormat/>
    <w:uiPriority w:val="0"/>
    <w:pPr>
      <w:autoSpaceDE w:val="0"/>
      <w:autoSpaceDN w:val="0"/>
    </w:pPr>
    <w:rPr>
      <w:rFonts w:hint="eastAsia" w:ascii="仿宋_GB2312" w:hAnsi="仿宋_GB2312" w:eastAsia="仿宋_GB2312"/>
      <w:color w:val="000000"/>
    </w:rPr>
  </w:style>
  <w:style w:type="paragraph" w:customStyle="1" w:styleId="35">
    <w:name w:val="纯文本1"/>
    <w:basedOn w:val="1"/>
    <w:next w:val="13"/>
    <w:qFormat/>
    <w:uiPriority w:val="0"/>
    <w:pPr>
      <w:adjustRightInd w:val="0"/>
    </w:pPr>
    <w:rPr>
      <w:rFonts w:ascii="宋体" w:hAnsi="Courier New"/>
      <w:szCs w:val="20"/>
    </w:rPr>
  </w:style>
  <w:style w:type="character" w:customStyle="1" w:styleId="36">
    <w:name w:val="批注文字 字符"/>
    <w:link w:val="10"/>
    <w:qFormat/>
    <w:locked/>
    <w:uiPriority w:val="0"/>
    <w:rPr>
      <w:rFonts w:ascii="Times New Roman" w:hAnsi="Times New Roman" w:eastAsia="宋体"/>
      <w:sz w:val="24"/>
    </w:rPr>
  </w:style>
  <w:style w:type="character" w:customStyle="1" w:styleId="37">
    <w:name w:val="正文文本 字符"/>
    <w:link w:val="11"/>
    <w:qFormat/>
    <w:locked/>
    <w:uiPriority w:val="0"/>
    <w:rPr>
      <w:sz w:val="18"/>
    </w:rPr>
  </w:style>
  <w:style w:type="character" w:customStyle="1" w:styleId="38">
    <w:name w:val="正文文本缩进 字符"/>
    <w:link w:val="12"/>
    <w:semiHidden/>
    <w:qFormat/>
    <w:locked/>
    <w:uiPriority w:val="0"/>
    <w:rPr>
      <w:rFonts w:ascii="Times New Roman" w:hAnsi="Times New Roman" w:eastAsia="宋体"/>
      <w:sz w:val="24"/>
    </w:rPr>
  </w:style>
  <w:style w:type="character" w:customStyle="1" w:styleId="39">
    <w:name w:val="日期 字符1"/>
    <w:link w:val="14"/>
    <w:qFormat/>
    <w:locked/>
    <w:uiPriority w:val="0"/>
    <w:rPr>
      <w:rFonts w:ascii="Times New Roman" w:hAnsi="Times New Roman" w:eastAsia="宋体"/>
      <w:sz w:val="24"/>
    </w:rPr>
  </w:style>
  <w:style w:type="character" w:customStyle="1" w:styleId="40">
    <w:name w:val="批注框文本 字符"/>
    <w:link w:val="18"/>
    <w:semiHidden/>
    <w:qFormat/>
    <w:locked/>
    <w:uiPriority w:val="0"/>
    <w:rPr>
      <w:rFonts w:ascii="Times New Roman" w:hAnsi="Times New Roman" w:eastAsia="宋体"/>
      <w:sz w:val="18"/>
    </w:rPr>
  </w:style>
  <w:style w:type="character" w:customStyle="1" w:styleId="41">
    <w:name w:val="页脚 字符1"/>
    <w:link w:val="19"/>
    <w:qFormat/>
    <w:locked/>
    <w:uiPriority w:val="99"/>
    <w:rPr>
      <w:sz w:val="18"/>
    </w:rPr>
  </w:style>
  <w:style w:type="character" w:customStyle="1" w:styleId="42">
    <w:name w:val="页眉 字符"/>
    <w:link w:val="20"/>
    <w:qFormat/>
    <w:locked/>
    <w:uiPriority w:val="0"/>
    <w:rPr>
      <w:sz w:val="18"/>
    </w:rPr>
  </w:style>
  <w:style w:type="character" w:customStyle="1" w:styleId="43">
    <w:name w:val="普通(网站) 字符"/>
    <w:link w:val="24"/>
    <w:qFormat/>
    <w:locked/>
    <w:uiPriority w:val="0"/>
    <w:rPr>
      <w:rFonts w:ascii="宋体" w:hAnsi="宋体" w:eastAsia="宋体"/>
      <w:sz w:val="24"/>
    </w:rPr>
  </w:style>
  <w:style w:type="character" w:customStyle="1" w:styleId="44">
    <w:name w:val="批注主题 字符"/>
    <w:link w:val="25"/>
    <w:semiHidden/>
    <w:qFormat/>
    <w:locked/>
    <w:uiPriority w:val="0"/>
    <w:rPr>
      <w:rFonts w:ascii="Times New Roman" w:hAnsi="Times New Roman" w:eastAsia="宋体"/>
      <w:b/>
      <w:kern w:val="2"/>
      <w:sz w:val="24"/>
    </w:rPr>
  </w:style>
  <w:style w:type="paragraph" w:customStyle="1" w:styleId="4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6">
    <w:name w:val="日期 字符"/>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页脚 字符"/>
    <w:basedOn w:val="29"/>
    <w:qFormat/>
    <w:uiPriority w:val="99"/>
  </w:style>
  <w:style w:type="character" w:customStyle="1" w:styleId="51">
    <w:name w:val="批注文字 字符1"/>
    <w:semiHidden/>
    <w:qFormat/>
    <w:uiPriority w:val="0"/>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4">
    <w:name w:val="font21"/>
    <w:basedOn w:val="29"/>
    <w:qFormat/>
    <w:uiPriority w:val="0"/>
    <w:rPr>
      <w:rFonts w:hint="eastAsia" w:ascii="宋体" w:hAnsi="宋体" w:eastAsia="宋体" w:cs="宋体"/>
      <w:b/>
      <w:bCs/>
      <w:color w:val="000000"/>
      <w:sz w:val="21"/>
      <w:szCs w:val="21"/>
      <w:u w:val="none"/>
    </w:rPr>
  </w:style>
  <w:style w:type="character" w:customStyle="1" w:styleId="55">
    <w:name w:val="font51"/>
    <w:basedOn w:val="29"/>
    <w:qFormat/>
    <w:uiPriority w:val="0"/>
    <w:rPr>
      <w:rFonts w:hint="eastAsia" w:ascii="宋体" w:hAnsi="宋体" w:eastAsia="宋体" w:cs="宋体"/>
      <w:color w:val="000000"/>
      <w:sz w:val="20"/>
      <w:szCs w:val="20"/>
      <w:u w:val="none"/>
    </w:rPr>
  </w:style>
  <w:style w:type="character" w:customStyle="1" w:styleId="56">
    <w:name w:val="font71"/>
    <w:basedOn w:val="29"/>
    <w:qFormat/>
    <w:uiPriority w:val="0"/>
    <w:rPr>
      <w:rFonts w:hint="default" w:ascii="Times New Roman" w:hAnsi="Times New Roman" w:cs="Times New Roman"/>
      <w:color w:val="000000"/>
      <w:sz w:val="20"/>
      <w:szCs w:val="20"/>
      <w:u w:val="none"/>
    </w:rPr>
  </w:style>
  <w:style w:type="character" w:customStyle="1" w:styleId="57">
    <w:name w:val="font91"/>
    <w:basedOn w:val="29"/>
    <w:qFormat/>
    <w:uiPriority w:val="0"/>
    <w:rPr>
      <w:rFonts w:hint="eastAsia" w:ascii="宋体" w:hAnsi="宋体" w:eastAsia="宋体" w:cs="宋体"/>
      <w:color w:val="000000"/>
      <w:sz w:val="20"/>
      <w:szCs w:val="20"/>
      <w:u w:val="none"/>
    </w:rPr>
  </w:style>
  <w:style w:type="character" w:customStyle="1" w:styleId="58">
    <w:name w:val="font01"/>
    <w:basedOn w:val="29"/>
    <w:qFormat/>
    <w:uiPriority w:val="0"/>
    <w:rPr>
      <w:rFonts w:hint="default" w:ascii="Times New Roman" w:hAnsi="Times New Roman" w:cs="Times New Roman"/>
      <w:color w:val="000000"/>
      <w:sz w:val="20"/>
      <w:szCs w:val="20"/>
      <w:u w:val="none"/>
    </w:rPr>
  </w:style>
  <w:style w:type="character" w:customStyle="1" w:styleId="59">
    <w:name w:val="font101"/>
    <w:basedOn w:val="29"/>
    <w:qFormat/>
    <w:uiPriority w:val="0"/>
    <w:rPr>
      <w:rFonts w:ascii="宋体" w:hAnsi="宋体" w:eastAsia="宋体" w:cs="宋体"/>
      <w:color w:val="000000"/>
      <w:sz w:val="20"/>
      <w:szCs w:val="20"/>
      <w:u w:val="none"/>
    </w:rPr>
  </w:style>
  <w:style w:type="character" w:customStyle="1" w:styleId="60">
    <w:name w:val="font81"/>
    <w:basedOn w:val="29"/>
    <w:qFormat/>
    <w:uiPriority w:val="0"/>
    <w:rPr>
      <w:rFonts w:hint="eastAsia" w:ascii="宋体" w:hAnsi="宋体" w:eastAsia="宋体" w:cs="宋体"/>
      <w:color w:val="000000"/>
      <w:sz w:val="20"/>
      <w:szCs w:val="20"/>
      <w:u w:val="none"/>
    </w:rPr>
  </w:style>
  <w:style w:type="character" w:customStyle="1" w:styleId="61">
    <w:name w:val="font61"/>
    <w:basedOn w:val="29"/>
    <w:qFormat/>
    <w:uiPriority w:val="0"/>
    <w:rPr>
      <w:rFonts w:hint="default" w:ascii="Times New Roman" w:hAnsi="Times New Roman" w:cs="Times New Roman"/>
      <w:color w:val="000000"/>
      <w:sz w:val="20"/>
      <w:szCs w:val="20"/>
      <w:u w:val="none"/>
    </w:rPr>
  </w:style>
  <w:style w:type="character" w:customStyle="1" w:styleId="62">
    <w:name w:val="font31"/>
    <w:basedOn w:val="29"/>
    <w:qFormat/>
    <w:uiPriority w:val="0"/>
    <w:rPr>
      <w:rFonts w:hint="eastAsia" w:ascii="宋体" w:hAnsi="宋体" w:eastAsia="宋体" w:cs="宋体"/>
      <w:color w:val="000000"/>
      <w:sz w:val="22"/>
      <w:szCs w:val="22"/>
      <w:u w:val="none"/>
    </w:rPr>
  </w:style>
  <w:style w:type="paragraph" w:customStyle="1" w:styleId="63">
    <w:name w:val="样式2"/>
    <w:basedOn w:val="1"/>
    <w:qFormat/>
    <w:uiPriority w:val="0"/>
    <w:pPr>
      <w:adjustRightInd w:val="0"/>
      <w:spacing w:line="288" w:lineRule="auto"/>
      <w:ind w:left="170"/>
      <w:jc w:val="left"/>
    </w:pPr>
    <w:rPr>
      <w:b/>
      <w:kern w:val="0"/>
      <w:sz w:val="24"/>
    </w:rPr>
  </w:style>
  <w:style w:type="paragraph" w:customStyle="1" w:styleId="64">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65">
    <w:name w:val="fontstyle01"/>
    <w:basedOn w:val="29"/>
    <w:qFormat/>
    <w:uiPriority w:val="0"/>
    <w:rPr>
      <w:rFonts w:hint="eastAsia" w:ascii="宋体" w:hAnsi="宋体" w:eastAsia="宋体"/>
      <w:color w:val="000000"/>
      <w:sz w:val="24"/>
      <w:szCs w:val="24"/>
    </w:rPr>
  </w:style>
  <w:style w:type="paragraph" w:customStyle="1" w:styleId="66">
    <w:name w:val="Table Paragraph"/>
    <w:basedOn w:val="1"/>
    <w:qFormat/>
    <w:uiPriority w:val="1"/>
    <w:rPr>
      <w:rFonts w:ascii="宋体" w:hAnsi="宋体" w:cs="宋体"/>
      <w:lang w:val="zh-CN" w:bidi="zh-CN"/>
    </w:rPr>
  </w:style>
  <w:style w:type="paragraph" w:customStyle="1" w:styleId="6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8">
    <w:name w:val="正文-欣欣"/>
    <w:basedOn w:val="13"/>
    <w:next w:val="1"/>
    <w:qFormat/>
    <w:uiPriority w:val="0"/>
    <w:pPr>
      <w:adjustRightInd w:val="0"/>
      <w:spacing w:line="360" w:lineRule="auto"/>
      <w:ind w:firstLine="200" w:firstLineChars="200"/>
    </w:pPr>
    <w:rPr>
      <w:sz w:val="24"/>
      <w:szCs w:val="30"/>
    </w:rPr>
  </w:style>
  <w:style w:type="character" w:customStyle="1" w:styleId="69">
    <w:name w:val="style7 style11"/>
    <w:basedOn w:val="29"/>
    <w:qFormat/>
    <w:uiPriority w:val="0"/>
    <w:rPr>
      <w:rFonts w:ascii="Times New Roman" w:hAnsi="Times New Roman" w:eastAsia="宋体" w:cs="Times New Roman"/>
    </w:rPr>
  </w:style>
  <w:style w:type="table" w:customStyle="1" w:styleId="70">
    <w:name w:val="Table Normal"/>
    <w:unhideWhenUsed/>
    <w:qFormat/>
    <w:uiPriority w:val="0"/>
    <w:tblPr>
      <w:tblCellMar>
        <w:top w:w="0" w:type="dxa"/>
        <w:left w:w="0" w:type="dxa"/>
        <w:bottom w:w="0" w:type="dxa"/>
        <w:right w:w="0" w:type="dxa"/>
      </w:tblCellMar>
    </w:tblPr>
  </w:style>
  <w:style w:type="paragraph" w:customStyle="1" w:styleId="71">
    <w:name w:val="_Style 377"/>
    <w:basedOn w:val="1"/>
    <w:qFormat/>
    <w:uiPriority w:val="0"/>
    <w:pPr>
      <w:widowControl/>
    </w:pPr>
  </w:style>
  <w:style w:type="paragraph" w:customStyle="1" w:styleId="72">
    <w:name w:val="rpt_表项"/>
    <w:basedOn w:val="1"/>
    <w:qFormat/>
    <w:uiPriority w:val="0"/>
    <w:pPr>
      <w:spacing w:before="60" w:after="60"/>
      <w:jc w:val="center"/>
    </w:pPr>
    <w:rPr>
      <w:rFonts w:cs="宋体"/>
      <w:sz w:val="22"/>
      <w:szCs w:val="20"/>
    </w:rPr>
  </w:style>
  <w:style w:type="paragraph" w:customStyle="1" w:styleId="73">
    <w:name w:val="表头"/>
    <w:basedOn w:val="1"/>
    <w:next w:val="1"/>
    <w:qFormat/>
    <w:uiPriority w:val="0"/>
    <w:pPr>
      <w:tabs>
        <w:tab w:val="left" w:pos="6840"/>
      </w:tabs>
      <w:topLinePunct/>
      <w:snapToGrid w:val="0"/>
      <w:spacing w:line="529" w:lineRule="exact"/>
      <w:jc w:val="center"/>
    </w:pPr>
    <w:rPr>
      <w:rFonts w:ascii="宋体" w:hAnsi="宋体" w:cs="宋体"/>
      <w:b/>
      <w:bCs/>
      <w:kern w:val="24"/>
      <w:sz w:val="24"/>
      <w:szCs w:val="28"/>
    </w:rPr>
  </w:style>
  <w:style w:type="paragraph" w:customStyle="1" w:styleId="74">
    <w:name w:val="标题2"/>
    <w:basedOn w:val="4"/>
    <w:qFormat/>
    <w:uiPriority w:val="0"/>
    <w:pPr>
      <w:keepNext w:val="0"/>
      <w:spacing w:after="100" w:line="413" w:lineRule="auto"/>
      <w:ind w:firstLine="589" w:firstLineChars="196"/>
    </w:pPr>
    <w:rPr>
      <w:rFonts w:ascii="华康简标题宋" w:hAnsi="Times New Roman" w:eastAsia="华康简标题宋"/>
      <w:bCs w:val="0"/>
      <w:sz w:val="30"/>
      <w:szCs w:val="20"/>
    </w:rPr>
  </w:style>
  <w:style w:type="paragraph" w:customStyle="1" w:styleId="75">
    <w:name w:val="正文-蓝色"/>
    <w:basedOn w:val="68"/>
    <w:next w:val="1"/>
    <w:qFormat/>
    <w:uiPriority w:val="0"/>
    <w:rPr>
      <w:color w:val="FF0000"/>
      <w:kern w:val="0"/>
      <w:szCs w:val="28"/>
    </w:rPr>
  </w:style>
  <w:style w:type="paragraph" w:customStyle="1" w:styleId="76">
    <w:name w:val="表格内容"/>
    <w:basedOn w:val="7"/>
    <w:next w:val="1"/>
    <w:qFormat/>
    <w:uiPriority w:val="0"/>
    <w:pPr>
      <w:jc w:val="center"/>
    </w:pPr>
    <w:rPr>
      <w:rFonts w:eastAsia="Times New Roman"/>
      <w:kern w:val="0"/>
      <w:sz w:val="20"/>
      <w:szCs w:val="21"/>
    </w:rPr>
  </w:style>
  <w:style w:type="paragraph" w:customStyle="1" w:styleId="77">
    <w:name w:val="报告表格"/>
    <w:basedOn w:val="1"/>
    <w:next w:val="78"/>
    <w:qFormat/>
    <w:uiPriority w:val="0"/>
    <w:pPr>
      <w:autoSpaceDE w:val="0"/>
      <w:autoSpaceDN w:val="0"/>
      <w:adjustRightInd w:val="0"/>
      <w:spacing w:before="40" w:after="40"/>
      <w:jc w:val="center"/>
      <w:textAlignment w:val="bottom"/>
    </w:pPr>
    <w:rPr>
      <w:kern w:val="0"/>
      <w:szCs w:val="20"/>
    </w:rPr>
  </w:style>
  <w:style w:type="paragraph" w:customStyle="1" w:styleId="78">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7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0">
    <w:name w:val="Table Grid_0"/>
    <w:basedOn w:val="27"/>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1">
    <w:name w:val="No Spacing"/>
    <w:basedOn w:val="1"/>
    <w:qFormat/>
    <w:uiPriority w:val="1"/>
    <w:pPr>
      <w:spacing w:line="360" w:lineRule="exact"/>
      <w:jc w:val="center"/>
    </w:pPr>
  </w:style>
  <w:style w:type="paragraph" w:customStyle="1" w:styleId="82">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Table Text"/>
    <w:basedOn w:val="1"/>
    <w:semiHidden/>
    <w:qFormat/>
    <w:uiPriority w:val="0"/>
    <w:rPr>
      <w:rFonts w:ascii="宋体" w:hAnsi="宋体" w:cs="宋体"/>
      <w:sz w:val="24"/>
      <w:lang w:eastAsia="en-US"/>
    </w:rPr>
  </w:style>
  <w:style w:type="paragraph" w:customStyle="1" w:styleId="84">
    <w:name w:val="报告书表格文（林）"/>
    <w:basedOn w:val="1"/>
    <w:autoRedefine/>
    <w:qFormat/>
    <w:uiPriority w:val="0"/>
    <w:pPr>
      <w:spacing w:line="280" w:lineRule="exact"/>
      <w:jc w:val="center"/>
    </w:pPr>
    <w:rPr>
      <w:szCs w:val="21"/>
    </w:rPr>
  </w:style>
  <w:style w:type="paragraph" w:customStyle="1" w:styleId="85">
    <w:name w:val="表中样式"/>
    <w:basedOn w:val="1"/>
    <w:qFormat/>
    <w:uiPriority w:val="0"/>
    <w:pPr>
      <w:jc w:val="center"/>
    </w:pPr>
  </w:style>
  <w:style w:type="paragraph" w:customStyle="1" w:styleId="86">
    <w:name w:val="表格1"/>
    <w:basedOn w:val="1"/>
    <w:qFormat/>
    <w:uiPriority w:val="0"/>
    <w:pPr>
      <w:jc w:val="center"/>
    </w:pPr>
    <w:rPr>
      <w:sz w:val="22"/>
      <w:szCs w:val="22"/>
    </w:rPr>
  </w:style>
  <w:style w:type="paragraph" w:customStyle="1" w:styleId="8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88">
    <w:name w:val="+正文"/>
    <w:basedOn w:val="1"/>
    <w:qFormat/>
    <w:uiPriority w:val="0"/>
    <w:pPr>
      <w:spacing w:line="360" w:lineRule="auto"/>
      <w:ind w:firstLine="200" w:firstLineChars="200"/>
    </w:pPr>
    <w:rPr>
      <w:sz w:val="24"/>
      <w:szCs w:val="28"/>
    </w:rPr>
  </w:style>
  <w:style w:type="paragraph" w:customStyle="1" w:styleId="89">
    <w:name w:val="（正文2）"/>
    <w:basedOn w:val="1"/>
    <w:qFormat/>
    <w:uiPriority w:val="0"/>
    <w:pPr>
      <w:ind w:firstLine="480"/>
    </w:pPr>
    <w:rPr>
      <w:szCs w:val="20"/>
    </w:rPr>
  </w:style>
  <w:style w:type="paragraph" w:customStyle="1" w:styleId="90">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91">
    <w:name w:val="报告正文"/>
    <w:basedOn w:val="7"/>
    <w:qFormat/>
    <w:uiPriority w:val="0"/>
    <w:pPr>
      <w:spacing w:line="500" w:lineRule="exact"/>
      <w:ind w:firstLine="200"/>
      <w:jc w:val="left"/>
    </w:pPr>
    <w:rPr>
      <w:rFonts w:eastAsia="仿宋_GB2312"/>
      <w:sz w:val="28"/>
    </w:rPr>
  </w:style>
  <w:style w:type="paragraph" w:customStyle="1" w:styleId="92">
    <w:name w:val="正文样式"/>
    <w:basedOn w:val="1"/>
    <w:qFormat/>
    <w:uiPriority w:val="0"/>
    <w:pPr>
      <w:tabs>
        <w:tab w:val="left" w:pos="1440"/>
        <w:tab w:val="left" w:pos="4368"/>
      </w:tabs>
      <w:ind w:firstLine="493"/>
    </w:pPr>
    <w:rPr>
      <w:color w:val="FF0000"/>
    </w:rPr>
  </w:style>
  <w:style w:type="character" w:customStyle="1" w:styleId="93">
    <w:name w:val="font11"/>
    <w:basedOn w:val="2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oleObject" Target="embeddings/oleObject1.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NDAyOTMzNTE4ODg3IiwKCSJHcm91cElkIiA6ICI3MTg1NDQ1MTI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2NDA1ODg3MjMiLAoJIlZlcnNpb24iIDogIjE4MyIKfQo="/>
    </extobj>
    <extobj name="ECB019B1-382A-4266-B25C-5B523AA43C14-2">
      <extobjdata type="ECB019B1-382A-4266-B25C-5B523AA43C14" data="ewoJIkZpbGVJZCIgOiAiNDAyOTU0OTczNTkyIiwKCSJHcm91cElkIiA6ICI3MTg1NDQ1MTI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2NDA1ODg3MjMiLAoJIlZlcnNpb24iIDogIjIxIgp9Cg=="/>
    </extobj>
    <extobj name="ECB019B1-382A-4266-B25C-5B523AA43C14-3">
      <extobjdata type="ECB019B1-382A-4266-B25C-5B523AA43C14" data="ewoJIkZpbGVJZCIgOiAiNDEzNDg0MzYwOTg2IiwKCSJHcm91cElkIiA6ICI3MTg1NDQ1MTIiLAoJIkltYWdlIiA6ICJpVkJPUncwS0dnb0FBQUFOU1VoRVVnQUFCY1FBQUFOTUNBWUFBQUJ5K3E0QkFBQUFBWE5TUjBJQXJzNGM2UUFBSUFCSlJFRlVlSnpzM1dtWVhWV1pOKzVublZOVnFaQ0JCRWhJSUVDUU1JV2tVdWVVZ0NJTmFMOGlpZ1JVRUZCVVVGU3dIVURsajhqVTJ0MEtqVWhFQmdWRVFMVGZ4cFp1VVJSUVFFRkZ3Um9EWVFveHI0UXBoQkF5MTNUMi8wTXExUmtxU1dVOFVPZStyeXZYMldldnRkZDZkcVh5NVpkOVBUc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hTdC93OXZ4SUEzZlRRMDB3QUFBQUJKUlU1RXJrSmdnZz09IiwKCSJUaGVtZSIgOiAiIiwKCSJUeXBlIiA6ICJmbG93IiwKCSJVc2VySWQiIDogIjY0MDU4ODcyMyIsCgkiVmVyc2lvbiIgOiAiMz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Pages>115</Pages>
  <Words>16486</Words>
  <Characters>17246</Characters>
  <Lines>4897</Lines>
  <Paragraphs>3972</Paragraphs>
  <TotalTime>49</TotalTime>
  <ScaleCrop>false</ScaleCrop>
  <LinksUpToDate>false</LinksUpToDate>
  <CharactersWithSpaces>17480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idiot</cp:lastModifiedBy>
  <cp:lastPrinted>2020-12-29T02:43:00Z</cp:lastPrinted>
  <dcterms:modified xsi:type="dcterms:W3CDTF">2025-07-28T08:38:33Z</dcterms:modified>
  <dc:title>建设项目环境影响报告表（污染影响类）</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F2DB959176824DE590FD96D0642931E8_13</vt:lpwstr>
  </property>
  <property fmtid="{D5CDD505-2E9C-101B-9397-08002B2CF9AE}" pid="4" name="KSOTemplateDocerSaveRecord">
    <vt:lpwstr>eyJoZGlkIjoiMmUzY2E4Mzg5YmZjMzcxNGU1NzY5YmQ2NDA1YTE1MzIiLCJ1c2VySWQiOiIzODQ4MjU3MTkifQ==</vt:lpwstr>
  </property>
</Properties>
</file>